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8" w:rsidRDefault="00D32FE8" w:rsidP="00171440">
      <w:pPr>
        <w:spacing w:after="0"/>
        <w:jc w:val="center"/>
        <w:rPr>
          <w:rtl/>
        </w:rPr>
      </w:pPr>
      <w:bookmarkStart w:id="0" w:name="_Toc405460174"/>
      <w:r>
        <w:rPr>
          <w:rFonts w:hint="cs"/>
          <w:rtl/>
        </w:rPr>
        <w:t>بسم الله الرحمن الرحیم</w:t>
      </w:r>
    </w:p>
    <w:p w:rsidR="004C4753" w:rsidRDefault="004C4753" w:rsidP="00171440">
      <w:pPr>
        <w:pStyle w:val="Heading1"/>
        <w:spacing w:before="0"/>
        <w:rPr>
          <w:rtl/>
        </w:rPr>
      </w:pPr>
      <w:r w:rsidRPr="00A51E72">
        <w:rPr>
          <w:rFonts w:hint="cs"/>
          <w:rtl/>
        </w:rPr>
        <w:t>بحث نوزدهم: حضور در مجلس غنا</w:t>
      </w:r>
      <w:bookmarkEnd w:id="0"/>
    </w:p>
    <w:p w:rsidR="0057524E" w:rsidRPr="00DF1828" w:rsidRDefault="00E245DC" w:rsidP="00171440">
      <w:pPr>
        <w:spacing w:after="0"/>
        <w:rPr>
          <w:rtl/>
        </w:rPr>
      </w:pPr>
      <w:r>
        <w:rPr>
          <w:rFonts w:hint="cs"/>
          <w:rtl/>
        </w:rPr>
        <w:t>ازجمله</w:t>
      </w:r>
      <w:r w:rsidR="0057524E" w:rsidRPr="00DF1828">
        <w:rPr>
          <w:rFonts w:hint="cs"/>
          <w:rtl/>
        </w:rPr>
        <w:t xml:space="preserve"> مباحثی که مطرح شد، استماع غنا، پخش و ضبط و نشر غنا و تشویق </w:t>
      </w:r>
      <w:r>
        <w:rPr>
          <w:rFonts w:hint="cs"/>
          <w:rtl/>
        </w:rPr>
        <w:t>غنا</w:t>
      </w:r>
      <w:r w:rsidR="0057524E" w:rsidRPr="00DF1828">
        <w:rPr>
          <w:rFonts w:hint="cs"/>
          <w:rtl/>
        </w:rPr>
        <w:t xml:space="preserve"> بود</w:t>
      </w:r>
      <w:r w:rsidR="00C90EFF">
        <w:rPr>
          <w:rFonts w:hint="eastAsia"/>
          <w:rtl/>
        </w:rPr>
        <w:t>؛</w:t>
      </w:r>
      <w:r w:rsidR="00C90EFF">
        <w:rPr>
          <w:rtl/>
        </w:rPr>
        <w:t xml:space="preserve"> </w:t>
      </w:r>
      <w:r w:rsidR="0057524E" w:rsidRPr="00DF1828">
        <w:rPr>
          <w:rFonts w:hint="cs"/>
          <w:rtl/>
        </w:rPr>
        <w:t xml:space="preserve">اما بحث نوزدهم، حضور در مجلس غنا است. حضور در مجلس غنا با استماع و نشر و پخش و ضبط و با تشویق و ترغیب متفاوت است. گاهی ممکن است جدا از هم باشند؛ </w:t>
      </w:r>
      <w:r>
        <w:rPr>
          <w:rFonts w:hint="cs"/>
          <w:rtl/>
        </w:rPr>
        <w:t>مثلاً</w:t>
      </w:r>
      <w:r w:rsidR="0057524E" w:rsidRPr="00DF1828">
        <w:rPr>
          <w:rFonts w:hint="cs"/>
          <w:rtl/>
        </w:rPr>
        <w:t xml:space="preserve"> کسی در مجلس غنا حضور داشته باشد ولی گوشش سنگین باشد و نشنود و حضورش نیز تشویق </w:t>
      </w:r>
      <w:r>
        <w:rPr>
          <w:rFonts w:hint="cs"/>
          <w:rtl/>
        </w:rPr>
        <w:t>به‌حساب</w:t>
      </w:r>
      <w:r w:rsidR="0057524E" w:rsidRPr="00DF1828">
        <w:rPr>
          <w:rFonts w:hint="cs"/>
          <w:rtl/>
        </w:rPr>
        <w:t xml:space="preserve"> </w:t>
      </w:r>
      <w:r>
        <w:rPr>
          <w:rFonts w:hint="cs"/>
          <w:rtl/>
        </w:rPr>
        <w:t>نمی‌آید</w:t>
      </w:r>
      <w:r w:rsidR="0057524E" w:rsidRPr="00DF1828">
        <w:rPr>
          <w:rFonts w:hint="cs"/>
          <w:rtl/>
        </w:rPr>
        <w:t>.</w:t>
      </w:r>
    </w:p>
    <w:p w:rsidR="004C4753" w:rsidRPr="00A51E72" w:rsidRDefault="004C4753" w:rsidP="00171440">
      <w:pPr>
        <w:pStyle w:val="Heading1"/>
        <w:spacing w:before="0"/>
        <w:rPr>
          <w:rtl/>
        </w:rPr>
      </w:pPr>
      <w:bookmarkStart w:id="1" w:name="_Toc405460175"/>
      <w:r w:rsidRPr="00A51E72">
        <w:rPr>
          <w:rFonts w:hint="cs"/>
          <w:rtl/>
        </w:rPr>
        <w:t>حرمت مستقل حضور در مجلس غنا</w:t>
      </w:r>
      <w:bookmarkEnd w:id="1"/>
    </w:p>
    <w:p w:rsidR="0057524E" w:rsidRPr="00DF1828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بحث این است که حضور در مجلس غنا </w:t>
      </w:r>
      <w:r w:rsidR="00E245DC">
        <w:rPr>
          <w:rFonts w:hint="cs"/>
          <w:rtl/>
        </w:rPr>
        <w:t>بماهو</w:t>
      </w:r>
      <w:r w:rsidRPr="00DF1828">
        <w:rPr>
          <w:rFonts w:hint="cs"/>
          <w:rtl/>
        </w:rPr>
        <w:t xml:space="preserve"> حضور با </w:t>
      </w:r>
      <w:r w:rsidR="00E245DC">
        <w:rPr>
          <w:rFonts w:hint="cs"/>
          <w:rtl/>
        </w:rPr>
        <w:t>قطع‌نظر</w:t>
      </w:r>
      <w:r w:rsidRPr="00DF1828">
        <w:rPr>
          <w:rFonts w:hint="cs"/>
          <w:rtl/>
        </w:rPr>
        <w:t xml:space="preserve"> از عناوین دیگر چه حک</w:t>
      </w:r>
      <w:r w:rsidR="00A51E72">
        <w:rPr>
          <w:rFonts w:hint="cs"/>
          <w:rtl/>
        </w:rPr>
        <w:t>می</w:t>
      </w:r>
      <w:r w:rsidR="00C90EFF">
        <w:rPr>
          <w:rFonts w:hint="cs"/>
          <w:rtl/>
        </w:rPr>
        <w:t xml:space="preserve"> </w:t>
      </w:r>
      <w:r w:rsidR="00A51E72">
        <w:rPr>
          <w:rFonts w:hint="cs"/>
          <w:rtl/>
        </w:rPr>
        <w:t>‌دارد</w:t>
      </w:r>
      <w:r w:rsidRPr="00DF1828">
        <w:rPr>
          <w:rFonts w:hint="cs"/>
          <w:rtl/>
        </w:rPr>
        <w:t xml:space="preserve">؟ و کدام عناوین </w:t>
      </w:r>
      <w:r w:rsidR="00E245DC">
        <w:rPr>
          <w:rFonts w:hint="cs"/>
          <w:rtl/>
        </w:rPr>
        <w:t>می‌تواند</w:t>
      </w:r>
      <w:r w:rsidRPr="00DF1828">
        <w:rPr>
          <w:rFonts w:hint="cs"/>
          <w:rtl/>
        </w:rPr>
        <w:t xml:space="preserve"> برای آن عارض شود؟ </w:t>
      </w:r>
      <w:r w:rsidR="00E245DC">
        <w:rPr>
          <w:rFonts w:hint="cs"/>
          <w:rtl/>
        </w:rPr>
        <w:t>نکته‌ای</w:t>
      </w:r>
      <w:r w:rsidRPr="00DF1828">
        <w:rPr>
          <w:rFonts w:hint="cs"/>
          <w:rtl/>
        </w:rPr>
        <w:t xml:space="preserve"> که موجب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 xml:space="preserve"> ما این را </w:t>
      </w:r>
      <w:r w:rsidR="00E245DC">
        <w:rPr>
          <w:rFonts w:hint="cs"/>
          <w:rtl/>
        </w:rPr>
        <w:t>به‌طور</w:t>
      </w:r>
      <w:r w:rsidRPr="00DF1828">
        <w:rPr>
          <w:rFonts w:hint="cs"/>
          <w:rtl/>
        </w:rPr>
        <w:t xml:space="preserve"> مستقل طرح کنیم این است که اگر </w:t>
      </w:r>
      <w:r w:rsidR="00E245DC">
        <w:rPr>
          <w:rFonts w:hint="cs"/>
          <w:rtl/>
        </w:rPr>
        <w:t>درجایی</w:t>
      </w:r>
      <w:r w:rsidRPr="00DF1828">
        <w:rPr>
          <w:rFonts w:hint="cs"/>
          <w:rtl/>
        </w:rPr>
        <w:t xml:space="preserve"> با عناوین دیگر همراه باشد و این هم خود مصداقی از امر محرم باشد، اجتماع معاصی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 xml:space="preserve">؛ </w:t>
      </w:r>
      <w:r w:rsidR="00E245DC">
        <w:rPr>
          <w:rFonts w:hint="cs"/>
          <w:rtl/>
        </w:rPr>
        <w:t>مثلاً</w:t>
      </w:r>
      <w:r w:rsidRPr="00DF1828">
        <w:rPr>
          <w:rFonts w:hint="cs"/>
          <w:rtl/>
        </w:rPr>
        <w:t xml:space="preserve"> هم گوش </w:t>
      </w:r>
      <w:r w:rsidR="00E245DC">
        <w:rPr>
          <w:rFonts w:hint="cs"/>
          <w:rtl/>
        </w:rPr>
        <w:t>می‌کند</w:t>
      </w:r>
      <w:r w:rsidRPr="00DF1828">
        <w:rPr>
          <w:rFonts w:hint="cs"/>
          <w:rtl/>
        </w:rPr>
        <w:t xml:space="preserve"> و هم حضور دارد و اگر از عناوین دیگر جدا شد خودش حکم حرمت مستقل دارد.</w:t>
      </w:r>
    </w:p>
    <w:p w:rsidR="005A75A1" w:rsidRPr="00DF1828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اگر حرمت مستقله داشته باشد، بحث در مورد حرمت مستقله آن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 xml:space="preserve"> و اگر با عناوین دیگر جمع باشد، تأکد و اجتماع معاصی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>. در اینجا مهم این است که تصویری</w:t>
      </w:r>
      <w:r w:rsidR="005A75A1" w:rsidRPr="00DF1828">
        <w:rPr>
          <w:rFonts w:hint="cs"/>
          <w:rtl/>
        </w:rPr>
        <w:t xml:space="preserve"> داریم از اینکه حضور باشد ولی اس</w:t>
      </w:r>
      <w:r w:rsidRPr="00DF1828">
        <w:rPr>
          <w:rFonts w:hint="cs"/>
          <w:rtl/>
        </w:rPr>
        <w:t>تماع نباشد. همیشه حضور در مجلس غنا، ملازم با استماع نیست</w:t>
      </w:r>
      <w:r w:rsidR="005A75A1" w:rsidRPr="00DF1828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5A75A1" w:rsidRPr="00DF1828">
        <w:rPr>
          <w:rFonts w:hint="cs"/>
          <w:rtl/>
        </w:rPr>
        <w:t>بین استماع غنا و حضور در مجلس غنا، عموم و خصوص من وجه است:</w:t>
      </w:r>
    </w:p>
    <w:p w:rsidR="004C4753" w:rsidRPr="00A51E72" w:rsidRDefault="004C4753" w:rsidP="00171440">
      <w:pPr>
        <w:pStyle w:val="Heading1"/>
        <w:spacing w:before="0"/>
        <w:rPr>
          <w:rtl/>
        </w:rPr>
      </w:pPr>
      <w:bookmarkStart w:id="2" w:name="_Toc405460176"/>
      <w:r w:rsidRPr="00A51E72">
        <w:rPr>
          <w:rFonts w:hint="cs"/>
          <w:rtl/>
        </w:rPr>
        <w:t>عدم ملازمه حضور با استماع</w:t>
      </w:r>
      <w:bookmarkEnd w:id="2"/>
    </w:p>
    <w:p w:rsidR="005A75A1" w:rsidRPr="00DF1828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گاهی استم</w:t>
      </w:r>
      <w:r w:rsidR="005A75A1" w:rsidRPr="00DF1828">
        <w:rPr>
          <w:rFonts w:hint="cs"/>
          <w:rtl/>
        </w:rPr>
        <w:t xml:space="preserve">اع هست ولی حضور در مجلس نیست؛ </w:t>
      </w:r>
      <w:r w:rsidR="00E245DC">
        <w:rPr>
          <w:rFonts w:hint="cs"/>
          <w:rtl/>
        </w:rPr>
        <w:t>مثلاً</w:t>
      </w:r>
      <w:r w:rsidR="005A75A1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از طریق ادوات دیگری آن را گوش </w:t>
      </w:r>
      <w:r w:rsidR="00E245DC">
        <w:rPr>
          <w:rFonts w:hint="cs"/>
          <w:rtl/>
        </w:rPr>
        <w:t>می‌دهد</w:t>
      </w:r>
      <w:r w:rsidR="005A75A1" w:rsidRPr="00DF1828">
        <w:rPr>
          <w:rFonts w:hint="cs"/>
          <w:rtl/>
        </w:rPr>
        <w:t xml:space="preserve"> و یا</w:t>
      </w:r>
      <w:r w:rsidRPr="00DF1828">
        <w:rPr>
          <w:rFonts w:hint="cs"/>
          <w:rtl/>
        </w:rPr>
        <w:t xml:space="preserve"> </w:t>
      </w:r>
      <w:r w:rsidR="005A75A1" w:rsidRPr="00DF1828">
        <w:rPr>
          <w:rFonts w:hint="cs"/>
          <w:rtl/>
        </w:rPr>
        <w:t xml:space="preserve">از </w:t>
      </w:r>
      <w:r w:rsidRPr="00DF1828">
        <w:rPr>
          <w:rFonts w:hint="cs"/>
          <w:rtl/>
        </w:rPr>
        <w:t xml:space="preserve">پشت دیوار </w:t>
      </w:r>
      <w:r w:rsidR="005A75A1" w:rsidRPr="00DF1828">
        <w:rPr>
          <w:rFonts w:hint="cs"/>
          <w:rtl/>
        </w:rPr>
        <w:t xml:space="preserve">استماع </w:t>
      </w:r>
      <w:r w:rsidR="00E245DC">
        <w:rPr>
          <w:rFonts w:hint="cs"/>
          <w:rtl/>
        </w:rPr>
        <w:t>می‌کند</w:t>
      </w:r>
      <w:r w:rsidR="005A75A1" w:rsidRPr="00DF1828">
        <w:rPr>
          <w:rFonts w:hint="cs"/>
          <w:rtl/>
        </w:rPr>
        <w:t xml:space="preserve">. </w:t>
      </w:r>
      <w:r w:rsidRPr="00DF1828">
        <w:rPr>
          <w:rFonts w:hint="cs"/>
          <w:rtl/>
        </w:rPr>
        <w:t xml:space="preserve">گاهی هم </w:t>
      </w:r>
      <w:r w:rsidR="005A75A1" w:rsidRPr="00DF1828">
        <w:rPr>
          <w:rFonts w:hint="cs"/>
          <w:rtl/>
        </w:rPr>
        <w:t>استماع دار</w:t>
      </w:r>
      <w:r w:rsidRPr="00DF1828">
        <w:rPr>
          <w:rFonts w:hint="cs"/>
          <w:rtl/>
        </w:rPr>
        <w:t>د</w:t>
      </w:r>
      <w:r w:rsidR="005A75A1" w:rsidRPr="00DF1828">
        <w:rPr>
          <w:rFonts w:hint="cs"/>
          <w:rtl/>
        </w:rPr>
        <w:t xml:space="preserve"> و هم حضور</w:t>
      </w:r>
      <w:r w:rsidRPr="00DF1828">
        <w:rPr>
          <w:rFonts w:hint="cs"/>
          <w:rtl/>
        </w:rPr>
        <w:t xml:space="preserve"> که </w:t>
      </w:r>
      <w:r w:rsidR="005A75A1" w:rsidRPr="00DF1828">
        <w:rPr>
          <w:rFonts w:hint="cs"/>
          <w:rtl/>
        </w:rPr>
        <w:t>این زیاد است و گاهی هم</w:t>
      </w:r>
      <w:r w:rsidRPr="00DF1828">
        <w:rPr>
          <w:rFonts w:hint="cs"/>
          <w:rtl/>
        </w:rPr>
        <w:t xml:space="preserve"> </w:t>
      </w:r>
      <w:r w:rsidR="005A75A1" w:rsidRPr="00DF1828">
        <w:rPr>
          <w:rFonts w:hint="cs"/>
          <w:rtl/>
        </w:rPr>
        <w:t>در مجلس حاضر است ولی استماع ن</w:t>
      </w:r>
      <w:r w:rsidR="00E245DC">
        <w:rPr>
          <w:rFonts w:hint="cs"/>
          <w:rtl/>
        </w:rPr>
        <w:t>می‌کند</w:t>
      </w:r>
      <w:r w:rsidR="005A75A1" w:rsidRPr="00DF1828">
        <w:rPr>
          <w:rFonts w:hint="cs"/>
          <w:rtl/>
        </w:rPr>
        <w:t xml:space="preserve">؛ </w:t>
      </w:r>
      <w:r w:rsidR="00E245DC">
        <w:rPr>
          <w:rFonts w:hint="cs"/>
          <w:rtl/>
        </w:rPr>
        <w:t>مثلاً</w:t>
      </w:r>
      <w:r w:rsidRPr="00DF1828">
        <w:rPr>
          <w:rFonts w:hint="cs"/>
          <w:rtl/>
        </w:rPr>
        <w:t xml:space="preserve"> گوشش سنگین است یا </w:t>
      </w:r>
      <w:r w:rsidR="00E245DC">
        <w:rPr>
          <w:rFonts w:hint="cs"/>
          <w:rtl/>
        </w:rPr>
        <w:t>پنبه‌ای</w:t>
      </w:r>
      <w:r w:rsidRPr="00DF1828">
        <w:rPr>
          <w:rFonts w:hint="cs"/>
          <w:rtl/>
        </w:rPr>
        <w:t xml:space="preserve"> در گوش گذاشته</w:t>
      </w:r>
      <w:r w:rsidR="005A75A1" w:rsidRPr="00DF1828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نمی‌شنود</w:t>
      </w:r>
      <w:r w:rsidR="005A75A1" w:rsidRPr="00DF1828">
        <w:rPr>
          <w:rFonts w:hint="cs"/>
          <w:rtl/>
        </w:rPr>
        <w:t>.</w:t>
      </w:r>
      <w:r w:rsidRPr="00DF1828">
        <w:rPr>
          <w:rFonts w:hint="cs"/>
          <w:rtl/>
        </w:rPr>
        <w:t xml:space="preserve"> این بحث امروز است</w:t>
      </w:r>
      <w:r w:rsidR="005A75A1" w:rsidRPr="00DF1828">
        <w:rPr>
          <w:rFonts w:hint="cs"/>
          <w:rtl/>
        </w:rPr>
        <w:t>.</w:t>
      </w:r>
    </w:p>
    <w:p w:rsidR="002B3613" w:rsidRPr="00DF1828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در این زمینه هم </w:t>
      </w:r>
      <w:r w:rsidR="005A75A1" w:rsidRPr="00DF1828">
        <w:rPr>
          <w:rFonts w:hint="cs"/>
          <w:rtl/>
        </w:rPr>
        <w:t xml:space="preserve">ابتدا </w:t>
      </w:r>
      <w:r w:rsidRPr="00DF1828">
        <w:rPr>
          <w:rFonts w:hint="cs"/>
          <w:rtl/>
        </w:rPr>
        <w:t xml:space="preserve">از یک منظر کلی </w:t>
      </w:r>
      <w:r w:rsidR="00E245DC">
        <w:rPr>
          <w:rFonts w:hint="cs"/>
          <w:rtl/>
        </w:rPr>
        <w:t>نیم‌نگاهی</w:t>
      </w:r>
      <w:r w:rsidRPr="00DF1828">
        <w:rPr>
          <w:rFonts w:hint="cs"/>
          <w:rtl/>
        </w:rPr>
        <w:t xml:space="preserve"> به بحث </w:t>
      </w:r>
      <w:r w:rsidR="00E245DC">
        <w:rPr>
          <w:rFonts w:hint="cs"/>
          <w:rtl/>
        </w:rPr>
        <w:t>می‌اندازیم</w:t>
      </w:r>
      <w:r w:rsidRPr="00DF1828">
        <w:rPr>
          <w:rFonts w:hint="cs"/>
          <w:rtl/>
        </w:rPr>
        <w:t xml:space="preserve"> و بعد روایاتی</w:t>
      </w:r>
      <w:r w:rsidR="008D6078" w:rsidRPr="00DF1828">
        <w:rPr>
          <w:rFonts w:hint="cs"/>
          <w:rtl/>
        </w:rPr>
        <w:t xml:space="preserve"> را</w:t>
      </w:r>
      <w:r w:rsidRPr="00DF1828">
        <w:rPr>
          <w:rFonts w:hint="cs"/>
          <w:rtl/>
        </w:rPr>
        <w:t xml:space="preserve"> که در </w:t>
      </w:r>
      <w:r w:rsidR="008D6078" w:rsidRPr="00DF1828">
        <w:rPr>
          <w:rFonts w:hint="cs"/>
          <w:rtl/>
        </w:rPr>
        <w:t xml:space="preserve">این </w:t>
      </w:r>
      <w:r w:rsidRPr="00DF1828">
        <w:rPr>
          <w:rFonts w:hint="cs"/>
          <w:rtl/>
        </w:rPr>
        <w:t xml:space="preserve">موضوع </w:t>
      </w:r>
      <w:r w:rsidR="00E245DC">
        <w:rPr>
          <w:rFonts w:hint="cs"/>
          <w:rtl/>
        </w:rPr>
        <w:t>واردشده</w:t>
      </w:r>
      <w:r w:rsidR="008D6078" w:rsidRPr="00DF1828">
        <w:rPr>
          <w:rFonts w:hint="cs"/>
          <w:rtl/>
        </w:rPr>
        <w:t>، ملاحظه</w:t>
      </w:r>
      <w:r w:rsidRPr="00DF1828">
        <w:rPr>
          <w:rFonts w:hint="cs"/>
          <w:rtl/>
        </w:rPr>
        <w:t xml:space="preserve"> خواهیم </w:t>
      </w:r>
      <w:r w:rsidR="008D6078" w:rsidRPr="00DF1828">
        <w:rPr>
          <w:rFonts w:hint="cs"/>
          <w:rtl/>
        </w:rPr>
        <w:t>کرد.</w:t>
      </w:r>
      <w:r w:rsidRPr="00DF1828">
        <w:rPr>
          <w:rFonts w:hint="cs"/>
          <w:rtl/>
        </w:rPr>
        <w:t xml:space="preserve"> اصل بحث حضور در مجلس معصیت</w:t>
      </w:r>
      <w:r w:rsidR="008D6078" w:rsidRPr="00DF1828">
        <w:rPr>
          <w:rFonts w:hint="cs"/>
          <w:rtl/>
        </w:rPr>
        <w:t>،</w:t>
      </w:r>
      <w:r w:rsidRPr="00DF1828">
        <w:rPr>
          <w:rFonts w:hint="cs"/>
          <w:rtl/>
        </w:rPr>
        <w:t xml:space="preserve"> جای بحث بیشتری دارد</w:t>
      </w:r>
      <w:r w:rsidR="008D6078" w:rsidRPr="00DF1828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8D6078" w:rsidRPr="00DF1828">
        <w:rPr>
          <w:rFonts w:hint="cs"/>
          <w:rtl/>
        </w:rPr>
        <w:t xml:space="preserve">اصل حضور، </w:t>
      </w:r>
      <w:r w:rsidR="00E245DC">
        <w:rPr>
          <w:rFonts w:hint="cs"/>
          <w:rtl/>
        </w:rPr>
        <w:t>به‌طور</w:t>
      </w:r>
      <w:r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lastRenderedPageBreak/>
        <w:t xml:space="preserve">مستقل </w:t>
      </w:r>
      <w:r w:rsidR="00E245DC">
        <w:rPr>
          <w:rFonts w:hint="cs"/>
          <w:rtl/>
        </w:rPr>
        <w:t>به‌عنوان</w:t>
      </w:r>
      <w:r w:rsidRPr="00DF1828">
        <w:rPr>
          <w:rFonts w:hint="cs"/>
          <w:rtl/>
        </w:rPr>
        <w:t xml:space="preserve"> یک قاعده کلی</w:t>
      </w:r>
      <w:r w:rsidR="008D6078" w:rsidRPr="00DF1828">
        <w:rPr>
          <w:rFonts w:hint="cs"/>
          <w:rtl/>
        </w:rPr>
        <w:t>،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به‌صورت</w:t>
      </w:r>
      <w:r w:rsidR="008D6078" w:rsidRPr="00DF1828">
        <w:rPr>
          <w:rFonts w:hint="cs"/>
          <w:rtl/>
        </w:rPr>
        <w:t xml:space="preserve"> مبسوط</w:t>
      </w:r>
      <w:r w:rsidRPr="00DF1828">
        <w:rPr>
          <w:rFonts w:hint="cs"/>
          <w:rtl/>
        </w:rPr>
        <w:t xml:space="preserve"> بحث نشده</w:t>
      </w:r>
      <w:r w:rsidR="008D6078" w:rsidRPr="00DF1828">
        <w:rPr>
          <w:rFonts w:hint="cs"/>
          <w:rtl/>
        </w:rPr>
        <w:t xml:space="preserve"> است؛ لذا باید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به‌عنوان</w:t>
      </w:r>
      <w:r w:rsidRPr="00DF1828">
        <w:rPr>
          <w:rFonts w:hint="cs"/>
          <w:rtl/>
        </w:rPr>
        <w:t xml:space="preserve"> </w:t>
      </w:r>
      <w:r w:rsidR="008D6078" w:rsidRPr="00DF1828">
        <w:rPr>
          <w:rFonts w:hint="cs"/>
          <w:rtl/>
        </w:rPr>
        <w:t xml:space="preserve">یک </w:t>
      </w:r>
      <w:r w:rsidRPr="00DF1828">
        <w:rPr>
          <w:rFonts w:hint="cs"/>
          <w:rtl/>
        </w:rPr>
        <w:t xml:space="preserve">قاعده کلی در قواعد فقهیه </w:t>
      </w:r>
      <w:r w:rsidR="008D6078" w:rsidRPr="00DF1828">
        <w:rPr>
          <w:rFonts w:hint="cs"/>
          <w:rtl/>
        </w:rPr>
        <w:t xml:space="preserve">بحث </w:t>
      </w:r>
      <w:r w:rsidRPr="00DF1828">
        <w:rPr>
          <w:rFonts w:hint="cs"/>
          <w:rtl/>
        </w:rPr>
        <w:t>شود</w:t>
      </w:r>
      <w:r w:rsidR="008D6078" w:rsidRPr="00DF1828">
        <w:rPr>
          <w:rFonts w:hint="cs"/>
          <w:rtl/>
        </w:rPr>
        <w:t>؛ مانند</w:t>
      </w:r>
      <w:r w:rsidRPr="00DF1828">
        <w:rPr>
          <w:rFonts w:hint="cs"/>
          <w:rtl/>
        </w:rPr>
        <w:t xml:space="preserve"> بحث تشویق به گناه که </w:t>
      </w:r>
      <w:r w:rsidR="008D6078" w:rsidRPr="00DF1828">
        <w:rPr>
          <w:rFonts w:hint="cs"/>
          <w:rtl/>
        </w:rPr>
        <w:t xml:space="preserve">در جلسه قبل </w:t>
      </w:r>
      <w:r w:rsidR="00E245DC">
        <w:rPr>
          <w:rFonts w:hint="cs"/>
          <w:rtl/>
        </w:rPr>
        <w:t>به‌طور</w:t>
      </w:r>
      <w:r w:rsidR="008D6078" w:rsidRPr="00DF1828">
        <w:rPr>
          <w:rFonts w:hint="cs"/>
          <w:rtl/>
        </w:rPr>
        <w:t xml:space="preserve"> خاص </w:t>
      </w:r>
      <w:r w:rsidRPr="00DF1828">
        <w:rPr>
          <w:rFonts w:hint="cs"/>
          <w:rtl/>
        </w:rPr>
        <w:t>بحث کردیم</w:t>
      </w:r>
      <w:r w:rsidR="008D6078" w:rsidRPr="00DF1828">
        <w:rPr>
          <w:rFonts w:hint="cs"/>
          <w:rtl/>
        </w:rPr>
        <w:t>.</w:t>
      </w:r>
    </w:p>
    <w:p w:rsidR="004C4753" w:rsidRPr="00A51E72" w:rsidRDefault="004C4753" w:rsidP="00171440">
      <w:pPr>
        <w:pStyle w:val="Heading1"/>
        <w:spacing w:before="0"/>
        <w:rPr>
          <w:rtl/>
        </w:rPr>
      </w:pPr>
      <w:bookmarkStart w:id="3" w:name="_Toc405460177"/>
      <w:r w:rsidRPr="00A51E72">
        <w:rPr>
          <w:rFonts w:hint="cs"/>
          <w:rtl/>
        </w:rPr>
        <w:t>اشاره قرآن به مجلس معصیت</w:t>
      </w:r>
      <w:bookmarkEnd w:id="3"/>
    </w:p>
    <w:p w:rsidR="00590437" w:rsidRPr="00DF1828" w:rsidRDefault="00B62AFF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آیاتی </w:t>
      </w:r>
      <w:r w:rsidR="0057524E" w:rsidRPr="00DF1828">
        <w:rPr>
          <w:rFonts w:hint="cs"/>
          <w:rtl/>
        </w:rPr>
        <w:t xml:space="preserve">در قرآن </w:t>
      </w:r>
      <w:r w:rsidRPr="00DF1828">
        <w:rPr>
          <w:rFonts w:hint="cs"/>
          <w:rtl/>
        </w:rPr>
        <w:t xml:space="preserve">اشاره به </w:t>
      </w:r>
      <w:r w:rsidR="0057524E" w:rsidRPr="00DF1828">
        <w:rPr>
          <w:rFonts w:hint="cs"/>
          <w:rtl/>
        </w:rPr>
        <w:t xml:space="preserve">مجالسی </w:t>
      </w:r>
      <w:r w:rsidR="00E245DC">
        <w:rPr>
          <w:rFonts w:hint="cs"/>
          <w:rtl/>
        </w:rPr>
        <w:t>می‌کند</w:t>
      </w:r>
      <w:r w:rsidR="0057524E" w:rsidRPr="00DF1828">
        <w:rPr>
          <w:rFonts w:hint="cs"/>
          <w:rtl/>
        </w:rPr>
        <w:t xml:space="preserve"> که در </w:t>
      </w:r>
      <w:r w:rsidR="00E245DC">
        <w:rPr>
          <w:rFonts w:hint="cs"/>
          <w:rtl/>
        </w:rPr>
        <w:t>آن‌ها</w:t>
      </w:r>
      <w:r w:rsidR="0057524E" w:rsidRPr="00DF1828">
        <w:rPr>
          <w:rFonts w:hint="cs"/>
          <w:rtl/>
        </w:rPr>
        <w:t xml:space="preserve"> کفر گفته </w:t>
      </w:r>
      <w:r w:rsidR="00E245DC">
        <w:rPr>
          <w:rFonts w:hint="cs"/>
          <w:rtl/>
        </w:rPr>
        <w:t>می‌شود</w:t>
      </w:r>
      <w:r w:rsidR="0057524E" w:rsidRPr="00DF1828">
        <w:rPr>
          <w:rFonts w:hint="cs"/>
          <w:rtl/>
        </w:rPr>
        <w:t xml:space="preserve"> یا آیات</w:t>
      </w:r>
      <w:r w:rsidR="002B3613" w:rsidRPr="00DF1828">
        <w:rPr>
          <w:rFonts w:hint="cs"/>
          <w:rtl/>
        </w:rPr>
        <w:t xml:space="preserve"> الله مورد استهزاء قرار </w:t>
      </w:r>
      <w:r w:rsidR="00E245DC">
        <w:rPr>
          <w:rFonts w:hint="cs"/>
          <w:rtl/>
        </w:rPr>
        <w:t>می‌گیرد</w:t>
      </w:r>
      <w:r w:rsidRPr="00DF1828">
        <w:rPr>
          <w:rFonts w:hint="cs"/>
          <w:rtl/>
        </w:rPr>
        <w:t xml:space="preserve">؛ مانند </w:t>
      </w:r>
      <w:r w:rsidRPr="004C4753">
        <w:rPr>
          <w:rFonts w:hint="cs"/>
          <w:rtl/>
        </w:rPr>
        <w:t>«</w:t>
      </w:r>
      <w:r w:rsidRPr="005C6EA6">
        <w:rPr>
          <w:rFonts w:hint="cs"/>
          <w:b/>
          <w:bCs/>
          <w:rtl/>
        </w:rPr>
        <w:t>خُضْتُمْ‏ كَالَّذي خاضُوا</w:t>
      </w:r>
      <w:r w:rsidRPr="004C4753">
        <w:rPr>
          <w:rFonts w:hint="cs"/>
          <w:rtl/>
        </w:rPr>
        <w:t>» (توبه/</w:t>
      </w:r>
      <w:r w:rsidR="00A51E72">
        <w:rPr>
          <w:rtl/>
        </w:rPr>
        <w:t>۶۹</w:t>
      </w:r>
      <w:r w:rsidRPr="004C4753">
        <w:rPr>
          <w:rFonts w:hint="cs"/>
          <w:rtl/>
        </w:rPr>
        <w:t xml:space="preserve">) و </w:t>
      </w:r>
      <w:r w:rsidR="0057524E" w:rsidRPr="004C4753">
        <w:rPr>
          <w:rFonts w:hint="cs"/>
          <w:rtl/>
        </w:rPr>
        <w:t xml:space="preserve">یا </w:t>
      </w:r>
      <w:r w:rsidRPr="004C4753">
        <w:rPr>
          <w:rFonts w:hint="cs"/>
          <w:rtl/>
        </w:rPr>
        <w:t>«</w:t>
      </w:r>
      <w:r w:rsidRPr="005C6EA6">
        <w:rPr>
          <w:rFonts w:hint="cs"/>
          <w:b/>
          <w:bCs/>
          <w:rtl/>
        </w:rPr>
        <w:t>إِذا سَمِعْتُمْ آياتِ اللَّهِ يُكْفَرُ بِها وَ يُسْتَهْزَأُ بِها فَلا تَقْعُدُوا مَعَهُمْ حَتَّى يَخُوضُوا في‏ حَديثٍ غَيْرِه‏</w:t>
      </w:r>
      <w:r w:rsidRPr="004C4753">
        <w:rPr>
          <w:rFonts w:hint="cs"/>
          <w:rtl/>
        </w:rPr>
        <w:t>» (نساء/</w:t>
      </w:r>
      <w:r w:rsidR="00A51E72">
        <w:rPr>
          <w:rtl/>
        </w:rPr>
        <w:t>۱۴۰</w:t>
      </w:r>
      <w:r w:rsidRPr="004C4753">
        <w:rPr>
          <w:rFonts w:hint="cs"/>
          <w:rtl/>
        </w:rPr>
        <w:t xml:space="preserve">) </w:t>
      </w:r>
      <w:r w:rsidR="0057524E" w:rsidRPr="00DF1828">
        <w:rPr>
          <w:rFonts w:hint="cs"/>
          <w:rtl/>
        </w:rPr>
        <w:t>چند</w:t>
      </w:r>
      <w:r w:rsidRPr="00DF1828">
        <w:rPr>
          <w:rFonts w:hint="cs"/>
          <w:rtl/>
        </w:rPr>
        <w:t>ین</w:t>
      </w:r>
      <w:r w:rsidR="0057524E" w:rsidRPr="00DF1828">
        <w:rPr>
          <w:rFonts w:hint="cs"/>
          <w:rtl/>
        </w:rPr>
        <w:t xml:space="preserve"> آیه </w:t>
      </w:r>
      <w:r w:rsidRPr="00DF1828">
        <w:rPr>
          <w:rFonts w:hint="cs"/>
          <w:rtl/>
        </w:rPr>
        <w:t>با</w:t>
      </w:r>
      <w:r w:rsidR="0057524E" w:rsidRPr="00DF1828">
        <w:rPr>
          <w:rFonts w:hint="cs"/>
          <w:rtl/>
        </w:rPr>
        <w:t xml:space="preserve"> این مضمون </w:t>
      </w:r>
      <w:r w:rsidRPr="00DF1828">
        <w:rPr>
          <w:rFonts w:hint="cs"/>
          <w:rtl/>
        </w:rPr>
        <w:t xml:space="preserve">هست که خداوند از نشستن در </w:t>
      </w:r>
      <w:r w:rsidR="00E245DC">
        <w:rPr>
          <w:rFonts w:hint="cs"/>
          <w:rtl/>
        </w:rPr>
        <w:t>این‌گونه</w:t>
      </w:r>
      <w:r w:rsidRPr="00DF1828">
        <w:rPr>
          <w:rFonts w:hint="cs"/>
          <w:rtl/>
        </w:rPr>
        <w:t xml:space="preserve"> مجالس نهی </w:t>
      </w:r>
      <w:r w:rsidR="00E245DC">
        <w:rPr>
          <w:rFonts w:hint="cs"/>
          <w:rtl/>
        </w:rPr>
        <w:t>می‌کند</w:t>
      </w:r>
      <w:r w:rsidRPr="00DF1828">
        <w:rPr>
          <w:rFonts w:hint="cs"/>
          <w:rtl/>
        </w:rPr>
        <w:t>.</w:t>
      </w:r>
    </w:p>
    <w:p w:rsidR="00590437" w:rsidRPr="00DF1828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این مجموعه </w:t>
      </w:r>
      <w:r w:rsidR="00590437" w:rsidRPr="00DF1828">
        <w:rPr>
          <w:rFonts w:hint="cs"/>
          <w:rtl/>
        </w:rPr>
        <w:t xml:space="preserve">آیات، </w:t>
      </w:r>
      <w:r w:rsidRPr="00DF1828">
        <w:rPr>
          <w:rFonts w:hint="cs"/>
          <w:rtl/>
        </w:rPr>
        <w:t>در ارتباط با مطلق مجالس معصیت نیست</w:t>
      </w:r>
      <w:r w:rsidR="00590437" w:rsidRPr="00DF1828">
        <w:rPr>
          <w:rFonts w:hint="cs"/>
          <w:rtl/>
        </w:rPr>
        <w:t>؛ بلکه</w:t>
      </w:r>
      <w:r w:rsidRPr="00DF1828">
        <w:rPr>
          <w:rFonts w:hint="cs"/>
          <w:rtl/>
        </w:rPr>
        <w:t xml:space="preserve"> مربوط به مجالسی است که </w:t>
      </w:r>
      <w:r w:rsidR="00590437" w:rsidRPr="00DF1828">
        <w:rPr>
          <w:rFonts w:hint="cs"/>
          <w:rtl/>
        </w:rPr>
        <w:t xml:space="preserve">مراد از </w:t>
      </w:r>
      <w:r w:rsidRPr="00DF1828">
        <w:rPr>
          <w:rFonts w:hint="cs"/>
          <w:rtl/>
        </w:rPr>
        <w:t xml:space="preserve">عصیان در آنجا کفر </w:t>
      </w:r>
      <w:r w:rsidR="00E245DC">
        <w:rPr>
          <w:rFonts w:hint="cs"/>
          <w:rtl/>
        </w:rPr>
        <w:t>و استهزاء</w:t>
      </w:r>
      <w:r w:rsidRPr="00DF1828">
        <w:rPr>
          <w:rFonts w:hint="cs"/>
          <w:rtl/>
        </w:rPr>
        <w:t xml:space="preserve"> آیات الله و اضلال و امثال </w:t>
      </w:r>
      <w:r w:rsidR="00E245DC">
        <w:rPr>
          <w:rFonts w:hint="cs"/>
          <w:rtl/>
        </w:rPr>
        <w:t>این‌ها</w:t>
      </w:r>
      <w:r w:rsidR="00590437" w:rsidRPr="00DF1828">
        <w:rPr>
          <w:rFonts w:hint="cs"/>
          <w:rtl/>
        </w:rPr>
        <w:t xml:space="preserve"> است که</w:t>
      </w:r>
      <w:r w:rsidRPr="00DF1828">
        <w:rPr>
          <w:rFonts w:hint="cs"/>
          <w:rtl/>
        </w:rPr>
        <w:t xml:space="preserve"> بیشتر </w:t>
      </w:r>
      <w:r w:rsidR="00E245DC">
        <w:rPr>
          <w:rFonts w:hint="cs"/>
          <w:rtl/>
        </w:rPr>
        <w:t>اضلال‌های</w:t>
      </w:r>
      <w:r w:rsidRPr="00DF1828">
        <w:rPr>
          <w:rFonts w:hint="cs"/>
          <w:rtl/>
        </w:rPr>
        <w:t xml:space="preserve"> اعتقادی است</w:t>
      </w:r>
      <w:r w:rsidR="00590437" w:rsidRPr="00DF1828">
        <w:rPr>
          <w:rFonts w:hint="cs"/>
          <w:rtl/>
        </w:rPr>
        <w:t>.</w:t>
      </w:r>
      <w:r w:rsidRPr="00DF1828">
        <w:rPr>
          <w:rFonts w:hint="cs"/>
          <w:rtl/>
        </w:rPr>
        <w:t xml:space="preserve"> آیه </w:t>
      </w:r>
      <w:r w:rsidR="00590437" w:rsidRPr="004C4753">
        <w:rPr>
          <w:rFonts w:hint="cs"/>
          <w:b/>
          <w:bCs/>
          <w:rtl/>
        </w:rPr>
        <w:t xml:space="preserve">«وَ مِنَ النَّاسِ مَنْ يَشْتَري‏ لَهْوَ الْحَديثِ لِيُضِلَّ عَنْ سَبيلِ اللَّهِ بِغَيْرِ عِلْمٍ‏» </w:t>
      </w:r>
      <w:r w:rsidR="00590437" w:rsidRPr="00F77113">
        <w:rPr>
          <w:rFonts w:hint="cs"/>
          <w:rtl/>
        </w:rPr>
        <w:t>(لقمان/</w:t>
      </w:r>
      <w:r w:rsidR="00A51E72" w:rsidRPr="00F77113">
        <w:rPr>
          <w:rtl/>
        </w:rPr>
        <w:t>۶</w:t>
      </w:r>
      <w:r w:rsidR="00590437" w:rsidRPr="00F77113">
        <w:rPr>
          <w:rFonts w:hint="cs"/>
          <w:rtl/>
        </w:rPr>
        <w:t>)</w:t>
      </w:r>
      <w:r w:rsidR="00590437" w:rsidRPr="00DF1828">
        <w:rPr>
          <w:rFonts w:hint="cs"/>
          <w:rtl/>
        </w:rPr>
        <w:t xml:space="preserve"> هم </w:t>
      </w:r>
      <w:r w:rsidRPr="00DF1828">
        <w:rPr>
          <w:rFonts w:hint="cs"/>
          <w:rtl/>
        </w:rPr>
        <w:t>به نحوی با این بحث ارتباط دارد</w:t>
      </w:r>
      <w:r w:rsidR="00590437" w:rsidRPr="00DF1828">
        <w:rPr>
          <w:rFonts w:hint="cs"/>
          <w:rtl/>
        </w:rPr>
        <w:t>.</w:t>
      </w:r>
    </w:p>
    <w:p w:rsidR="004C4753" w:rsidRPr="00A51E72" w:rsidRDefault="004C4753" w:rsidP="00171440">
      <w:pPr>
        <w:pStyle w:val="Heading1"/>
        <w:spacing w:before="0"/>
        <w:rPr>
          <w:rtl/>
        </w:rPr>
      </w:pPr>
      <w:bookmarkStart w:id="4" w:name="_Toc405460178"/>
      <w:r w:rsidRPr="00A51E72">
        <w:rPr>
          <w:rFonts w:hint="cs"/>
          <w:rtl/>
        </w:rPr>
        <w:t>استخراج قاعده کلی از آیات و روایات</w:t>
      </w:r>
      <w:bookmarkEnd w:id="4"/>
    </w:p>
    <w:p w:rsidR="00590437" w:rsidRPr="00DF1828" w:rsidRDefault="00590437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مورد دیگر در </w:t>
      </w:r>
      <w:r w:rsidR="0057524E" w:rsidRPr="00DF1828">
        <w:rPr>
          <w:rFonts w:hint="cs"/>
          <w:rtl/>
        </w:rPr>
        <w:t>ر</w:t>
      </w:r>
      <w:r w:rsidRPr="00DF1828">
        <w:rPr>
          <w:rFonts w:hint="cs"/>
          <w:rtl/>
        </w:rPr>
        <w:t>و</w:t>
      </w:r>
      <w:r w:rsidR="0057524E" w:rsidRPr="00DF1828">
        <w:rPr>
          <w:rFonts w:hint="cs"/>
          <w:rtl/>
        </w:rPr>
        <w:t>ایات</w:t>
      </w:r>
      <w:r w:rsidRPr="00DF1828"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بحث مجالس شرب خمر است که روایات </w:t>
      </w:r>
      <w:r w:rsidR="00E245DC">
        <w:rPr>
          <w:rFonts w:hint="cs"/>
          <w:rtl/>
        </w:rPr>
        <w:t>خاصه‌ای</w:t>
      </w:r>
      <w:r w:rsidR="0057524E" w:rsidRPr="00DF1828">
        <w:rPr>
          <w:rFonts w:hint="cs"/>
          <w:rtl/>
        </w:rPr>
        <w:t xml:space="preserve"> دارد</w:t>
      </w:r>
      <w:r w:rsidRPr="00DF1828"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در بعضی از معاصی </w:t>
      </w:r>
      <w:r w:rsidR="00E245DC">
        <w:rPr>
          <w:rFonts w:hint="cs"/>
          <w:rtl/>
        </w:rPr>
        <w:t>به‌طور</w:t>
      </w:r>
      <w:r w:rsidR="0057524E" w:rsidRPr="00DF1828">
        <w:rPr>
          <w:rFonts w:hint="cs"/>
          <w:rtl/>
        </w:rPr>
        <w:t xml:space="preserve"> خاص </w:t>
      </w:r>
      <w:r w:rsidRPr="00DF1828">
        <w:rPr>
          <w:rFonts w:hint="cs"/>
          <w:rtl/>
        </w:rPr>
        <w:t>روایت داریم؛</w:t>
      </w:r>
      <w:r w:rsidR="0057524E" w:rsidRPr="00DF1828">
        <w:rPr>
          <w:rFonts w:hint="cs"/>
          <w:rtl/>
        </w:rPr>
        <w:t xml:space="preserve"> اما اینکه دلیلی روایی یا خبری و حدیثی داشته ب</w:t>
      </w:r>
      <w:r w:rsidRPr="00DF1828">
        <w:rPr>
          <w:rFonts w:hint="cs"/>
          <w:rtl/>
        </w:rPr>
        <w:t xml:space="preserve">اشیم که قاعده </w:t>
      </w:r>
      <w:r w:rsidR="00E245DC">
        <w:rPr>
          <w:rFonts w:hint="cs"/>
          <w:rtl/>
        </w:rPr>
        <w:t>عامه‌ای</w:t>
      </w:r>
      <w:r w:rsidRPr="00DF1828">
        <w:rPr>
          <w:rFonts w:hint="cs"/>
          <w:rtl/>
        </w:rPr>
        <w:t xml:space="preserve"> را افاده </w:t>
      </w:r>
      <w:r w:rsidR="0057524E" w:rsidRPr="00DF1828">
        <w:rPr>
          <w:rFonts w:hint="cs"/>
          <w:rtl/>
        </w:rPr>
        <w:t>کند بر اینکه حضور در مطلق مجلس معصیت</w:t>
      </w:r>
      <w:r w:rsidRPr="00DF1828">
        <w:rPr>
          <w:rFonts w:hint="cs"/>
          <w:rtl/>
        </w:rPr>
        <w:t xml:space="preserve"> اشکال دارد،</w:t>
      </w:r>
      <w:r w:rsidR="0057524E" w:rsidRPr="00DF1828">
        <w:rPr>
          <w:rFonts w:hint="cs"/>
          <w:rtl/>
        </w:rPr>
        <w:t xml:space="preserve"> صغیرة کانت </w:t>
      </w:r>
      <w:r w:rsidRPr="00DF1828">
        <w:rPr>
          <w:rFonts w:hint="cs"/>
          <w:rtl/>
        </w:rPr>
        <w:t xml:space="preserve">أو </w:t>
      </w:r>
      <w:r w:rsidR="0057524E" w:rsidRPr="00DF1828">
        <w:rPr>
          <w:rFonts w:hint="cs"/>
          <w:rtl/>
        </w:rPr>
        <w:t xml:space="preserve">کبیرة، </w:t>
      </w:r>
      <w:r w:rsidRPr="00DF1828">
        <w:rPr>
          <w:rFonts w:hint="cs"/>
          <w:rtl/>
        </w:rPr>
        <w:t>این نیاز به تحقیق دارد. امکان دارد که</w:t>
      </w:r>
      <w:r w:rsidR="0057524E" w:rsidRPr="00DF1828">
        <w:rPr>
          <w:rFonts w:hint="cs"/>
          <w:rtl/>
        </w:rPr>
        <w:t xml:space="preserve"> از طریق جمع این مفردات</w:t>
      </w:r>
      <w:r w:rsidRPr="00DF1828">
        <w:rPr>
          <w:rFonts w:hint="cs"/>
          <w:rtl/>
        </w:rPr>
        <w:t xml:space="preserve">، </w:t>
      </w:r>
      <w:r w:rsidR="00E245DC">
        <w:rPr>
          <w:rFonts w:hint="eastAsia"/>
          <w:rtl/>
        </w:rPr>
        <w:t>به‌قاعده</w:t>
      </w:r>
      <w:r w:rsidR="0057524E"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عامه‌ای</w:t>
      </w:r>
      <w:r w:rsidR="0057524E" w:rsidRPr="00DF1828">
        <w:rPr>
          <w:rFonts w:hint="cs"/>
          <w:rtl/>
        </w:rPr>
        <w:t xml:space="preserve"> بر</w:t>
      </w:r>
      <w:r w:rsidRPr="00DF1828">
        <w:rPr>
          <w:rFonts w:hint="cs"/>
          <w:rtl/>
        </w:rPr>
        <w:t>سیم که این هم نیاز به بحث دارد.</w:t>
      </w:r>
    </w:p>
    <w:p w:rsidR="0055244B" w:rsidRPr="00DF1828" w:rsidRDefault="0055244B" w:rsidP="00171440">
      <w:pPr>
        <w:spacing w:after="0"/>
        <w:rPr>
          <w:rtl/>
        </w:rPr>
      </w:pPr>
      <w:r w:rsidRPr="00DF1828">
        <w:rPr>
          <w:rFonts w:hint="cs"/>
          <w:rtl/>
        </w:rPr>
        <w:t>بنابراین برای حکم شرکت در مجالس معصیت، حداقل سه احتمال</w:t>
      </w:r>
      <w:r w:rsidR="0057524E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>وجود دارد:</w:t>
      </w:r>
    </w:p>
    <w:p w:rsidR="0055244B" w:rsidRPr="00DF1828" w:rsidRDefault="00A51E72" w:rsidP="00171440">
      <w:pPr>
        <w:spacing w:after="0"/>
      </w:pPr>
      <w:r>
        <w:rPr>
          <w:rtl/>
        </w:rPr>
        <w:t>۱</w:t>
      </w:r>
      <w:r w:rsidR="00DF1828">
        <w:rPr>
          <w:rFonts w:hint="cs"/>
          <w:rtl/>
        </w:rPr>
        <w:t xml:space="preserve">: </w:t>
      </w:r>
      <w:r w:rsidR="0057524E" w:rsidRPr="00DF1828">
        <w:rPr>
          <w:rFonts w:hint="cs"/>
          <w:rtl/>
        </w:rPr>
        <w:t xml:space="preserve">قاعده عامه </w:t>
      </w:r>
      <w:r w:rsidR="0055244B" w:rsidRPr="00DF1828">
        <w:rPr>
          <w:rFonts w:hint="cs"/>
          <w:rtl/>
        </w:rPr>
        <w:t>حرمت مشارکت در مطلق مجالس معصیت.</w:t>
      </w:r>
    </w:p>
    <w:p w:rsidR="0055244B" w:rsidRPr="00DF1828" w:rsidRDefault="00A51E72" w:rsidP="00171440">
      <w:pPr>
        <w:spacing w:after="0"/>
      </w:pPr>
      <w:r>
        <w:rPr>
          <w:rtl/>
        </w:rPr>
        <w:t>۲</w:t>
      </w:r>
      <w:r w:rsidR="00DF1828">
        <w:rPr>
          <w:rFonts w:hint="cs"/>
          <w:rtl/>
        </w:rPr>
        <w:t xml:space="preserve">: </w:t>
      </w:r>
      <w:r w:rsidR="0055244B" w:rsidRPr="00DF1828">
        <w:rPr>
          <w:rFonts w:hint="cs"/>
          <w:rtl/>
        </w:rPr>
        <w:t>حرمت شرکت در مجالس معصیت کبیره.</w:t>
      </w:r>
    </w:p>
    <w:p w:rsidR="00277BFD" w:rsidRDefault="00A51E72" w:rsidP="00171440">
      <w:pPr>
        <w:spacing w:after="0"/>
        <w:rPr>
          <w:rtl/>
        </w:rPr>
      </w:pPr>
      <w:r>
        <w:rPr>
          <w:rtl/>
        </w:rPr>
        <w:t>۳</w:t>
      </w:r>
      <w:r w:rsidR="00DF1828">
        <w:rPr>
          <w:rFonts w:hint="cs"/>
          <w:rtl/>
        </w:rPr>
        <w:t xml:space="preserve">: </w:t>
      </w:r>
      <w:r w:rsidR="0057524E" w:rsidRPr="00DF1828">
        <w:rPr>
          <w:rFonts w:hint="cs"/>
          <w:rtl/>
        </w:rPr>
        <w:t xml:space="preserve">قاعده </w:t>
      </w:r>
      <w:r w:rsidR="00E245DC">
        <w:rPr>
          <w:rFonts w:hint="cs"/>
          <w:rtl/>
        </w:rPr>
        <w:t>عامه‌ای</w:t>
      </w:r>
      <w:r w:rsidR="0057524E" w:rsidRPr="00DF1828">
        <w:rPr>
          <w:rFonts w:hint="cs"/>
          <w:rtl/>
        </w:rPr>
        <w:t xml:space="preserve"> وجود </w:t>
      </w:r>
      <w:r w:rsidR="0055244B" w:rsidRPr="00DF1828">
        <w:rPr>
          <w:rFonts w:hint="cs"/>
          <w:rtl/>
        </w:rPr>
        <w:t>ندارد</w:t>
      </w:r>
      <w:r w:rsidR="00DF1828">
        <w:rPr>
          <w:rFonts w:hint="cs"/>
          <w:rtl/>
        </w:rPr>
        <w:t xml:space="preserve"> و در هر مورد باید به دلیلش رجوع کرد.</w:t>
      </w:r>
    </w:p>
    <w:p w:rsidR="00277BFD" w:rsidRDefault="0055244B" w:rsidP="00171440">
      <w:pPr>
        <w:spacing w:after="0"/>
        <w:rPr>
          <w:rtl/>
        </w:rPr>
      </w:pPr>
      <w:r w:rsidRPr="00DF1828">
        <w:rPr>
          <w:rFonts w:hint="cs"/>
          <w:rtl/>
        </w:rPr>
        <w:t>البته اصل کراهت</w:t>
      </w:r>
      <w:r w:rsidR="0057524E"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درهرحال</w:t>
      </w:r>
      <w:r w:rsidR="0057524E" w:rsidRPr="00DF1828">
        <w:rPr>
          <w:rFonts w:hint="cs"/>
          <w:rtl/>
        </w:rPr>
        <w:t xml:space="preserve"> مسلم است</w:t>
      </w:r>
      <w:r w:rsidRPr="00DF1828">
        <w:rPr>
          <w:rFonts w:hint="cs"/>
          <w:rtl/>
        </w:rPr>
        <w:t xml:space="preserve"> و</w:t>
      </w:r>
      <w:r w:rsidR="0057524E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>شاهدش آیه شریفه</w:t>
      </w:r>
      <w:r w:rsidR="0057524E" w:rsidRPr="00DF1828">
        <w:rPr>
          <w:rFonts w:hint="cs"/>
          <w:rtl/>
        </w:rPr>
        <w:t xml:space="preserve"> </w:t>
      </w:r>
      <w:r w:rsidRPr="00DF1828">
        <w:rPr>
          <w:rFonts w:hint="cs"/>
          <w:b/>
          <w:bCs/>
          <w:rtl/>
        </w:rPr>
        <w:t>«وَ الَّذينَ لا يَشْهَدُونَ‏ الزُّورَ وَ إِذا مَرّ</w:t>
      </w:r>
      <w:r w:rsidR="00F77113">
        <w:rPr>
          <w:rFonts w:hint="cs"/>
          <w:b/>
          <w:bCs/>
          <w:rtl/>
        </w:rPr>
        <w:t>ُوا بِاللَّغْوِ مَرُّوا كِراما»</w:t>
      </w:r>
      <w:r w:rsidRPr="00F77113">
        <w:rPr>
          <w:rFonts w:hint="cs"/>
          <w:rtl/>
        </w:rPr>
        <w:t>(فرقان/</w:t>
      </w:r>
      <w:r w:rsidR="00A51E72" w:rsidRPr="00F77113">
        <w:rPr>
          <w:rtl/>
        </w:rPr>
        <w:t>۷۲</w:t>
      </w:r>
      <w:r w:rsidRPr="00F77113">
        <w:rPr>
          <w:rFonts w:hint="cs"/>
          <w:rtl/>
        </w:rPr>
        <w:t xml:space="preserve">) است </w:t>
      </w:r>
      <w:r w:rsidR="0057524E" w:rsidRPr="00F77113">
        <w:rPr>
          <w:rFonts w:hint="cs"/>
          <w:rtl/>
        </w:rPr>
        <w:t>که</w:t>
      </w:r>
      <w:r w:rsidR="0057524E" w:rsidRPr="00DF1828">
        <w:rPr>
          <w:rFonts w:hint="cs"/>
          <w:rtl/>
        </w:rPr>
        <w:t xml:space="preserve"> حداقل کراهت را </w:t>
      </w:r>
      <w:r w:rsidR="00E245DC">
        <w:rPr>
          <w:rFonts w:hint="cs"/>
          <w:rtl/>
        </w:rPr>
        <w:t>می‌رساند</w:t>
      </w:r>
      <w:r w:rsidR="00A51E72">
        <w:rPr>
          <w:rFonts w:hint="eastAsia"/>
          <w:rtl/>
        </w:rPr>
        <w:t>؛</w:t>
      </w:r>
      <w:r w:rsidR="00A51E72">
        <w:rPr>
          <w:rtl/>
        </w:rPr>
        <w:t xml:space="preserve"> </w:t>
      </w:r>
      <w:r w:rsidR="00DF1828">
        <w:rPr>
          <w:rFonts w:hint="cs"/>
          <w:rtl/>
        </w:rPr>
        <w:t>بنابراین</w:t>
      </w:r>
      <w:r w:rsidR="0057524E" w:rsidRPr="00DF1828">
        <w:rPr>
          <w:rFonts w:hint="cs"/>
          <w:rtl/>
        </w:rPr>
        <w:t xml:space="preserve"> بحث مجالس معصیت</w:t>
      </w:r>
      <w:r w:rsidR="00DF1828">
        <w:rPr>
          <w:rFonts w:hint="cs"/>
          <w:rtl/>
        </w:rPr>
        <w:t>، یک بحث مقام اول</w:t>
      </w:r>
      <w:r w:rsidR="0057524E" w:rsidRPr="00DF1828">
        <w:rPr>
          <w:rFonts w:hint="cs"/>
          <w:rtl/>
        </w:rPr>
        <w:t xml:space="preserve"> دارد که </w:t>
      </w:r>
      <w:r w:rsidR="00DF1828">
        <w:rPr>
          <w:rFonts w:hint="cs"/>
          <w:rtl/>
        </w:rPr>
        <w:t>از منظر روایات خاصه است و</w:t>
      </w:r>
      <w:r w:rsidR="0057524E" w:rsidRPr="00DF1828">
        <w:rPr>
          <w:rFonts w:hint="cs"/>
          <w:rtl/>
        </w:rPr>
        <w:t xml:space="preserve"> روایاتی که قاعده کلی بگوید</w:t>
      </w:r>
      <w:r w:rsidR="00DF1828"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بحث </w:t>
      </w:r>
      <w:r w:rsidR="00DF1828">
        <w:rPr>
          <w:rFonts w:hint="cs"/>
          <w:rtl/>
        </w:rPr>
        <w:t>جدایی</w:t>
      </w:r>
      <w:r w:rsidR="00A51E72">
        <w:rPr>
          <w:rtl/>
        </w:rPr>
        <w:t xml:space="preserve"> </w:t>
      </w:r>
      <w:r w:rsidR="00DF1828">
        <w:rPr>
          <w:rFonts w:hint="cs"/>
          <w:rtl/>
        </w:rPr>
        <w:t>است</w:t>
      </w:r>
      <w:r w:rsidR="0057524E" w:rsidRPr="00DF1828">
        <w:rPr>
          <w:rFonts w:hint="cs"/>
          <w:rtl/>
        </w:rPr>
        <w:t xml:space="preserve"> که ما وارد آن نشدیم</w:t>
      </w:r>
      <w:r w:rsidR="00DF1828">
        <w:rPr>
          <w:rFonts w:hint="cs"/>
          <w:rtl/>
        </w:rPr>
        <w:t>.</w:t>
      </w:r>
    </w:p>
    <w:p w:rsidR="00277BFD" w:rsidRPr="00A51E72" w:rsidRDefault="00277BFD" w:rsidP="00171440">
      <w:pPr>
        <w:pStyle w:val="Heading1"/>
        <w:spacing w:before="0"/>
        <w:rPr>
          <w:rtl/>
        </w:rPr>
      </w:pPr>
      <w:bookmarkStart w:id="5" w:name="_Toc405460179"/>
      <w:r w:rsidRPr="00A51E72">
        <w:rPr>
          <w:rFonts w:hint="cs"/>
          <w:rtl/>
        </w:rPr>
        <w:lastRenderedPageBreak/>
        <w:t>مقام دوم: حرمت حضور در مجلس معصیت با عنوان ثانویه</w:t>
      </w:r>
      <w:bookmarkEnd w:id="5"/>
    </w:p>
    <w:p w:rsidR="00277BFD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مقام دوم این است که </w:t>
      </w:r>
      <w:r w:rsidR="00DF1828">
        <w:rPr>
          <w:rFonts w:hint="cs"/>
          <w:rtl/>
        </w:rPr>
        <w:t>آیا</w:t>
      </w:r>
      <w:r w:rsidRPr="00DF1828">
        <w:rPr>
          <w:rFonts w:hint="cs"/>
          <w:rtl/>
        </w:rPr>
        <w:t xml:space="preserve"> قواعد عامه </w:t>
      </w:r>
      <w:r w:rsidR="00DF1828">
        <w:rPr>
          <w:rFonts w:hint="cs"/>
          <w:rtl/>
        </w:rPr>
        <w:t>و</w:t>
      </w:r>
      <w:r w:rsidRPr="00DF1828">
        <w:rPr>
          <w:rFonts w:hint="cs"/>
          <w:rtl/>
        </w:rPr>
        <w:t xml:space="preserve"> عناوین </w:t>
      </w:r>
      <w:r w:rsidR="00E245DC">
        <w:rPr>
          <w:rFonts w:hint="cs"/>
          <w:rtl/>
        </w:rPr>
        <w:t>ثانویه‌ای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به‌غیراز</w:t>
      </w:r>
      <w:r w:rsidR="00DF1828">
        <w:rPr>
          <w:rFonts w:hint="cs"/>
          <w:rtl/>
        </w:rPr>
        <w:t xml:space="preserve"> آیات و روایات </w:t>
      </w:r>
      <w:r w:rsidRPr="00DF1828">
        <w:rPr>
          <w:rFonts w:hint="cs"/>
          <w:rtl/>
        </w:rPr>
        <w:t>داریم که حضور</w:t>
      </w:r>
      <w:r w:rsidR="00DF1828">
        <w:rPr>
          <w:rFonts w:hint="cs"/>
          <w:rtl/>
        </w:rPr>
        <w:t xml:space="preserve"> در مجلس معصیت </w:t>
      </w:r>
      <w:r w:rsidR="00E245DC">
        <w:rPr>
          <w:rFonts w:hint="cs"/>
          <w:rtl/>
        </w:rPr>
        <w:t>ازجمله</w:t>
      </w:r>
      <w:r w:rsidR="00DF1828">
        <w:rPr>
          <w:rFonts w:hint="cs"/>
          <w:rtl/>
        </w:rPr>
        <w:t xml:space="preserve"> مجلس غنا را منع کند یا نه؟</w:t>
      </w:r>
      <w:r w:rsidR="00277BFD">
        <w:rPr>
          <w:rFonts w:hint="cs"/>
          <w:rtl/>
        </w:rPr>
        <w:t xml:space="preserve"> </w:t>
      </w:r>
      <w:r w:rsidR="00121644">
        <w:rPr>
          <w:rFonts w:hint="cs"/>
          <w:rtl/>
        </w:rPr>
        <w:t>قبل</w:t>
      </w:r>
      <w:r w:rsidR="00DF1828">
        <w:rPr>
          <w:rFonts w:hint="cs"/>
          <w:rtl/>
        </w:rPr>
        <w:t xml:space="preserve"> از ورود به </w:t>
      </w:r>
      <w:r w:rsidRPr="00DF1828">
        <w:rPr>
          <w:rFonts w:hint="cs"/>
          <w:rtl/>
        </w:rPr>
        <w:t>مقام دوم</w:t>
      </w:r>
      <w:r w:rsidR="00DF1828">
        <w:rPr>
          <w:rFonts w:hint="cs"/>
          <w:rtl/>
        </w:rPr>
        <w:t>، به عناوین اولیه و ثانویه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اشاره‌ای</w:t>
      </w:r>
      <w:r w:rsidR="00277BFD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می‌کنیم</w:t>
      </w:r>
      <w:r w:rsidR="00277BFD">
        <w:rPr>
          <w:rFonts w:hint="cs"/>
          <w:rtl/>
        </w:rPr>
        <w:t>:</w:t>
      </w:r>
    </w:p>
    <w:p w:rsidR="00277BFD" w:rsidRPr="00FC42B9" w:rsidRDefault="00277BFD" w:rsidP="00171440">
      <w:pPr>
        <w:pStyle w:val="Heading2"/>
        <w:spacing w:before="0"/>
        <w:rPr>
          <w:rtl/>
        </w:rPr>
      </w:pPr>
      <w:bookmarkStart w:id="6" w:name="_Toc405460180"/>
      <w:r w:rsidRPr="00FC42B9">
        <w:rPr>
          <w:rFonts w:hint="cs"/>
          <w:rtl/>
        </w:rPr>
        <w:t>مقدمه: عنوان اولیه و ثانویه</w:t>
      </w:r>
      <w:bookmarkEnd w:id="6"/>
    </w:p>
    <w:p w:rsidR="00121644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عنوان اولی یعنی عناوینی که ذاتی</w:t>
      </w:r>
      <w:r w:rsidR="00121644">
        <w:rPr>
          <w:rFonts w:hint="cs"/>
          <w:rtl/>
        </w:rPr>
        <w:t>ِ</w:t>
      </w:r>
      <w:r w:rsidRPr="00DF1828">
        <w:rPr>
          <w:rFonts w:hint="cs"/>
          <w:rtl/>
        </w:rPr>
        <w:t xml:space="preserve"> شیء است</w:t>
      </w:r>
      <w:r w:rsidR="00121644">
        <w:rPr>
          <w:rFonts w:hint="cs"/>
          <w:rtl/>
        </w:rPr>
        <w:t>.</w:t>
      </w:r>
      <w:r w:rsidRPr="00DF1828">
        <w:rPr>
          <w:rFonts w:hint="cs"/>
          <w:rtl/>
        </w:rPr>
        <w:t xml:space="preserve"> ذاتی با همان نگاه عرفی که عرف این عنوان را جزء ذات </w:t>
      </w:r>
      <w:r w:rsidR="00121644">
        <w:rPr>
          <w:rFonts w:hint="cs"/>
          <w:rtl/>
        </w:rPr>
        <w:t xml:space="preserve">آن </w:t>
      </w:r>
      <w:r w:rsidR="00E245DC">
        <w:rPr>
          <w:rFonts w:hint="cs"/>
          <w:rtl/>
        </w:rPr>
        <w:t>می‌داند</w:t>
      </w:r>
      <w:r w:rsidR="00121644">
        <w:rPr>
          <w:rFonts w:hint="cs"/>
          <w:rtl/>
        </w:rPr>
        <w:t xml:space="preserve"> نه عنوان عارضی. </w:t>
      </w:r>
      <w:r w:rsidRPr="00DF1828">
        <w:rPr>
          <w:rFonts w:hint="cs"/>
          <w:rtl/>
        </w:rPr>
        <w:t xml:space="preserve">وقتی حکمی روی کلب یا روی آب و امثال </w:t>
      </w:r>
      <w:r w:rsidR="00E245DC">
        <w:rPr>
          <w:rFonts w:hint="cs"/>
          <w:rtl/>
        </w:rPr>
        <w:t>این‌ها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می‌آید</w:t>
      </w:r>
      <w:r w:rsidR="00121644">
        <w:rPr>
          <w:rFonts w:hint="cs"/>
          <w:rtl/>
        </w:rPr>
        <w:t>، حکم روی عنوانی آمده که ذاتی آ</w:t>
      </w:r>
      <w:r w:rsidRPr="00DF1828">
        <w:rPr>
          <w:rFonts w:hint="cs"/>
          <w:rtl/>
        </w:rPr>
        <w:t>ن است و</w:t>
      </w:r>
      <w:r w:rsidR="00121644">
        <w:rPr>
          <w:rFonts w:hint="cs"/>
          <w:rtl/>
        </w:rPr>
        <w:t xml:space="preserve"> </w:t>
      </w:r>
      <w:r w:rsidRPr="00DF1828">
        <w:rPr>
          <w:rFonts w:hint="cs"/>
          <w:rtl/>
        </w:rPr>
        <w:t>لو اینکه ممکن است در تغییر و تحول منتف</w:t>
      </w:r>
      <w:r w:rsidR="00121644">
        <w:rPr>
          <w:rFonts w:hint="cs"/>
          <w:rtl/>
        </w:rPr>
        <w:t xml:space="preserve">ی </w:t>
      </w:r>
      <w:r w:rsidRPr="00DF1828">
        <w:rPr>
          <w:rFonts w:hint="cs"/>
          <w:rtl/>
        </w:rPr>
        <w:t xml:space="preserve">شود </w:t>
      </w:r>
      <w:r w:rsidR="00121644">
        <w:rPr>
          <w:rFonts w:hint="cs"/>
          <w:rtl/>
        </w:rPr>
        <w:t xml:space="preserve">و </w:t>
      </w:r>
      <w:r w:rsidR="00E245DC">
        <w:rPr>
          <w:rFonts w:hint="cs"/>
          <w:rtl/>
        </w:rPr>
        <w:t>مثلاً</w:t>
      </w:r>
      <w:r w:rsidR="00121644">
        <w:rPr>
          <w:rFonts w:hint="cs"/>
          <w:rtl/>
        </w:rPr>
        <w:t xml:space="preserve"> عنوان کلب استحاله شود.</w:t>
      </w:r>
    </w:p>
    <w:p w:rsidR="004A3C1E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عناوین ثانویه عناوینی </w:t>
      </w:r>
      <w:r w:rsidR="00121644">
        <w:rPr>
          <w:rFonts w:hint="cs"/>
          <w:rtl/>
        </w:rPr>
        <w:t>هستند</w:t>
      </w:r>
      <w:r w:rsidRPr="00DF1828">
        <w:rPr>
          <w:rFonts w:hint="cs"/>
          <w:rtl/>
        </w:rPr>
        <w:t xml:space="preserve"> که </w:t>
      </w:r>
      <w:r w:rsidR="00121644">
        <w:rPr>
          <w:rFonts w:hint="cs"/>
          <w:rtl/>
        </w:rPr>
        <w:t xml:space="preserve">در </w:t>
      </w:r>
      <w:r w:rsidRPr="00DF1828">
        <w:rPr>
          <w:rFonts w:hint="cs"/>
          <w:rtl/>
        </w:rPr>
        <w:t>نگاه عرف دقیق</w:t>
      </w:r>
      <w:r w:rsidR="00121644">
        <w:rPr>
          <w:rFonts w:hint="cs"/>
          <w:rtl/>
        </w:rPr>
        <w:t>،</w:t>
      </w:r>
      <w:r w:rsidRPr="00DF1828">
        <w:rPr>
          <w:rFonts w:hint="cs"/>
          <w:rtl/>
        </w:rPr>
        <w:t xml:space="preserve"> عنوان ذاتی </w:t>
      </w:r>
      <w:r w:rsidR="00E245DC">
        <w:rPr>
          <w:rFonts w:hint="cs"/>
          <w:rtl/>
        </w:rPr>
        <w:t>به‌حساب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نمی‌آید</w:t>
      </w:r>
      <w:r w:rsidRPr="00DF1828">
        <w:rPr>
          <w:rFonts w:hint="cs"/>
          <w:rtl/>
        </w:rPr>
        <w:t xml:space="preserve"> </w:t>
      </w:r>
      <w:r w:rsidR="00121644">
        <w:rPr>
          <w:rFonts w:hint="cs"/>
          <w:rtl/>
        </w:rPr>
        <w:t xml:space="preserve">بلکه </w:t>
      </w:r>
      <w:r w:rsidRPr="00DF1828">
        <w:rPr>
          <w:rFonts w:hint="cs"/>
          <w:rtl/>
        </w:rPr>
        <w:t>عنوان عارضی</w:t>
      </w:r>
      <w:r w:rsidR="00121644">
        <w:rPr>
          <w:rFonts w:hint="cs"/>
          <w:rtl/>
        </w:rPr>
        <w:t xml:space="preserve"> و طارئ است. این عروض گاهی </w:t>
      </w:r>
      <w:r w:rsidRPr="00DF1828">
        <w:rPr>
          <w:rFonts w:hint="cs"/>
          <w:rtl/>
        </w:rPr>
        <w:t>غالبی است</w:t>
      </w:r>
      <w:r w:rsidR="00121644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گاهی ربما یعرض و ربما ینتفی است و گاهی هم اقلی است</w:t>
      </w:r>
      <w:r w:rsidR="00121644">
        <w:rPr>
          <w:rFonts w:hint="cs"/>
          <w:rtl/>
        </w:rPr>
        <w:t>.</w:t>
      </w:r>
      <w:r w:rsidRPr="00DF1828">
        <w:rPr>
          <w:rFonts w:hint="cs"/>
          <w:rtl/>
        </w:rPr>
        <w:t xml:space="preserve"> گاهی عنوان ثانوی مفهو</w:t>
      </w:r>
      <w:r w:rsidR="004A3C1E">
        <w:rPr>
          <w:rFonts w:hint="cs"/>
          <w:rtl/>
        </w:rPr>
        <w:t xml:space="preserve">می است که هر سه </w:t>
      </w:r>
      <w:r w:rsidR="00E245DC">
        <w:rPr>
          <w:rFonts w:hint="cs"/>
          <w:rtl/>
        </w:rPr>
        <w:t>این‌ها</w:t>
      </w:r>
      <w:r w:rsidR="004A3C1E">
        <w:rPr>
          <w:rFonts w:hint="cs"/>
          <w:rtl/>
        </w:rPr>
        <w:t xml:space="preserve"> را </w:t>
      </w:r>
      <w:r w:rsidR="00E245DC">
        <w:rPr>
          <w:rFonts w:hint="cs"/>
          <w:rtl/>
        </w:rPr>
        <w:t>می‌گیرد</w:t>
      </w:r>
      <w:r w:rsidR="004A3C1E">
        <w:rPr>
          <w:rFonts w:hint="cs"/>
          <w:rtl/>
        </w:rPr>
        <w:t>؛</w:t>
      </w:r>
      <w:r w:rsidRPr="00DF1828">
        <w:rPr>
          <w:rFonts w:hint="cs"/>
          <w:rtl/>
        </w:rPr>
        <w:t xml:space="preserve"> یعنی</w:t>
      </w:r>
      <w:r w:rsidR="004A3C1E">
        <w:rPr>
          <w:rFonts w:hint="cs"/>
          <w:rtl/>
        </w:rPr>
        <w:t xml:space="preserve"> عنوانی که ذاتی شیء نیست و عارضی </w:t>
      </w:r>
      <w:r w:rsidRPr="00DF1828">
        <w:rPr>
          <w:rFonts w:hint="cs"/>
          <w:rtl/>
        </w:rPr>
        <w:t xml:space="preserve">است </w:t>
      </w:r>
      <w:r w:rsidR="004A3C1E">
        <w:rPr>
          <w:rFonts w:hint="cs"/>
          <w:rtl/>
        </w:rPr>
        <w:t>و عروضش هم</w:t>
      </w:r>
      <w:r w:rsidRPr="00DF1828">
        <w:rPr>
          <w:rFonts w:hint="cs"/>
          <w:rtl/>
        </w:rPr>
        <w:t xml:space="preserve"> اکثریا</w:t>
      </w:r>
      <w:r w:rsidR="00F77113">
        <w:rPr>
          <w:rFonts w:hint="cs"/>
          <w:rtl/>
        </w:rPr>
        <w:t>ً</w:t>
      </w:r>
      <w:r w:rsidRPr="00DF1828">
        <w:rPr>
          <w:rFonts w:hint="cs"/>
          <w:rtl/>
        </w:rPr>
        <w:t xml:space="preserve"> أو مساویا</w:t>
      </w:r>
      <w:r w:rsidR="00F77113">
        <w:rPr>
          <w:rFonts w:hint="cs"/>
          <w:rtl/>
        </w:rPr>
        <w:t>ً</w:t>
      </w:r>
      <w:r w:rsidRPr="00DF1828">
        <w:rPr>
          <w:rFonts w:hint="cs"/>
          <w:rtl/>
        </w:rPr>
        <w:t xml:space="preserve"> أو اقلیا</w:t>
      </w:r>
      <w:r w:rsidR="00F77113">
        <w:rPr>
          <w:rFonts w:hint="cs"/>
          <w:rtl/>
        </w:rPr>
        <w:t>ً</w:t>
      </w:r>
      <w:r w:rsidRPr="00DF1828">
        <w:rPr>
          <w:rFonts w:hint="cs"/>
          <w:rtl/>
        </w:rPr>
        <w:t xml:space="preserve"> هر سه را </w:t>
      </w:r>
      <w:r w:rsidR="004A3C1E">
        <w:rPr>
          <w:rFonts w:hint="cs"/>
          <w:rtl/>
        </w:rPr>
        <w:t xml:space="preserve">شامل </w:t>
      </w:r>
      <w:r w:rsidR="00E245DC">
        <w:rPr>
          <w:rFonts w:hint="cs"/>
          <w:rtl/>
        </w:rPr>
        <w:t>می‌شود</w:t>
      </w:r>
      <w:r w:rsidR="004A3C1E">
        <w:rPr>
          <w:rFonts w:hint="cs"/>
          <w:rtl/>
        </w:rPr>
        <w:t>.</w:t>
      </w:r>
    </w:p>
    <w:p w:rsidR="004A3C1E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گاهی یک عنوان ثانوی به </w:t>
      </w:r>
      <w:r w:rsidR="00E245DC">
        <w:rPr>
          <w:rFonts w:hint="cs"/>
          <w:rtl/>
        </w:rPr>
        <w:t>حالت‌های</w:t>
      </w:r>
      <w:r w:rsidRPr="00DF1828">
        <w:rPr>
          <w:rFonts w:hint="cs"/>
          <w:rtl/>
        </w:rPr>
        <w:t xml:space="preserve"> عناوین اقلی </w:t>
      </w:r>
      <w:r w:rsidR="00E245DC">
        <w:rPr>
          <w:rFonts w:hint="cs"/>
          <w:rtl/>
        </w:rPr>
        <w:t>می‌گوییم</w:t>
      </w:r>
      <w:r w:rsidR="004A3C1E">
        <w:rPr>
          <w:rFonts w:hint="cs"/>
          <w:rtl/>
        </w:rPr>
        <w:t>؛</w:t>
      </w:r>
      <w:r w:rsidRPr="00DF1828">
        <w:rPr>
          <w:rFonts w:hint="cs"/>
          <w:rtl/>
        </w:rPr>
        <w:t xml:space="preserve"> یعنی آنجاهایی که </w:t>
      </w:r>
      <w:r w:rsidR="00E245DC">
        <w:rPr>
          <w:rFonts w:hint="cs"/>
          <w:rtl/>
        </w:rPr>
        <w:t>به‌صورت</w:t>
      </w:r>
      <w:r w:rsidRPr="00DF1828">
        <w:rPr>
          <w:rFonts w:hint="cs"/>
          <w:rtl/>
        </w:rPr>
        <w:t xml:space="preserve"> نادر پیدا </w:t>
      </w:r>
      <w:r w:rsidR="00E245DC">
        <w:rPr>
          <w:rFonts w:hint="cs"/>
          <w:rtl/>
        </w:rPr>
        <w:t>می‌شود</w:t>
      </w:r>
      <w:r w:rsidR="004A3C1E">
        <w:rPr>
          <w:rFonts w:hint="cs"/>
          <w:rtl/>
        </w:rPr>
        <w:t xml:space="preserve">؛ </w:t>
      </w:r>
      <w:r w:rsidR="00E245DC">
        <w:rPr>
          <w:rFonts w:hint="cs"/>
          <w:rtl/>
        </w:rPr>
        <w:t>مثلاً</w:t>
      </w:r>
      <w:r w:rsidRPr="00DF1828">
        <w:rPr>
          <w:rFonts w:hint="cs"/>
          <w:rtl/>
        </w:rPr>
        <w:t xml:space="preserve"> به میته </w:t>
      </w:r>
      <w:r w:rsidR="00E245DC">
        <w:rPr>
          <w:rFonts w:hint="cs"/>
          <w:rtl/>
        </w:rPr>
        <w:t>غالباً</w:t>
      </w:r>
      <w:r w:rsidRPr="00DF1828">
        <w:rPr>
          <w:rFonts w:hint="cs"/>
          <w:rtl/>
        </w:rPr>
        <w:t xml:space="preserve"> اضطراری عارض نیست</w:t>
      </w:r>
      <w:r w:rsidR="004A3C1E">
        <w:rPr>
          <w:rFonts w:hint="cs"/>
          <w:rtl/>
        </w:rPr>
        <w:t xml:space="preserve"> و </w:t>
      </w:r>
      <w:r w:rsidRPr="00DF1828">
        <w:rPr>
          <w:rFonts w:hint="cs"/>
          <w:rtl/>
        </w:rPr>
        <w:t>اضطرار یا اکراه یک عنوان ثانوی عارضی اقلی است</w:t>
      </w:r>
      <w:r w:rsidR="004A3C1E">
        <w:rPr>
          <w:rFonts w:hint="cs"/>
          <w:rtl/>
        </w:rPr>
        <w:t>.</w:t>
      </w:r>
      <w:r w:rsidRPr="00DF1828">
        <w:rPr>
          <w:rFonts w:hint="cs"/>
          <w:rtl/>
        </w:rPr>
        <w:t xml:space="preserve"> غالب </w:t>
      </w:r>
      <w:r w:rsidR="004A3C1E">
        <w:rPr>
          <w:rFonts w:hint="cs"/>
          <w:rtl/>
        </w:rPr>
        <w:t>اموری</w:t>
      </w:r>
      <w:r w:rsidR="00E245DC">
        <w:rPr>
          <w:rFonts w:hint="cs"/>
          <w:rtl/>
        </w:rPr>
        <w:t xml:space="preserve"> که ما به آن م</w:t>
      </w:r>
      <w:r w:rsidRPr="00DF1828">
        <w:rPr>
          <w:rFonts w:hint="cs"/>
          <w:rtl/>
        </w:rPr>
        <w:t>ک</w:t>
      </w:r>
      <w:r w:rsidR="00E245DC">
        <w:rPr>
          <w:rFonts w:hint="cs"/>
          <w:rtl/>
        </w:rPr>
        <w:t>ل</w:t>
      </w:r>
      <w:r w:rsidRPr="00DF1828">
        <w:rPr>
          <w:rFonts w:hint="cs"/>
          <w:rtl/>
        </w:rPr>
        <w:t xml:space="preserve">ف </w:t>
      </w:r>
      <w:r w:rsidR="00E245DC">
        <w:rPr>
          <w:rFonts w:hint="cs"/>
          <w:rtl/>
        </w:rPr>
        <w:t>شده‌ایم</w:t>
      </w:r>
      <w:r w:rsidRPr="00DF1828">
        <w:rPr>
          <w:rFonts w:hint="cs"/>
          <w:rtl/>
        </w:rPr>
        <w:t xml:space="preserve"> </w:t>
      </w:r>
      <w:r w:rsidR="004A3C1E">
        <w:rPr>
          <w:rFonts w:hint="cs"/>
          <w:rtl/>
        </w:rPr>
        <w:t xml:space="preserve">تا انجام بدهیم یا ترک بکنیم، </w:t>
      </w:r>
      <w:r w:rsidRPr="00DF1828">
        <w:rPr>
          <w:rFonts w:hint="cs"/>
          <w:rtl/>
        </w:rPr>
        <w:t xml:space="preserve">حالت اضطراری </w:t>
      </w:r>
      <w:r w:rsidR="004A3C1E">
        <w:rPr>
          <w:rFonts w:hint="cs"/>
          <w:rtl/>
        </w:rPr>
        <w:t>ندارند.</w:t>
      </w:r>
    </w:p>
    <w:p w:rsidR="00277BFD" w:rsidRPr="00FC42B9" w:rsidRDefault="00277BFD" w:rsidP="00171440">
      <w:pPr>
        <w:pStyle w:val="Heading2"/>
        <w:spacing w:before="0"/>
        <w:rPr>
          <w:rtl/>
        </w:rPr>
      </w:pPr>
      <w:bookmarkStart w:id="7" w:name="_Toc405460181"/>
      <w:r w:rsidRPr="00FC42B9">
        <w:rPr>
          <w:rFonts w:hint="cs"/>
          <w:rtl/>
        </w:rPr>
        <w:t>اطلاق عنوان ثانویه بر همه شرایط</w:t>
      </w:r>
      <w:bookmarkEnd w:id="7"/>
    </w:p>
    <w:p w:rsidR="00976A56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عنوان ثانوی مفهوم </w:t>
      </w:r>
      <w:r w:rsidR="00A51E72">
        <w:rPr>
          <w:rFonts w:hint="cs"/>
          <w:rtl/>
        </w:rPr>
        <w:t>عامی دارد</w:t>
      </w:r>
      <w:r w:rsidRPr="00DF1828">
        <w:rPr>
          <w:rFonts w:hint="cs"/>
          <w:rtl/>
        </w:rPr>
        <w:t xml:space="preserve"> که همه </w:t>
      </w:r>
      <w:r w:rsidR="00E245DC">
        <w:rPr>
          <w:rFonts w:hint="cs"/>
          <w:rtl/>
        </w:rPr>
        <w:t>شرایط</w:t>
      </w:r>
      <w:r w:rsidRPr="00DF1828">
        <w:rPr>
          <w:rFonts w:hint="cs"/>
          <w:rtl/>
        </w:rPr>
        <w:t xml:space="preserve"> را </w:t>
      </w:r>
      <w:r w:rsidR="00E245DC">
        <w:rPr>
          <w:rFonts w:hint="cs"/>
          <w:rtl/>
        </w:rPr>
        <w:t>می‌گیرد</w:t>
      </w:r>
      <w:r w:rsidR="00976A56">
        <w:rPr>
          <w:rFonts w:hint="cs"/>
          <w:rtl/>
        </w:rPr>
        <w:t xml:space="preserve"> که یکی از آن شرایط، </w:t>
      </w:r>
      <w:r w:rsidRPr="00DF1828">
        <w:rPr>
          <w:rFonts w:hint="cs"/>
          <w:rtl/>
        </w:rPr>
        <w:t xml:space="preserve">عنوان ثانوی در حد همیشگی </w:t>
      </w:r>
      <w:r w:rsidR="00976A56">
        <w:rPr>
          <w:rFonts w:hint="cs"/>
          <w:rtl/>
        </w:rPr>
        <w:t>و</w:t>
      </w:r>
      <w:r w:rsidRPr="00DF1828">
        <w:rPr>
          <w:rFonts w:hint="cs"/>
          <w:rtl/>
        </w:rPr>
        <w:t xml:space="preserve"> غالبی است</w:t>
      </w:r>
      <w:r w:rsidR="00976A56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976A56">
        <w:rPr>
          <w:rFonts w:hint="cs"/>
          <w:rtl/>
        </w:rPr>
        <w:t>در کتاب‌</w:t>
      </w:r>
      <w:r w:rsidRPr="00DF1828">
        <w:rPr>
          <w:rFonts w:hint="cs"/>
          <w:rtl/>
        </w:rPr>
        <w:t xml:space="preserve">القضاء </w:t>
      </w:r>
      <w:r w:rsidR="00E245DC">
        <w:rPr>
          <w:rFonts w:hint="cs"/>
          <w:rtl/>
        </w:rPr>
        <w:t>گفته‌شده</w:t>
      </w:r>
      <w:r w:rsidR="00976A56">
        <w:rPr>
          <w:rFonts w:hint="cs"/>
          <w:rtl/>
        </w:rPr>
        <w:t xml:space="preserve"> که قضا یا تصدی قضا واجب است. </w:t>
      </w:r>
      <w:r w:rsidR="00E245DC">
        <w:rPr>
          <w:rFonts w:hint="cs"/>
          <w:rtl/>
        </w:rPr>
        <w:t>عده‌ای</w:t>
      </w:r>
      <w:r w:rsidRPr="00DF1828">
        <w:rPr>
          <w:rFonts w:hint="cs"/>
          <w:rtl/>
        </w:rPr>
        <w:t xml:space="preserve"> </w:t>
      </w:r>
      <w:r w:rsidR="00976A56">
        <w:rPr>
          <w:rFonts w:hint="cs"/>
          <w:rtl/>
        </w:rPr>
        <w:t xml:space="preserve">باید درست درس بخوانند تا قاضی شوند </w:t>
      </w:r>
      <w:r w:rsidR="00E245DC">
        <w:rPr>
          <w:rFonts w:hint="cs"/>
          <w:rtl/>
        </w:rPr>
        <w:t>و آنجایی</w:t>
      </w:r>
      <w:r w:rsidRPr="00DF1828">
        <w:rPr>
          <w:rFonts w:hint="cs"/>
          <w:rtl/>
        </w:rPr>
        <w:t xml:space="preserve"> که درست </w:t>
      </w:r>
      <w:r w:rsidR="00E245DC">
        <w:rPr>
          <w:rFonts w:hint="cs"/>
          <w:rtl/>
        </w:rPr>
        <w:t>خوانده‌اند</w:t>
      </w:r>
      <w:r w:rsidR="00976A56">
        <w:rPr>
          <w:rFonts w:hint="cs"/>
          <w:rtl/>
        </w:rPr>
        <w:t xml:space="preserve"> باید به امر قضا قیام </w:t>
      </w:r>
      <w:r w:rsidRPr="00DF1828">
        <w:rPr>
          <w:rFonts w:hint="cs"/>
          <w:rtl/>
        </w:rPr>
        <w:t xml:space="preserve">کنند. ادله لفظی </w:t>
      </w:r>
      <w:r w:rsidR="00976A56">
        <w:rPr>
          <w:rFonts w:hint="cs"/>
          <w:rtl/>
        </w:rPr>
        <w:t>این حکم،</w:t>
      </w:r>
      <w:r w:rsidRPr="00DF1828">
        <w:rPr>
          <w:rFonts w:hint="cs"/>
          <w:rtl/>
        </w:rPr>
        <w:t xml:space="preserve"> </w:t>
      </w:r>
      <w:r w:rsidR="00976A56">
        <w:rPr>
          <w:rFonts w:hint="cs"/>
          <w:rtl/>
        </w:rPr>
        <w:t>تام نیست.</w:t>
      </w:r>
    </w:p>
    <w:p w:rsidR="004914DD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یکی از </w:t>
      </w:r>
      <w:r w:rsidR="00E245DC">
        <w:rPr>
          <w:rFonts w:hint="cs"/>
          <w:rtl/>
        </w:rPr>
        <w:t>مهم‌ترین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ادله‌اش</w:t>
      </w:r>
      <w:r w:rsidRPr="00DF1828">
        <w:rPr>
          <w:rFonts w:hint="cs"/>
          <w:rtl/>
        </w:rPr>
        <w:t xml:space="preserve"> وجوب حفظ نظام است</w:t>
      </w:r>
      <w:r w:rsidR="00976A56">
        <w:rPr>
          <w:rFonts w:hint="cs"/>
          <w:rtl/>
        </w:rPr>
        <w:t>.</w:t>
      </w:r>
      <w:r w:rsidRPr="00DF1828">
        <w:rPr>
          <w:rFonts w:hint="cs"/>
          <w:rtl/>
        </w:rPr>
        <w:t xml:space="preserve"> حفظ نظام یک قاعده کلی و عنوان ثانوی است </w:t>
      </w:r>
      <w:r w:rsidR="00976A56">
        <w:rPr>
          <w:rFonts w:hint="cs"/>
          <w:rtl/>
        </w:rPr>
        <w:t>و</w:t>
      </w:r>
      <w:r w:rsidRPr="00DF1828">
        <w:rPr>
          <w:rFonts w:hint="cs"/>
          <w:rtl/>
        </w:rPr>
        <w:t xml:space="preserve"> موضوع خاصی نیست </w:t>
      </w:r>
      <w:r w:rsidR="004914DD">
        <w:rPr>
          <w:rFonts w:hint="cs"/>
          <w:rtl/>
        </w:rPr>
        <w:t xml:space="preserve">و </w:t>
      </w:r>
      <w:r w:rsidRPr="00DF1828">
        <w:rPr>
          <w:rFonts w:hint="cs"/>
          <w:rtl/>
        </w:rPr>
        <w:t xml:space="preserve">مثل نماز عنوان خاص </w:t>
      </w:r>
      <w:r w:rsidR="004914DD">
        <w:rPr>
          <w:rFonts w:hint="cs"/>
          <w:rtl/>
        </w:rPr>
        <w:t>ندارد</w:t>
      </w:r>
      <w:r w:rsidRPr="00DF1828">
        <w:rPr>
          <w:rFonts w:hint="cs"/>
          <w:rtl/>
        </w:rPr>
        <w:t xml:space="preserve"> که این عنوان</w:t>
      </w:r>
      <w:r w:rsidR="004914DD">
        <w:rPr>
          <w:rFonts w:hint="cs"/>
          <w:rtl/>
        </w:rPr>
        <w:t>،</w:t>
      </w:r>
      <w:r w:rsidRPr="00DF1828">
        <w:rPr>
          <w:rFonts w:hint="cs"/>
          <w:rtl/>
        </w:rPr>
        <w:t xml:space="preserve"> ذاتی</w:t>
      </w:r>
      <w:r w:rsidR="004914DD">
        <w:rPr>
          <w:rFonts w:hint="cs"/>
          <w:rtl/>
        </w:rPr>
        <w:t>ِ</w:t>
      </w:r>
      <w:r w:rsidRPr="00DF1828">
        <w:rPr>
          <w:rFonts w:hint="cs"/>
          <w:rtl/>
        </w:rPr>
        <w:t xml:space="preserve"> موضوعی باشد</w:t>
      </w:r>
      <w:r w:rsidR="004914DD">
        <w:rPr>
          <w:rFonts w:hint="cs"/>
          <w:rtl/>
        </w:rPr>
        <w:t>.</w:t>
      </w:r>
      <w:r w:rsidRPr="00DF1828">
        <w:rPr>
          <w:rFonts w:hint="cs"/>
          <w:rtl/>
        </w:rPr>
        <w:t xml:space="preserve"> حفظ نظام عنوان انتزاعی کلی است که بر افعال مختلف عارض </w:t>
      </w:r>
      <w:r w:rsidR="00E245DC">
        <w:rPr>
          <w:rFonts w:hint="cs"/>
          <w:rtl/>
        </w:rPr>
        <w:t>می‌شود</w:t>
      </w:r>
      <w:r w:rsidR="004914DD">
        <w:rPr>
          <w:rFonts w:hint="cs"/>
          <w:rtl/>
        </w:rPr>
        <w:t>.</w:t>
      </w:r>
      <w:r w:rsidRPr="00DF1828">
        <w:rPr>
          <w:rFonts w:hint="cs"/>
          <w:rtl/>
        </w:rPr>
        <w:t xml:space="preserve"> یکی از مصادیق حفظ نظام</w:t>
      </w:r>
      <w:r w:rsidR="004914DD">
        <w:rPr>
          <w:rFonts w:hint="cs"/>
          <w:rtl/>
        </w:rPr>
        <w:t>، قضا ا</w:t>
      </w:r>
      <w:r w:rsidRPr="00DF1828">
        <w:rPr>
          <w:rFonts w:hint="cs"/>
          <w:rtl/>
        </w:rPr>
        <w:t>ست</w:t>
      </w:r>
      <w:r w:rsidR="004914DD">
        <w:rPr>
          <w:rFonts w:hint="cs"/>
          <w:rtl/>
        </w:rPr>
        <w:t>.</w:t>
      </w:r>
      <w:r w:rsidRPr="00DF1828">
        <w:rPr>
          <w:rFonts w:hint="cs"/>
          <w:rtl/>
        </w:rPr>
        <w:t xml:space="preserve"> اگر در جامعه قاضی </w:t>
      </w:r>
      <w:r w:rsidR="004914DD">
        <w:rPr>
          <w:rFonts w:hint="cs"/>
          <w:rtl/>
        </w:rPr>
        <w:t xml:space="preserve">و سیستم </w:t>
      </w:r>
      <w:r w:rsidR="004914DD">
        <w:rPr>
          <w:rFonts w:hint="cs"/>
          <w:rtl/>
        </w:rPr>
        <w:lastRenderedPageBreak/>
        <w:t xml:space="preserve">قضایی نباشد، </w:t>
      </w:r>
      <w:r w:rsidR="00E245DC">
        <w:rPr>
          <w:rFonts w:hint="cs"/>
          <w:rtl/>
        </w:rPr>
        <w:t>هرج‌ومرج</w:t>
      </w:r>
      <w:r w:rsidR="004914DD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می‌شود</w:t>
      </w:r>
      <w:r w:rsidR="004914DD">
        <w:rPr>
          <w:rFonts w:hint="cs"/>
          <w:rtl/>
        </w:rPr>
        <w:t>؛</w:t>
      </w:r>
      <w:r w:rsidRPr="00DF1828">
        <w:rPr>
          <w:rFonts w:hint="cs"/>
          <w:rtl/>
        </w:rPr>
        <w:t xml:space="preserve"> لذا برای دفع اختلال نظام و </w:t>
      </w:r>
      <w:r w:rsidR="00E245DC">
        <w:rPr>
          <w:rFonts w:hint="cs"/>
          <w:rtl/>
        </w:rPr>
        <w:t>هرج‌ومرج</w:t>
      </w:r>
      <w:r w:rsidRPr="00DF1828">
        <w:rPr>
          <w:rFonts w:hint="cs"/>
          <w:rtl/>
        </w:rPr>
        <w:t xml:space="preserve"> و حفظ نظام باید </w:t>
      </w:r>
      <w:r w:rsidR="004914DD">
        <w:rPr>
          <w:rFonts w:hint="cs"/>
          <w:rtl/>
        </w:rPr>
        <w:t xml:space="preserve">منصب </w:t>
      </w:r>
      <w:r w:rsidR="00E245DC">
        <w:rPr>
          <w:rFonts w:hint="cs"/>
          <w:rtl/>
        </w:rPr>
        <w:t>قضا</w:t>
      </w:r>
      <w:r w:rsidR="004914DD">
        <w:rPr>
          <w:rFonts w:hint="cs"/>
          <w:rtl/>
        </w:rPr>
        <w:t xml:space="preserve"> را متصدی شود.</w:t>
      </w:r>
    </w:p>
    <w:p w:rsidR="00725AA5" w:rsidRDefault="004914DD" w:rsidP="00171440">
      <w:pPr>
        <w:spacing w:after="0"/>
        <w:rPr>
          <w:rtl/>
        </w:rPr>
      </w:pPr>
      <w:r>
        <w:rPr>
          <w:rFonts w:hint="cs"/>
          <w:rtl/>
        </w:rPr>
        <w:t>قضا</w:t>
      </w:r>
      <w:r w:rsidR="0057524E" w:rsidRPr="00DF1828">
        <w:rPr>
          <w:rFonts w:hint="cs"/>
          <w:rtl/>
        </w:rPr>
        <w:t xml:space="preserve"> در طول تاریخ همیشه واجب بوده ولی وجوبش عنوان اولی نیست که بگوییم</w:t>
      </w:r>
      <w:r>
        <w:rPr>
          <w:rFonts w:hint="cs"/>
          <w:rtl/>
        </w:rPr>
        <w:t xml:space="preserve">: </w:t>
      </w:r>
      <w:r w:rsidR="00E245DC">
        <w:rPr>
          <w:rFonts w:hint="cs"/>
          <w:rtl/>
        </w:rPr>
        <w:t>قضا</w:t>
      </w:r>
      <w:r>
        <w:rPr>
          <w:rFonts w:hint="cs"/>
          <w:rtl/>
        </w:rPr>
        <w:t xml:space="preserve"> واجب است؛ </w:t>
      </w:r>
      <w:r w:rsidR="0057524E" w:rsidRPr="00DF1828">
        <w:rPr>
          <w:rFonts w:hint="cs"/>
          <w:rtl/>
        </w:rPr>
        <w:t xml:space="preserve">بلکه عنوان انتزاعی کلی </w:t>
      </w:r>
      <w:r>
        <w:rPr>
          <w:rFonts w:hint="cs"/>
          <w:rtl/>
        </w:rPr>
        <w:t>است</w:t>
      </w:r>
      <w:r w:rsidR="0057524E" w:rsidRPr="00DF1828">
        <w:rPr>
          <w:rFonts w:hint="cs"/>
          <w:rtl/>
        </w:rPr>
        <w:t xml:space="preserve"> که منطبق بر </w:t>
      </w:r>
      <w:r w:rsidR="00E245DC">
        <w:rPr>
          <w:rFonts w:hint="cs"/>
          <w:rtl/>
        </w:rPr>
        <w:t>قضا</w:t>
      </w:r>
      <w:r w:rsidR="0057524E"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این انطباق</w:t>
      </w:r>
      <w:r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اقلی نیست </w:t>
      </w:r>
      <w:r>
        <w:rPr>
          <w:rFonts w:hint="cs"/>
          <w:rtl/>
        </w:rPr>
        <w:t>بلکه</w:t>
      </w:r>
      <w:r w:rsidR="0057524E" w:rsidRPr="00DF1828">
        <w:rPr>
          <w:rFonts w:hint="cs"/>
          <w:rtl/>
        </w:rPr>
        <w:t xml:space="preserve"> غالبی است</w:t>
      </w:r>
      <w:r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در طول </w:t>
      </w:r>
      <w:r w:rsidR="00E245DC">
        <w:rPr>
          <w:rFonts w:hint="cs"/>
          <w:rtl/>
        </w:rPr>
        <w:t>دوره‌های</w:t>
      </w:r>
      <w:r w:rsidR="0057524E" w:rsidRPr="00DF1828">
        <w:rPr>
          <w:rFonts w:hint="cs"/>
          <w:rtl/>
        </w:rPr>
        <w:t xml:space="preserve"> قرون متمادی</w:t>
      </w:r>
      <w:r w:rsidR="00725AA5"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</w:t>
      </w:r>
      <w:r w:rsidR="00725AA5">
        <w:rPr>
          <w:rFonts w:hint="cs"/>
          <w:rtl/>
        </w:rPr>
        <w:t>تصدی قضا</w:t>
      </w:r>
      <w:r w:rsidR="0057524E" w:rsidRPr="00DF1828">
        <w:rPr>
          <w:rFonts w:hint="cs"/>
          <w:rtl/>
        </w:rPr>
        <w:t xml:space="preserve"> مصداق وجوب حفظ نظام بوده</w:t>
      </w:r>
      <w:r w:rsidR="00725AA5">
        <w:rPr>
          <w:rFonts w:hint="cs"/>
          <w:rtl/>
        </w:rPr>
        <w:t xml:space="preserve"> است.</w:t>
      </w:r>
    </w:p>
    <w:p w:rsidR="00725AA5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البته ممکن است </w:t>
      </w:r>
      <w:r w:rsidR="00E245DC">
        <w:rPr>
          <w:rFonts w:hint="cs"/>
          <w:rtl/>
        </w:rPr>
        <w:t>یک‌وقتی</w:t>
      </w:r>
      <w:r w:rsidRPr="00DF1828">
        <w:rPr>
          <w:rFonts w:hint="cs"/>
          <w:rtl/>
        </w:rPr>
        <w:t xml:space="preserve"> جامعه </w:t>
      </w:r>
      <w:r w:rsidR="00E245DC">
        <w:rPr>
          <w:rFonts w:hint="cs"/>
          <w:rtl/>
        </w:rPr>
        <w:t>به‌جایی</w:t>
      </w:r>
      <w:r w:rsidR="00725AA5">
        <w:rPr>
          <w:rFonts w:hint="cs"/>
          <w:rtl/>
        </w:rPr>
        <w:t xml:space="preserve"> برسد که دعوا در آن برچیده </w:t>
      </w:r>
      <w:r w:rsidRPr="00DF1828">
        <w:rPr>
          <w:rFonts w:hint="cs"/>
          <w:rtl/>
        </w:rPr>
        <w:t xml:space="preserve">شود یا </w:t>
      </w:r>
      <w:r w:rsidR="00E245DC">
        <w:rPr>
          <w:rFonts w:hint="cs"/>
          <w:rtl/>
        </w:rPr>
        <w:t>دستگاه‌هایی</w:t>
      </w:r>
      <w:r w:rsidR="00725AA5">
        <w:rPr>
          <w:rFonts w:hint="cs"/>
          <w:rtl/>
        </w:rPr>
        <w:t xml:space="preserve"> </w:t>
      </w:r>
      <w:r w:rsidR="00E245DC">
        <w:rPr>
          <w:rFonts w:hint="cs"/>
          <w:rtl/>
        </w:rPr>
        <w:t>کنترل‌کننده</w:t>
      </w:r>
      <w:r w:rsidRPr="00DF1828">
        <w:rPr>
          <w:rFonts w:hint="cs"/>
          <w:rtl/>
        </w:rPr>
        <w:t xml:space="preserve"> </w:t>
      </w:r>
      <w:r w:rsidR="00725AA5">
        <w:rPr>
          <w:rFonts w:hint="cs"/>
          <w:rtl/>
        </w:rPr>
        <w:t>درست شود که به دعوا منجر ن</w:t>
      </w:r>
      <w:r w:rsidRPr="00DF1828">
        <w:rPr>
          <w:rFonts w:hint="cs"/>
          <w:rtl/>
        </w:rPr>
        <w:t>شود</w:t>
      </w:r>
      <w:r w:rsidR="00725AA5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725AA5">
        <w:rPr>
          <w:rFonts w:hint="cs"/>
          <w:rtl/>
        </w:rPr>
        <w:t xml:space="preserve">اگر </w:t>
      </w:r>
      <w:r w:rsidR="00E245DC">
        <w:rPr>
          <w:rFonts w:hint="cs"/>
          <w:rtl/>
        </w:rPr>
        <w:t>این‌طور</w:t>
      </w:r>
      <w:r w:rsidR="00725AA5">
        <w:rPr>
          <w:rFonts w:hint="cs"/>
          <w:rtl/>
        </w:rPr>
        <w:t xml:space="preserve"> شود، تصدی قضا</w:t>
      </w:r>
      <w:r w:rsidRPr="00DF1828">
        <w:rPr>
          <w:rFonts w:hint="cs"/>
          <w:rtl/>
        </w:rPr>
        <w:t xml:space="preserve"> واجب</w:t>
      </w:r>
      <w:r w:rsidR="00725AA5">
        <w:rPr>
          <w:rFonts w:hint="cs"/>
          <w:rtl/>
        </w:rPr>
        <w:t xml:space="preserve"> نیست.</w:t>
      </w:r>
      <w:r w:rsidRPr="00DF1828">
        <w:rPr>
          <w:rFonts w:hint="cs"/>
          <w:rtl/>
        </w:rPr>
        <w:t xml:space="preserve"> یک عنوان عارضی ثانوی بود که سال</w:t>
      </w:r>
      <w:r w:rsidR="00E245DC">
        <w:rPr>
          <w:rFonts w:hint="cs"/>
          <w:rtl/>
        </w:rPr>
        <w:t>‌ها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می‌گفت: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قضا</w:t>
      </w:r>
      <w:r w:rsidRPr="00DF1828">
        <w:rPr>
          <w:rFonts w:hint="cs"/>
          <w:rtl/>
        </w:rPr>
        <w:t xml:space="preserve"> واجب است ولی </w:t>
      </w:r>
      <w:r w:rsidR="00E245DC">
        <w:rPr>
          <w:rFonts w:hint="cs"/>
          <w:rtl/>
        </w:rPr>
        <w:t>الآن</w:t>
      </w:r>
      <w:r w:rsidRPr="00DF1828">
        <w:rPr>
          <w:rFonts w:hint="cs"/>
          <w:rtl/>
        </w:rPr>
        <w:t xml:space="preserve"> منتفی </w:t>
      </w:r>
      <w:r w:rsidR="00725AA5">
        <w:rPr>
          <w:rFonts w:hint="cs"/>
          <w:rtl/>
        </w:rPr>
        <w:t>شده است.</w:t>
      </w:r>
      <w:r w:rsidRPr="00725AA5">
        <w:rPr>
          <w:rFonts w:hint="cs"/>
          <w:rtl/>
        </w:rPr>
        <w:t xml:space="preserve"> امکان</w:t>
      </w:r>
      <w:r w:rsidR="00725AA5">
        <w:rPr>
          <w:rFonts w:hint="cs"/>
          <w:rtl/>
        </w:rPr>
        <w:t xml:space="preserve"> این دارد که</w:t>
      </w:r>
      <w:r w:rsidRPr="00DF1828">
        <w:rPr>
          <w:rFonts w:hint="cs"/>
          <w:rtl/>
        </w:rPr>
        <w:t xml:space="preserve"> امر عارضی</w:t>
      </w:r>
      <w:r w:rsidR="00A51E72">
        <w:rPr>
          <w:rFonts w:hint="cs"/>
          <w:rtl/>
        </w:rPr>
        <w:t>،</w:t>
      </w:r>
      <w:r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سالیانی</w:t>
      </w:r>
      <w:r w:rsidR="00725AA5" w:rsidRPr="00DF1828">
        <w:rPr>
          <w:rFonts w:hint="cs"/>
          <w:rtl/>
        </w:rPr>
        <w:t xml:space="preserve"> بوده </w:t>
      </w:r>
      <w:r w:rsidR="00725AA5">
        <w:rPr>
          <w:rFonts w:hint="cs"/>
          <w:rtl/>
        </w:rPr>
        <w:t xml:space="preserve">باشد ولی </w:t>
      </w:r>
      <w:r w:rsidR="00E245DC">
        <w:rPr>
          <w:rFonts w:hint="cs"/>
          <w:rtl/>
        </w:rPr>
        <w:t>الآن</w:t>
      </w:r>
      <w:r w:rsidR="00725AA5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از این موضوع </w:t>
      </w:r>
      <w:r w:rsidR="00725AA5">
        <w:rPr>
          <w:rFonts w:hint="cs"/>
          <w:rtl/>
        </w:rPr>
        <w:t>بگذرد.</w:t>
      </w:r>
    </w:p>
    <w:p w:rsidR="00277BFD" w:rsidRPr="00FC42B9" w:rsidRDefault="00277BFD" w:rsidP="00171440">
      <w:pPr>
        <w:pStyle w:val="Heading2"/>
        <w:spacing w:before="0"/>
        <w:rPr>
          <w:rtl/>
        </w:rPr>
      </w:pPr>
      <w:bookmarkStart w:id="8" w:name="_Toc405460182"/>
      <w:r w:rsidRPr="00FC42B9">
        <w:rPr>
          <w:rFonts w:hint="cs"/>
          <w:rtl/>
        </w:rPr>
        <w:t>عدم اختصاص عنوان ثانویه به اضطرار و اکراه</w:t>
      </w:r>
      <w:bookmarkEnd w:id="8"/>
    </w:p>
    <w:p w:rsidR="00006049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عنوان ثانوی که</w:t>
      </w:r>
      <w:r w:rsidR="00725AA5">
        <w:rPr>
          <w:rFonts w:hint="cs"/>
          <w:rtl/>
        </w:rPr>
        <w:t xml:space="preserve"> گفته </w:t>
      </w:r>
      <w:r w:rsidR="00E245DC">
        <w:rPr>
          <w:rFonts w:hint="cs"/>
          <w:rtl/>
        </w:rPr>
        <w:t>می‌شود</w:t>
      </w:r>
      <w:r w:rsidR="00725AA5">
        <w:rPr>
          <w:rFonts w:hint="cs"/>
          <w:rtl/>
        </w:rPr>
        <w:t>،</w:t>
      </w:r>
      <w:r w:rsidRPr="00DF1828">
        <w:rPr>
          <w:rFonts w:hint="cs"/>
          <w:rtl/>
        </w:rPr>
        <w:t xml:space="preserve"> ذهنمان </w:t>
      </w:r>
      <w:r w:rsidR="00725AA5" w:rsidRPr="00DF1828">
        <w:rPr>
          <w:rFonts w:hint="cs"/>
          <w:rtl/>
        </w:rPr>
        <w:t xml:space="preserve">فقط </w:t>
      </w:r>
      <w:r w:rsidRPr="00DF1828">
        <w:rPr>
          <w:rFonts w:hint="cs"/>
          <w:rtl/>
        </w:rPr>
        <w:t xml:space="preserve">روی اضطرار و اکراه </w:t>
      </w:r>
      <w:r w:rsidR="00A51E72">
        <w:rPr>
          <w:rFonts w:hint="cs"/>
          <w:rtl/>
        </w:rPr>
        <w:t>می‌رود</w:t>
      </w:r>
      <w:r w:rsidRPr="00DF1828">
        <w:rPr>
          <w:rFonts w:hint="cs"/>
          <w:rtl/>
        </w:rPr>
        <w:t xml:space="preserve"> که </w:t>
      </w:r>
      <w:r w:rsidR="00E245DC">
        <w:rPr>
          <w:rFonts w:hint="cs"/>
          <w:rtl/>
        </w:rPr>
        <w:t>حالت‌های</w:t>
      </w:r>
      <w:r w:rsidRPr="00DF1828">
        <w:rPr>
          <w:rFonts w:hint="cs"/>
          <w:rtl/>
        </w:rPr>
        <w:t xml:space="preserve"> ویژه اس</w:t>
      </w:r>
      <w:r w:rsidR="00725AA5">
        <w:rPr>
          <w:rFonts w:hint="cs"/>
          <w:rtl/>
        </w:rPr>
        <w:t>ت و گاهی هست و گاهی نیست و گاهی</w:t>
      </w:r>
      <w:r w:rsidRPr="00DF1828">
        <w:rPr>
          <w:rFonts w:hint="cs"/>
          <w:rtl/>
        </w:rPr>
        <w:t xml:space="preserve"> ه</w:t>
      </w:r>
      <w:r w:rsidR="00725AA5">
        <w:rPr>
          <w:rFonts w:hint="cs"/>
          <w:rtl/>
        </w:rPr>
        <w:t xml:space="preserve">م اقل است و حرمتی را </w:t>
      </w:r>
      <w:r w:rsidR="00A51E72">
        <w:rPr>
          <w:rFonts w:hint="cs"/>
          <w:rtl/>
        </w:rPr>
        <w:t>برمی‌دارد</w:t>
      </w:r>
      <w:r w:rsidR="00725AA5">
        <w:rPr>
          <w:rFonts w:hint="cs"/>
          <w:rtl/>
        </w:rPr>
        <w:t>؛</w:t>
      </w:r>
      <w:r w:rsidRPr="00DF1828">
        <w:rPr>
          <w:rFonts w:hint="cs"/>
          <w:rtl/>
        </w:rPr>
        <w:t xml:space="preserve"> اما عناوین ثانویه</w:t>
      </w:r>
      <w:r w:rsidR="00725AA5">
        <w:rPr>
          <w:rFonts w:hint="cs"/>
          <w:rtl/>
        </w:rPr>
        <w:t>،</w:t>
      </w:r>
      <w:r w:rsidRPr="00DF1828">
        <w:rPr>
          <w:rFonts w:hint="cs"/>
          <w:rtl/>
        </w:rPr>
        <w:t xml:space="preserve"> اختصاص به این ندارد </w:t>
      </w:r>
      <w:r w:rsidR="00725AA5">
        <w:rPr>
          <w:rFonts w:hint="cs"/>
          <w:rtl/>
        </w:rPr>
        <w:t xml:space="preserve">بلکه </w:t>
      </w:r>
      <w:r w:rsidRPr="00DF1828">
        <w:rPr>
          <w:rFonts w:hint="cs"/>
          <w:rtl/>
        </w:rPr>
        <w:t xml:space="preserve">شامل عناوین </w:t>
      </w:r>
      <w:r w:rsidR="00E245DC">
        <w:rPr>
          <w:rFonts w:hint="cs"/>
          <w:rtl/>
        </w:rPr>
        <w:t>عامه‌ای</w:t>
      </w:r>
      <w:r w:rsidRPr="00DF1828">
        <w:rPr>
          <w:rFonts w:hint="cs"/>
          <w:rtl/>
        </w:rPr>
        <w:t xml:space="preserve"> </w:t>
      </w:r>
      <w:r w:rsidR="00006049" w:rsidRPr="00DF1828">
        <w:rPr>
          <w:rFonts w:hint="cs"/>
          <w:rtl/>
        </w:rPr>
        <w:t xml:space="preserve">هم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 xml:space="preserve"> که عروضش غالبی است</w:t>
      </w:r>
      <w:r w:rsidR="00006049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</w:t>
      </w:r>
      <w:r w:rsidR="00006049">
        <w:rPr>
          <w:rFonts w:hint="cs"/>
          <w:rtl/>
        </w:rPr>
        <w:t xml:space="preserve">در طول </w:t>
      </w:r>
      <w:r w:rsidR="00A51E72">
        <w:rPr>
          <w:rFonts w:hint="cs"/>
          <w:rtl/>
        </w:rPr>
        <w:t>قرن‌ها</w:t>
      </w:r>
      <w:r w:rsidR="00006049">
        <w:rPr>
          <w:rFonts w:hint="cs"/>
          <w:rtl/>
        </w:rPr>
        <w:t xml:space="preserve"> همیشگی است.</w:t>
      </w:r>
    </w:p>
    <w:p w:rsidR="00BE19AB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عروض </w:t>
      </w:r>
      <w:r w:rsidR="00E245DC">
        <w:rPr>
          <w:rFonts w:hint="cs"/>
          <w:rtl/>
        </w:rPr>
        <w:t>آن‌ها</w:t>
      </w:r>
      <w:r w:rsidRPr="00DF1828">
        <w:rPr>
          <w:rFonts w:hint="cs"/>
          <w:rtl/>
        </w:rPr>
        <w:t xml:space="preserve"> هم گاهی حکم حرمت را </w:t>
      </w:r>
      <w:r w:rsidR="00A51E72">
        <w:rPr>
          <w:rFonts w:hint="cs"/>
          <w:rtl/>
        </w:rPr>
        <w:t>برمی‌دارد</w:t>
      </w:r>
      <w:r w:rsidR="00006049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گاهی وجوب را بر</w:t>
      </w:r>
      <w:r w:rsidR="00A51E72">
        <w:rPr>
          <w:rFonts w:hint="cs"/>
          <w:rtl/>
        </w:rPr>
        <w:t>می‌دارد</w:t>
      </w:r>
      <w:r w:rsidR="00006049">
        <w:rPr>
          <w:rFonts w:hint="cs"/>
          <w:rtl/>
        </w:rPr>
        <w:t>.</w:t>
      </w:r>
      <w:r w:rsidRPr="00DF1828">
        <w:rPr>
          <w:rFonts w:hint="cs"/>
          <w:rtl/>
        </w:rPr>
        <w:t xml:space="preserve"> گاهی امر مباح را واجب </w:t>
      </w:r>
      <w:r w:rsidR="00E245DC">
        <w:rPr>
          <w:rFonts w:hint="cs"/>
          <w:rtl/>
        </w:rPr>
        <w:t>می‌کند</w:t>
      </w:r>
      <w:r w:rsidRPr="00DF1828">
        <w:rPr>
          <w:rFonts w:hint="cs"/>
          <w:rtl/>
        </w:rPr>
        <w:t xml:space="preserve"> </w:t>
      </w:r>
      <w:r w:rsidR="00006049">
        <w:rPr>
          <w:rFonts w:hint="cs"/>
          <w:rtl/>
        </w:rPr>
        <w:t xml:space="preserve">و </w:t>
      </w:r>
      <w:r w:rsidRPr="00DF1828">
        <w:rPr>
          <w:rFonts w:hint="cs"/>
          <w:rtl/>
        </w:rPr>
        <w:t>گاهی</w:t>
      </w:r>
      <w:r w:rsidR="00006049">
        <w:rPr>
          <w:rFonts w:hint="cs"/>
          <w:rtl/>
        </w:rPr>
        <w:t xml:space="preserve"> هم</w:t>
      </w:r>
      <w:r w:rsidRPr="00DF1828">
        <w:rPr>
          <w:rFonts w:hint="cs"/>
          <w:rtl/>
        </w:rPr>
        <w:t xml:space="preserve"> امر مباح را حرام </w:t>
      </w:r>
      <w:r w:rsidR="00E245DC">
        <w:rPr>
          <w:rFonts w:hint="cs"/>
          <w:rtl/>
        </w:rPr>
        <w:t>می‌کند</w:t>
      </w:r>
      <w:r w:rsidR="00006049">
        <w:rPr>
          <w:rFonts w:hint="cs"/>
          <w:rtl/>
        </w:rPr>
        <w:t>.</w:t>
      </w:r>
      <w:r w:rsidRPr="00DF1828">
        <w:rPr>
          <w:rFonts w:hint="cs"/>
          <w:rtl/>
        </w:rPr>
        <w:t xml:space="preserve"> گاهی حرام را واجب </w:t>
      </w:r>
      <w:r w:rsidR="00E245DC">
        <w:rPr>
          <w:rFonts w:hint="cs"/>
          <w:rtl/>
        </w:rPr>
        <w:t>می‌کند</w:t>
      </w:r>
      <w:r w:rsidR="00006049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گاهی</w:t>
      </w:r>
      <w:r w:rsidR="00006049">
        <w:rPr>
          <w:rFonts w:hint="cs"/>
          <w:rtl/>
        </w:rPr>
        <w:t xml:space="preserve"> هم</w:t>
      </w:r>
      <w:r w:rsidRPr="00DF1828">
        <w:rPr>
          <w:rFonts w:hint="cs"/>
          <w:rtl/>
        </w:rPr>
        <w:t xml:space="preserve"> واجب را حرام </w:t>
      </w:r>
      <w:r w:rsidR="00E245DC">
        <w:rPr>
          <w:rFonts w:hint="cs"/>
          <w:rtl/>
        </w:rPr>
        <w:t>می‌کند</w:t>
      </w:r>
      <w:r w:rsidR="00006049">
        <w:rPr>
          <w:rFonts w:hint="cs"/>
          <w:rtl/>
        </w:rPr>
        <w:t>.</w:t>
      </w:r>
      <w:r w:rsidRPr="00DF1828">
        <w:rPr>
          <w:rFonts w:hint="cs"/>
          <w:rtl/>
        </w:rPr>
        <w:t xml:space="preserve"> همه این اقسام در عناوین ثانویه هست</w:t>
      </w:r>
      <w:r w:rsidR="00937FD0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937FD0">
        <w:rPr>
          <w:rFonts w:hint="cs"/>
          <w:rtl/>
        </w:rPr>
        <w:t>عنوان اولی ممکن است اباح</w:t>
      </w:r>
      <w:r w:rsidRPr="00DF1828">
        <w:rPr>
          <w:rFonts w:hint="cs"/>
          <w:rtl/>
        </w:rPr>
        <w:t>ه</w:t>
      </w:r>
      <w:r w:rsidR="00937FD0">
        <w:rPr>
          <w:rFonts w:hint="cs"/>
          <w:rtl/>
        </w:rPr>
        <w:t>،</w:t>
      </w:r>
      <w:r w:rsidRPr="00DF1828">
        <w:rPr>
          <w:rFonts w:hint="cs"/>
          <w:rtl/>
        </w:rPr>
        <w:t xml:space="preserve"> </w:t>
      </w:r>
      <w:r w:rsidR="00937FD0">
        <w:rPr>
          <w:rFonts w:hint="cs"/>
          <w:rtl/>
        </w:rPr>
        <w:t xml:space="preserve">وجوب، </w:t>
      </w:r>
      <w:r w:rsidRPr="00DF1828">
        <w:rPr>
          <w:rFonts w:hint="cs"/>
          <w:rtl/>
        </w:rPr>
        <w:t>حرمت</w:t>
      </w:r>
      <w:r w:rsidR="00937FD0">
        <w:rPr>
          <w:rFonts w:hint="cs"/>
          <w:rtl/>
        </w:rPr>
        <w:t>،</w:t>
      </w:r>
      <w:r w:rsidRPr="00DF1828">
        <w:rPr>
          <w:rFonts w:hint="cs"/>
          <w:rtl/>
        </w:rPr>
        <w:t xml:space="preserve"> کراهت </w:t>
      </w:r>
      <w:r w:rsidR="00937FD0">
        <w:rPr>
          <w:rFonts w:hint="cs"/>
          <w:rtl/>
        </w:rPr>
        <w:t>و</w:t>
      </w:r>
      <w:r w:rsidRPr="00DF1828">
        <w:rPr>
          <w:rFonts w:hint="cs"/>
          <w:rtl/>
        </w:rPr>
        <w:t xml:space="preserve"> </w:t>
      </w:r>
      <w:r w:rsidR="00937FD0">
        <w:rPr>
          <w:rFonts w:hint="cs"/>
          <w:rtl/>
        </w:rPr>
        <w:t>یا</w:t>
      </w:r>
      <w:r w:rsidRPr="00DF1828">
        <w:rPr>
          <w:rFonts w:hint="cs"/>
          <w:rtl/>
        </w:rPr>
        <w:t xml:space="preserve"> استحباب </w:t>
      </w:r>
      <w:r w:rsidR="00937FD0">
        <w:rPr>
          <w:rFonts w:hint="cs"/>
          <w:rtl/>
        </w:rPr>
        <w:t>باشد.</w:t>
      </w:r>
      <w:r w:rsidRPr="00DF1828">
        <w:rPr>
          <w:rFonts w:hint="cs"/>
          <w:rtl/>
        </w:rPr>
        <w:t xml:space="preserve"> </w:t>
      </w:r>
      <w:r w:rsidR="00937FD0">
        <w:rPr>
          <w:rFonts w:hint="cs"/>
          <w:rtl/>
        </w:rPr>
        <w:t xml:space="preserve">عنوان </w:t>
      </w:r>
      <w:r w:rsidR="00E245DC">
        <w:rPr>
          <w:rFonts w:hint="cs"/>
          <w:rtl/>
        </w:rPr>
        <w:t>ثانویه</w:t>
      </w:r>
      <w:r w:rsidR="00A51E72">
        <w:rPr>
          <w:rFonts w:hint="cs"/>
          <w:rtl/>
        </w:rPr>
        <w:t xml:space="preserve"> </w:t>
      </w:r>
      <w:r w:rsidR="00E245DC">
        <w:rPr>
          <w:rFonts w:hint="cs"/>
          <w:rtl/>
        </w:rPr>
        <w:t>‌ای</w:t>
      </w:r>
      <w:r w:rsidRPr="00DF1828">
        <w:rPr>
          <w:rFonts w:hint="cs"/>
          <w:rtl/>
        </w:rPr>
        <w:t xml:space="preserve">ن </w:t>
      </w:r>
      <w:r w:rsidR="00937FD0">
        <w:rPr>
          <w:rFonts w:hint="cs"/>
          <w:rtl/>
        </w:rPr>
        <w:t xml:space="preserve">پنج </w:t>
      </w:r>
      <w:r w:rsidRPr="00DF1828">
        <w:rPr>
          <w:rFonts w:hint="cs"/>
          <w:rtl/>
        </w:rPr>
        <w:t xml:space="preserve">عنوان را تغییر </w:t>
      </w:r>
      <w:r w:rsidR="00E245DC">
        <w:rPr>
          <w:rFonts w:hint="cs"/>
          <w:rtl/>
        </w:rPr>
        <w:t>می‌دهد</w:t>
      </w:r>
      <w:r w:rsidR="00937FD0">
        <w:rPr>
          <w:rFonts w:hint="cs"/>
          <w:rtl/>
        </w:rPr>
        <w:t>.</w:t>
      </w:r>
      <w:r w:rsidR="00BE19AB">
        <w:rPr>
          <w:rFonts w:hint="cs"/>
          <w:rtl/>
        </w:rPr>
        <w:t xml:space="preserve"> </w:t>
      </w:r>
      <w:r w:rsidR="00937FD0">
        <w:rPr>
          <w:rFonts w:hint="cs"/>
          <w:rtl/>
        </w:rPr>
        <w:t xml:space="preserve">مراد </w:t>
      </w:r>
      <w:r w:rsidRPr="00DF1828">
        <w:rPr>
          <w:rFonts w:hint="cs"/>
          <w:rtl/>
        </w:rPr>
        <w:t>بخشی از قواع</w:t>
      </w:r>
      <w:r w:rsidR="00937FD0">
        <w:rPr>
          <w:rFonts w:hint="cs"/>
          <w:rtl/>
        </w:rPr>
        <w:t>د عامه همین قواعدی است که موضوع آن،</w:t>
      </w:r>
      <w:r w:rsidRPr="00DF1828">
        <w:rPr>
          <w:rFonts w:hint="cs"/>
          <w:rtl/>
        </w:rPr>
        <w:t xml:space="preserve"> عناوین ثانویه است</w:t>
      </w:r>
      <w:r w:rsidR="00937FD0">
        <w:rPr>
          <w:rFonts w:hint="cs"/>
          <w:rtl/>
        </w:rPr>
        <w:t>؛</w:t>
      </w:r>
      <w:r w:rsidRPr="00DF1828">
        <w:rPr>
          <w:rFonts w:hint="cs"/>
          <w:rtl/>
        </w:rPr>
        <w:t xml:space="preserve"> یعنی </w:t>
      </w:r>
      <w:r w:rsidR="00A51E72">
        <w:rPr>
          <w:rFonts w:hint="cs"/>
          <w:rtl/>
        </w:rPr>
        <w:t>عنوان‌های</w:t>
      </w:r>
      <w:r w:rsidRPr="00DF1828">
        <w:rPr>
          <w:rFonts w:hint="cs"/>
          <w:rtl/>
        </w:rPr>
        <w:t xml:space="preserve"> انتزاعی که ذاتی اشیاء و موضوعات </w:t>
      </w:r>
      <w:r w:rsidR="00E245DC">
        <w:rPr>
          <w:rFonts w:hint="cs"/>
          <w:rtl/>
        </w:rPr>
        <w:t>به‌حساب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نمی‌آید</w:t>
      </w:r>
      <w:r w:rsidR="00937FD0">
        <w:rPr>
          <w:rFonts w:hint="cs"/>
          <w:rtl/>
        </w:rPr>
        <w:t>.</w:t>
      </w:r>
    </w:p>
    <w:p w:rsidR="00277BFD" w:rsidRPr="00FC42B9" w:rsidRDefault="00277BFD" w:rsidP="00171440">
      <w:pPr>
        <w:pStyle w:val="Heading2"/>
        <w:spacing w:before="0"/>
        <w:rPr>
          <w:rtl/>
        </w:rPr>
      </w:pPr>
      <w:bookmarkStart w:id="9" w:name="_Toc405460183"/>
      <w:r w:rsidRPr="00FC42B9">
        <w:rPr>
          <w:rFonts w:hint="cs"/>
          <w:rtl/>
        </w:rPr>
        <w:t>عناوین ثانویه حضور در مجلس معصیت</w:t>
      </w:r>
      <w:bookmarkEnd w:id="9"/>
    </w:p>
    <w:p w:rsidR="00277BFD" w:rsidRPr="00FC42B9" w:rsidRDefault="00A51E72" w:rsidP="00171440">
      <w:pPr>
        <w:pStyle w:val="Heading3"/>
        <w:spacing w:before="0"/>
        <w:rPr>
          <w:rtl/>
        </w:rPr>
      </w:pPr>
      <w:bookmarkStart w:id="10" w:name="_Toc405460184"/>
      <w:r w:rsidRPr="00FC42B9">
        <w:rPr>
          <w:rtl/>
        </w:rPr>
        <w:t>۱</w:t>
      </w:r>
      <w:r w:rsidR="00277BFD" w:rsidRPr="00FC42B9">
        <w:rPr>
          <w:rFonts w:hint="cs"/>
          <w:rtl/>
        </w:rPr>
        <w:t>: اعانه</w:t>
      </w:r>
      <w:bookmarkEnd w:id="10"/>
    </w:p>
    <w:p w:rsidR="00BE19AB" w:rsidRPr="00277BFD" w:rsidRDefault="0057524E" w:rsidP="00171440">
      <w:pPr>
        <w:spacing w:after="0"/>
        <w:rPr>
          <w:rtl/>
        </w:rPr>
      </w:pPr>
      <w:r w:rsidRPr="00277BFD">
        <w:rPr>
          <w:rFonts w:hint="cs"/>
          <w:rtl/>
        </w:rPr>
        <w:t xml:space="preserve">بحث </w:t>
      </w:r>
      <w:r w:rsidR="00937FD0" w:rsidRPr="00277BFD">
        <w:rPr>
          <w:rFonts w:hint="cs"/>
          <w:rtl/>
        </w:rPr>
        <w:t>در مقام دوم</w:t>
      </w:r>
      <w:r w:rsidRPr="00277BFD">
        <w:rPr>
          <w:rFonts w:hint="cs"/>
          <w:rtl/>
        </w:rPr>
        <w:t xml:space="preserve"> </w:t>
      </w:r>
      <w:r w:rsidR="00937FD0" w:rsidRPr="00277BFD">
        <w:rPr>
          <w:rFonts w:hint="cs"/>
          <w:rtl/>
        </w:rPr>
        <w:t xml:space="preserve">و در این بود که آیا </w:t>
      </w:r>
      <w:r w:rsidRPr="00277BFD">
        <w:rPr>
          <w:rFonts w:hint="cs"/>
          <w:rtl/>
        </w:rPr>
        <w:t>حضور در مجلس معصیت</w:t>
      </w:r>
      <w:r w:rsidR="00937FD0" w:rsidRPr="00277BFD">
        <w:rPr>
          <w:rFonts w:hint="cs"/>
          <w:rtl/>
        </w:rPr>
        <w:t xml:space="preserve">، عنوان </w:t>
      </w:r>
      <w:r w:rsidR="00A51E72">
        <w:rPr>
          <w:rFonts w:hint="cs"/>
          <w:rtl/>
        </w:rPr>
        <w:t>عامی دارد</w:t>
      </w:r>
      <w:r w:rsidR="00937FD0" w:rsidRPr="00277BFD">
        <w:rPr>
          <w:rFonts w:hint="cs"/>
          <w:rtl/>
        </w:rPr>
        <w:t xml:space="preserve"> که آن را منع </w:t>
      </w:r>
      <w:r w:rsidRPr="00277BFD">
        <w:rPr>
          <w:rFonts w:hint="cs"/>
          <w:rtl/>
        </w:rPr>
        <w:t>کند یا نه</w:t>
      </w:r>
      <w:r w:rsidR="00937FD0" w:rsidRPr="00277BFD">
        <w:rPr>
          <w:rFonts w:hint="cs"/>
          <w:rtl/>
        </w:rPr>
        <w:t>؟</w:t>
      </w:r>
      <w:r w:rsidR="00BE19AB" w:rsidRPr="00277BFD">
        <w:rPr>
          <w:rFonts w:hint="cs"/>
          <w:rtl/>
        </w:rPr>
        <w:t xml:space="preserve"> </w:t>
      </w:r>
      <w:r w:rsidRPr="00277BFD">
        <w:rPr>
          <w:rFonts w:hint="cs"/>
          <w:rtl/>
        </w:rPr>
        <w:t>یک</w:t>
      </w:r>
      <w:r w:rsidR="00422B6C" w:rsidRPr="00277BFD">
        <w:rPr>
          <w:rFonts w:hint="cs"/>
          <w:rtl/>
        </w:rPr>
        <w:t>ی از عن</w:t>
      </w:r>
      <w:r w:rsidRPr="00277BFD">
        <w:rPr>
          <w:rFonts w:hint="cs"/>
          <w:rtl/>
        </w:rPr>
        <w:t>ا</w:t>
      </w:r>
      <w:r w:rsidR="00422B6C" w:rsidRPr="00277BFD">
        <w:rPr>
          <w:rFonts w:hint="cs"/>
          <w:rtl/>
        </w:rPr>
        <w:t>وی</w:t>
      </w:r>
      <w:r w:rsidRPr="00277BFD">
        <w:rPr>
          <w:rFonts w:hint="cs"/>
          <w:rtl/>
        </w:rPr>
        <w:t>ن ثانوی</w:t>
      </w:r>
      <w:r w:rsidR="00422B6C" w:rsidRPr="00277BFD">
        <w:rPr>
          <w:rFonts w:hint="cs"/>
          <w:rtl/>
        </w:rPr>
        <w:t>ه‌ای</w:t>
      </w:r>
      <w:r w:rsidRPr="00277BFD">
        <w:rPr>
          <w:rFonts w:hint="cs"/>
          <w:rtl/>
        </w:rPr>
        <w:t xml:space="preserve"> که </w:t>
      </w:r>
      <w:r w:rsidR="00BE19AB" w:rsidRPr="00277BFD">
        <w:rPr>
          <w:rFonts w:hint="cs"/>
          <w:rtl/>
        </w:rPr>
        <w:t xml:space="preserve">در </w:t>
      </w:r>
      <w:r w:rsidRPr="00277BFD">
        <w:rPr>
          <w:rFonts w:hint="cs"/>
          <w:rtl/>
        </w:rPr>
        <w:t>اینجا هست</w:t>
      </w:r>
      <w:r w:rsidR="00BE19AB" w:rsidRPr="00277BFD">
        <w:rPr>
          <w:rFonts w:hint="cs"/>
          <w:rtl/>
        </w:rPr>
        <w:t>،</w:t>
      </w:r>
      <w:r w:rsidRPr="00277BFD">
        <w:rPr>
          <w:rFonts w:hint="cs"/>
          <w:rtl/>
        </w:rPr>
        <w:t xml:space="preserve"> عنوان اعانه است</w:t>
      </w:r>
      <w:r w:rsidR="00BE19AB" w:rsidRPr="00277BFD">
        <w:rPr>
          <w:rFonts w:hint="cs"/>
          <w:rtl/>
        </w:rPr>
        <w:t>.</w:t>
      </w:r>
      <w:r w:rsidRPr="00277BFD">
        <w:rPr>
          <w:rFonts w:hint="cs"/>
          <w:rtl/>
        </w:rPr>
        <w:t xml:space="preserve"> </w:t>
      </w:r>
      <w:r w:rsidR="00BE19AB" w:rsidRPr="00277BFD">
        <w:rPr>
          <w:rFonts w:hint="cs"/>
          <w:rtl/>
        </w:rPr>
        <w:t>عنوان اعانه بر حضور در مجلس غنا</w:t>
      </w:r>
      <w:r w:rsidRPr="00277BFD">
        <w:rPr>
          <w:rFonts w:hint="cs"/>
          <w:rtl/>
        </w:rPr>
        <w:t xml:space="preserve"> صادق است ولی </w:t>
      </w:r>
      <w:r w:rsidRPr="00277BFD">
        <w:rPr>
          <w:rFonts w:hint="cs"/>
          <w:rtl/>
        </w:rPr>
        <w:lastRenderedPageBreak/>
        <w:t>همیشگی نیست</w:t>
      </w:r>
      <w:r w:rsidR="00BE19AB" w:rsidRPr="00277BFD">
        <w:rPr>
          <w:rFonts w:hint="cs"/>
          <w:rtl/>
        </w:rPr>
        <w:t>.</w:t>
      </w:r>
      <w:r w:rsidRPr="00277BFD">
        <w:rPr>
          <w:rFonts w:hint="cs"/>
          <w:rtl/>
        </w:rPr>
        <w:t xml:space="preserve"> گاهی حضور شخص در مجلس گناه</w:t>
      </w:r>
      <w:r w:rsidR="00BE19AB" w:rsidRPr="00277BFD">
        <w:rPr>
          <w:rFonts w:hint="cs"/>
          <w:rtl/>
        </w:rPr>
        <w:t>،</w:t>
      </w:r>
      <w:r w:rsidRPr="00277BFD">
        <w:rPr>
          <w:rFonts w:hint="cs"/>
          <w:rtl/>
        </w:rPr>
        <w:t xml:space="preserve"> نوعی تشویق</w:t>
      </w:r>
      <w:r w:rsidR="00BE19AB" w:rsidRPr="00277BFD">
        <w:rPr>
          <w:rFonts w:hint="cs"/>
          <w:rtl/>
        </w:rPr>
        <w:t xml:space="preserve"> و</w:t>
      </w:r>
      <w:r w:rsidRPr="00277BFD">
        <w:rPr>
          <w:rFonts w:hint="cs"/>
          <w:rtl/>
        </w:rPr>
        <w:t xml:space="preserve"> ترغیب</w:t>
      </w:r>
      <w:r w:rsidR="00BE19AB" w:rsidRPr="00277BFD">
        <w:rPr>
          <w:rFonts w:hint="cs"/>
          <w:rtl/>
        </w:rPr>
        <w:t xml:space="preserve"> و اعانه</w:t>
      </w:r>
      <w:r w:rsidRPr="00277BFD">
        <w:rPr>
          <w:rFonts w:hint="cs"/>
          <w:rtl/>
        </w:rPr>
        <w:t xml:space="preserve"> است</w:t>
      </w:r>
      <w:r w:rsidR="00BE19AB" w:rsidRPr="00277BFD">
        <w:rPr>
          <w:rFonts w:hint="cs"/>
          <w:rtl/>
        </w:rPr>
        <w:t>.</w:t>
      </w:r>
      <w:r w:rsidRPr="00277BFD">
        <w:rPr>
          <w:rFonts w:hint="cs"/>
          <w:rtl/>
        </w:rPr>
        <w:t xml:space="preserve"> گاهی </w:t>
      </w:r>
      <w:r w:rsidR="00A51E72">
        <w:rPr>
          <w:rFonts w:hint="eastAsia"/>
          <w:rtl/>
        </w:rPr>
        <w:t>هم</w:t>
      </w:r>
      <w:r w:rsidRPr="00277BFD">
        <w:rPr>
          <w:rFonts w:hint="cs"/>
          <w:rtl/>
        </w:rPr>
        <w:t xml:space="preserve"> همه </w:t>
      </w:r>
      <w:r w:rsidR="00A51E72">
        <w:rPr>
          <w:rFonts w:hint="cs"/>
          <w:rtl/>
        </w:rPr>
        <w:t>می‌دانند</w:t>
      </w:r>
      <w:r w:rsidRPr="00277BFD">
        <w:rPr>
          <w:rFonts w:hint="cs"/>
          <w:rtl/>
        </w:rPr>
        <w:t xml:space="preserve"> که </w:t>
      </w:r>
      <w:r w:rsidR="00BE19AB" w:rsidRPr="00277BFD">
        <w:rPr>
          <w:rFonts w:hint="cs"/>
          <w:rtl/>
        </w:rPr>
        <w:t xml:space="preserve">شخص حاضر در جلسه </w:t>
      </w:r>
      <w:r w:rsidRPr="00277BFD">
        <w:rPr>
          <w:rFonts w:hint="cs"/>
          <w:rtl/>
        </w:rPr>
        <w:t>با این امر موافق نیست</w:t>
      </w:r>
      <w:r w:rsidR="00BE19AB" w:rsidRPr="00277BFD">
        <w:rPr>
          <w:rFonts w:hint="cs"/>
          <w:rtl/>
        </w:rPr>
        <w:t>؛</w:t>
      </w:r>
      <w:r w:rsidRPr="00277BFD">
        <w:rPr>
          <w:rFonts w:hint="cs"/>
          <w:rtl/>
        </w:rPr>
        <w:t xml:space="preserve"> اما گیر افتاده</w:t>
      </w:r>
      <w:r w:rsidR="00BE19AB" w:rsidRPr="00277BFD">
        <w:rPr>
          <w:rFonts w:hint="cs"/>
          <w:rtl/>
        </w:rPr>
        <w:t xml:space="preserve"> است و نفس </w:t>
      </w:r>
      <w:bookmarkStart w:id="11" w:name="_GoBack"/>
      <w:r w:rsidR="00BE19AB" w:rsidRPr="00277BFD">
        <w:rPr>
          <w:rFonts w:hint="cs"/>
          <w:rtl/>
        </w:rPr>
        <w:t>قویه</w:t>
      </w:r>
      <w:bookmarkEnd w:id="11"/>
      <w:r w:rsidR="00BE19AB" w:rsidRPr="00277BFD">
        <w:rPr>
          <w:rFonts w:hint="cs"/>
          <w:rtl/>
        </w:rPr>
        <w:t xml:space="preserve"> هم ندارد که قبول نکند</w:t>
      </w:r>
      <w:r w:rsidR="008121E8" w:rsidRPr="00277BFD">
        <w:rPr>
          <w:rFonts w:hint="cs"/>
          <w:rtl/>
        </w:rPr>
        <w:t xml:space="preserve"> و یا گوشش سنگین است</w:t>
      </w:r>
      <w:r w:rsidR="00BE19AB" w:rsidRPr="00277BFD">
        <w:rPr>
          <w:rFonts w:hint="cs"/>
          <w:rtl/>
        </w:rPr>
        <w:t xml:space="preserve">. </w:t>
      </w:r>
      <w:r w:rsidR="00A51E72">
        <w:rPr>
          <w:rFonts w:hint="cs"/>
          <w:rtl/>
        </w:rPr>
        <w:t>این‌گونه</w:t>
      </w:r>
      <w:r w:rsidR="00BE19AB" w:rsidRPr="00277BFD">
        <w:rPr>
          <w:rFonts w:hint="cs"/>
          <w:rtl/>
        </w:rPr>
        <w:t xml:space="preserve"> حضور، اعانه بر اثم نیست.</w:t>
      </w:r>
    </w:p>
    <w:p w:rsidR="00422B6C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این</w:t>
      </w:r>
      <w:r w:rsidR="008121E8">
        <w:rPr>
          <w:rFonts w:hint="cs"/>
          <w:rtl/>
        </w:rPr>
        <w:t xml:space="preserve"> </w:t>
      </w:r>
      <w:r w:rsidR="00A51E72">
        <w:rPr>
          <w:rFonts w:hint="cs"/>
          <w:rtl/>
        </w:rPr>
        <w:t>بنا بر</w:t>
      </w:r>
      <w:r w:rsidR="008121E8">
        <w:rPr>
          <w:rFonts w:hint="cs"/>
          <w:rtl/>
        </w:rPr>
        <w:t xml:space="preserve"> مبنای</w:t>
      </w:r>
      <w:r w:rsidRPr="00DF1828">
        <w:rPr>
          <w:rFonts w:hint="cs"/>
          <w:rtl/>
        </w:rPr>
        <w:t xml:space="preserve"> </w:t>
      </w:r>
      <w:r w:rsidR="008121E8">
        <w:rPr>
          <w:rFonts w:hint="cs"/>
          <w:rtl/>
        </w:rPr>
        <w:t>«</w:t>
      </w:r>
      <w:r w:rsidR="008121E8" w:rsidRPr="00DF1828">
        <w:rPr>
          <w:rFonts w:hint="cs"/>
          <w:rtl/>
        </w:rPr>
        <w:t xml:space="preserve">حرام </w:t>
      </w:r>
      <w:r w:rsidR="008121E8">
        <w:rPr>
          <w:rFonts w:hint="cs"/>
          <w:rtl/>
        </w:rPr>
        <w:t xml:space="preserve">بودن </w:t>
      </w:r>
      <w:r w:rsidRPr="00DF1828">
        <w:rPr>
          <w:rFonts w:hint="cs"/>
          <w:rtl/>
        </w:rPr>
        <w:t>اعانه بر اثم</w:t>
      </w:r>
      <w:r w:rsidR="008121E8">
        <w:rPr>
          <w:rFonts w:hint="cs"/>
          <w:rtl/>
        </w:rPr>
        <w:t>»</w:t>
      </w:r>
      <w:r w:rsidRPr="00DF1828">
        <w:rPr>
          <w:rFonts w:hint="cs"/>
          <w:rtl/>
        </w:rPr>
        <w:t xml:space="preserve"> است</w:t>
      </w:r>
      <w:r w:rsidR="008121E8">
        <w:rPr>
          <w:rFonts w:hint="cs"/>
          <w:rtl/>
        </w:rPr>
        <w:t>.</w:t>
      </w:r>
      <w:r w:rsidRPr="00DF1828">
        <w:rPr>
          <w:rFonts w:hint="cs"/>
          <w:rtl/>
        </w:rPr>
        <w:t xml:space="preserve"> عنوان اولی این است که حضور در مجلس گناه </w:t>
      </w:r>
      <w:r w:rsidR="00E245DC">
        <w:rPr>
          <w:rFonts w:hint="cs"/>
          <w:rtl/>
        </w:rPr>
        <w:t>غالباً</w:t>
      </w:r>
      <w:r w:rsidRPr="00DF1828">
        <w:rPr>
          <w:rFonts w:hint="cs"/>
          <w:rtl/>
        </w:rPr>
        <w:t xml:space="preserve"> ترغیب و تشویق است</w:t>
      </w:r>
      <w:r w:rsidR="00C750BA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</w:t>
      </w:r>
      <w:r w:rsidR="00C750BA" w:rsidRPr="00DF1828">
        <w:rPr>
          <w:rFonts w:hint="cs"/>
          <w:rtl/>
        </w:rPr>
        <w:t>این عنوان غالبی است</w:t>
      </w:r>
      <w:r w:rsidR="00C750BA">
        <w:rPr>
          <w:rFonts w:hint="cs"/>
          <w:rtl/>
        </w:rPr>
        <w:t>؛</w:t>
      </w:r>
      <w:r w:rsidR="00C750BA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ولی </w:t>
      </w:r>
      <w:r w:rsidR="00C750BA">
        <w:rPr>
          <w:rFonts w:hint="cs"/>
          <w:rtl/>
        </w:rPr>
        <w:t xml:space="preserve">این </w:t>
      </w:r>
      <w:r w:rsidRPr="00DF1828">
        <w:rPr>
          <w:rFonts w:hint="cs"/>
          <w:rtl/>
        </w:rPr>
        <w:t>همیشگی</w:t>
      </w:r>
      <w:r w:rsidR="00C750BA">
        <w:rPr>
          <w:rFonts w:hint="cs"/>
          <w:rtl/>
        </w:rPr>
        <w:t xml:space="preserve"> نیست و</w:t>
      </w:r>
      <w:r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ملازمه‌ای</w:t>
      </w:r>
      <w:r w:rsidR="00C750BA">
        <w:rPr>
          <w:rFonts w:hint="cs"/>
          <w:rtl/>
        </w:rPr>
        <w:t xml:space="preserve"> وجود ندارد. در احوال </w:t>
      </w:r>
      <w:r w:rsidR="00E245DC">
        <w:rPr>
          <w:rFonts w:hint="cs"/>
          <w:rtl/>
        </w:rPr>
        <w:t>خاصه‌ای</w:t>
      </w:r>
      <w:r w:rsidR="00C750BA">
        <w:rPr>
          <w:rFonts w:hint="cs"/>
          <w:rtl/>
        </w:rPr>
        <w:t xml:space="preserve"> ممکن است در مجلس باشد ولی</w:t>
      </w:r>
      <w:r w:rsidRPr="00DF1828">
        <w:rPr>
          <w:rFonts w:hint="cs"/>
          <w:rtl/>
        </w:rPr>
        <w:t xml:space="preserve"> اعانه </w:t>
      </w:r>
      <w:r w:rsidR="00C750BA">
        <w:rPr>
          <w:rFonts w:hint="cs"/>
          <w:rtl/>
        </w:rPr>
        <w:t>و</w:t>
      </w:r>
      <w:r w:rsidRPr="00DF1828">
        <w:rPr>
          <w:rFonts w:hint="cs"/>
          <w:rtl/>
        </w:rPr>
        <w:t xml:space="preserve"> تقویت ن</w:t>
      </w:r>
      <w:r w:rsidR="00C750BA">
        <w:rPr>
          <w:rFonts w:hint="cs"/>
          <w:rtl/>
        </w:rPr>
        <w:t>کند</w:t>
      </w:r>
      <w:r w:rsidR="00422B6C">
        <w:rPr>
          <w:rFonts w:hint="cs"/>
          <w:rtl/>
        </w:rPr>
        <w:t>.</w:t>
      </w:r>
    </w:p>
    <w:p w:rsidR="00277BFD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صرف سیاهی لشگر</w:t>
      </w:r>
      <w:r w:rsidR="00C750BA">
        <w:rPr>
          <w:rFonts w:hint="cs"/>
          <w:rtl/>
        </w:rPr>
        <w:t xml:space="preserve"> بودن</w:t>
      </w:r>
      <w:r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مطلقاً</w:t>
      </w:r>
      <w:r w:rsidRPr="00DF1828">
        <w:rPr>
          <w:rFonts w:hint="cs"/>
          <w:rtl/>
        </w:rPr>
        <w:t xml:space="preserve"> حرام نیست</w:t>
      </w:r>
      <w:r w:rsidR="00C750BA">
        <w:rPr>
          <w:rFonts w:hint="cs"/>
          <w:rtl/>
        </w:rPr>
        <w:t>؛</w:t>
      </w:r>
      <w:r w:rsidRPr="00DF1828">
        <w:rPr>
          <w:rFonts w:hint="cs"/>
          <w:rtl/>
        </w:rPr>
        <w:t xml:space="preserve"> چون باید اعانه </w:t>
      </w:r>
      <w:r w:rsidR="00C750BA">
        <w:rPr>
          <w:rFonts w:hint="cs"/>
          <w:rtl/>
        </w:rPr>
        <w:t>و تشویق و ترغیب</w:t>
      </w:r>
      <w:r w:rsidRPr="00DF1828">
        <w:rPr>
          <w:rFonts w:hint="cs"/>
          <w:rtl/>
        </w:rPr>
        <w:t xml:space="preserve"> </w:t>
      </w:r>
      <w:r w:rsidR="00C750BA">
        <w:rPr>
          <w:rFonts w:hint="cs"/>
          <w:rtl/>
        </w:rPr>
        <w:t>هم باشد تا عنوان حرام بر آن صادق باشد.</w:t>
      </w:r>
      <w:r w:rsidR="00422B6C">
        <w:rPr>
          <w:rFonts w:hint="cs"/>
          <w:rtl/>
        </w:rPr>
        <w:t xml:space="preserve"> </w:t>
      </w:r>
      <w:r w:rsidR="00C750BA">
        <w:rPr>
          <w:rFonts w:hint="cs"/>
          <w:rtl/>
        </w:rPr>
        <w:t xml:space="preserve">ذات حضور در مجلس غنا </w:t>
      </w:r>
      <w:r w:rsidRPr="00DF1828">
        <w:rPr>
          <w:rFonts w:hint="cs"/>
          <w:rtl/>
        </w:rPr>
        <w:t xml:space="preserve">اعانه نیست </w:t>
      </w:r>
      <w:r w:rsidR="00C750BA">
        <w:rPr>
          <w:rFonts w:hint="cs"/>
          <w:rtl/>
        </w:rPr>
        <w:t>و عرف آن را عنوان ذاتی ن</w:t>
      </w:r>
      <w:r w:rsidR="00E245DC">
        <w:rPr>
          <w:rFonts w:hint="cs"/>
          <w:rtl/>
        </w:rPr>
        <w:t>می‌داند</w:t>
      </w:r>
      <w:r w:rsidR="00C750BA">
        <w:rPr>
          <w:rFonts w:hint="cs"/>
          <w:rtl/>
        </w:rPr>
        <w:t>؛ بلکه</w:t>
      </w:r>
      <w:r w:rsidRPr="00DF1828">
        <w:rPr>
          <w:rFonts w:hint="cs"/>
          <w:rtl/>
        </w:rPr>
        <w:t xml:space="preserve"> عارض غالبی </w:t>
      </w:r>
      <w:r w:rsidR="00E245DC">
        <w:rPr>
          <w:rFonts w:hint="cs"/>
          <w:rtl/>
        </w:rPr>
        <w:t>می‌داند</w:t>
      </w:r>
      <w:r w:rsidR="00C750BA">
        <w:rPr>
          <w:rFonts w:hint="cs"/>
          <w:rtl/>
        </w:rPr>
        <w:t>.</w:t>
      </w:r>
      <w:r w:rsidRPr="00DF1828">
        <w:rPr>
          <w:rFonts w:hint="cs"/>
          <w:rtl/>
        </w:rPr>
        <w:t xml:space="preserve"> حتی اگر دائمی</w:t>
      </w:r>
      <w:r w:rsidR="00C750BA">
        <w:rPr>
          <w:rFonts w:hint="cs"/>
          <w:rtl/>
        </w:rPr>
        <w:t xml:space="preserve"> هم</w:t>
      </w:r>
      <w:r w:rsidRPr="00DF1828">
        <w:rPr>
          <w:rFonts w:hint="cs"/>
          <w:rtl/>
        </w:rPr>
        <w:t xml:space="preserve"> </w:t>
      </w:r>
      <w:r w:rsidR="00C750BA">
        <w:rPr>
          <w:rFonts w:hint="cs"/>
          <w:rtl/>
        </w:rPr>
        <w:t>باشد عنوان ثانوی است</w:t>
      </w:r>
      <w:r w:rsidR="00422B6C">
        <w:rPr>
          <w:rFonts w:hint="cs"/>
          <w:rtl/>
        </w:rPr>
        <w:t>.</w:t>
      </w:r>
    </w:p>
    <w:p w:rsidR="00277BFD" w:rsidRPr="00FC42B9" w:rsidRDefault="00A51E72" w:rsidP="00171440">
      <w:pPr>
        <w:pStyle w:val="Heading3"/>
        <w:spacing w:before="0"/>
        <w:rPr>
          <w:rtl/>
        </w:rPr>
      </w:pPr>
      <w:bookmarkStart w:id="12" w:name="_Toc405460185"/>
      <w:r w:rsidRPr="00FC42B9">
        <w:rPr>
          <w:rtl/>
        </w:rPr>
        <w:t>۲</w:t>
      </w:r>
      <w:r w:rsidR="00277BFD" w:rsidRPr="00FC42B9">
        <w:rPr>
          <w:rFonts w:hint="cs"/>
          <w:rtl/>
        </w:rPr>
        <w:t xml:space="preserve"> و </w:t>
      </w:r>
      <w:r w:rsidRPr="00FC42B9">
        <w:rPr>
          <w:rtl/>
        </w:rPr>
        <w:t>۳</w:t>
      </w:r>
      <w:r w:rsidR="00277BFD" w:rsidRPr="00FC42B9">
        <w:rPr>
          <w:rFonts w:hint="cs"/>
          <w:rtl/>
        </w:rPr>
        <w:t xml:space="preserve">: ترویج ضلال </w:t>
      </w:r>
      <w:r w:rsidR="007A2C96" w:rsidRPr="00FC42B9">
        <w:rPr>
          <w:rFonts w:hint="cs"/>
          <w:rtl/>
        </w:rPr>
        <w:t>و</w:t>
      </w:r>
      <w:r w:rsidR="00277BFD" w:rsidRPr="00FC42B9">
        <w:rPr>
          <w:rFonts w:hint="cs"/>
          <w:rtl/>
        </w:rPr>
        <w:t xml:space="preserve"> سنّ سنة سیئة</w:t>
      </w:r>
      <w:bookmarkEnd w:id="12"/>
    </w:p>
    <w:p w:rsidR="004F4664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عنوان </w:t>
      </w:r>
      <w:r w:rsidR="00422B6C">
        <w:rPr>
          <w:rFonts w:hint="cs"/>
          <w:rtl/>
        </w:rPr>
        <w:t xml:space="preserve">دیگر برای حضور در مجلس معصیت، عنوان </w:t>
      </w:r>
      <w:r w:rsidRPr="00DF1828">
        <w:rPr>
          <w:rFonts w:hint="cs"/>
          <w:rtl/>
        </w:rPr>
        <w:t xml:space="preserve">ترویج ضلال </w:t>
      </w:r>
      <w:r w:rsidR="00422B6C">
        <w:rPr>
          <w:rFonts w:hint="cs"/>
          <w:rtl/>
        </w:rPr>
        <w:t>و</w:t>
      </w:r>
      <w:r w:rsidRPr="00DF1828">
        <w:rPr>
          <w:rFonts w:hint="cs"/>
          <w:rtl/>
        </w:rPr>
        <w:t xml:space="preserve"> عنوان سن</w:t>
      </w:r>
      <w:r w:rsidR="00422B6C">
        <w:rPr>
          <w:rFonts w:hint="cs"/>
          <w:rtl/>
        </w:rPr>
        <w:t>ّ</w:t>
      </w:r>
      <w:r w:rsidRPr="00DF1828">
        <w:rPr>
          <w:rFonts w:hint="cs"/>
          <w:rtl/>
        </w:rPr>
        <w:t xml:space="preserve"> سنة السی</w:t>
      </w:r>
      <w:r w:rsidR="00422B6C">
        <w:rPr>
          <w:rFonts w:hint="cs"/>
          <w:rtl/>
        </w:rPr>
        <w:t>ئة</w:t>
      </w:r>
      <w:r w:rsidRPr="00DF1828">
        <w:rPr>
          <w:rFonts w:hint="cs"/>
          <w:rtl/>
        </w:rPr>
        <w:t xml:space="preserve"> است</w:t>
      </w:r>
      <w:r w:rsidR="00422B6C">
        <w:rPr>
          <w:rFonts w:hint="cs"/>
          <w:rtl/>
        </w:rPr>
        <w:t>.</w:t>
      </w:r>
      <w:r w:rsidRPr="00DF1828">
        <w:rPr>
          <w:rFonts w:hint="cs"/>
          <w:rtl/>
        </w:rPr>
        <w:t xml:space="preserve"> گاهی</w:t>
      </w:r>
      <w:r w:rsidR="00422B6C">
        <w:rPr>
          <w:rFonts w:hint="cs"/>
          <w:rtl/>
        </w:rPr>
        <w:t xml:space="preserve"> حضور در</w:t>
      </w:r>
      <w:r w:rsidRPr="00DF1828">
        <w:rPr>
          <w:rFonts w:hint="cs"/>
          <w:rtl/>
        </w:rPr>
        <w:t xml:space="preserve"> این</w:t>
      </w:r>
      <w:r w:rsidR="00422B6C">
        <w:rPr>
          <w:rFonts w:hint="cs"/>
          <w:rtl/>
        </w:rPr>
        <w:t xml:space="preserve"> مجالس،</w:t>
      </w:r>
      <w:r w:rsidRPr="00DF1828">
        <w:rPr>
          <w:rFonts w:hint="cs"/>
          <w:rtl/>
        </w:rPr>
        <w:t xml:space="preserve"> ترویج ضلال یا سن</w:t>
      </w:r>
      <w:r w:rsidR="00422B6C">
        <w:rPr>
          <w:rFonts w:hint="cs"/>
          <w:rtl/>
        </w:rPr>
        <w:t>ّ سنة سیئة</w:t>
      </w:r>
      <w:r w:rsidRPr="00DF1828">
        <w:rPr>
          <w:rFonts w:hint="cs"/>
          <w:rtl/>
        </w:rPr>
        <w:t xml:space="preserve"> است</w:t>
      </w:r>
      <w:r w:rsidR="00422B6C">
        <w:rPr>
          <w:rFonts w:hint="cs"/>
          <w:rtl/>
        </w:rPr>
        <w:t>؛</w:t>
      </w:r>
      <w:r w:rsidRPr="00DF1828">
        <w:rPr>
          <w:rFonts w:hint="cs"/>
          <w:rtl/>
        </w:rPr>
        <w:t xml:space="preserve"> یعنی وقتی او انجام </w:t>
      </w:r>
      <w:r w:rsidR="00E245DC">
        <w:rPr>
          <w:rFonts w:hint="cs"/>
          <w:rtl/>
        </w:rPr>
        <w:t>می‌دهد</w:t>
      </w:r>
      <w:r w:rsidR="00422B6C">
        <w:rPr>
          <w:rFonts w:hint="cs"/>
          <w:rtl/>
        </w:rPr>
        <w:t>،</w:t>
      </w:r>
      <w:r w:rsidRPr="00DF1828">
        <w:rPr>
          <w:rFonts w:hint="cs"/>
          <w:rtl/>
        </w:rPr>
        <w:t xml:space="preserve"> دیگران هم دنبال او حرکت </w:t>
      </w:r>
      <w:r w:rsidR="00A51E72">
        <w:rPr>
          <w:rFonts w:hint="cs"/>
          <w:rtl/>
        </w:rPr>
        <w:t>می‌کنند</w:t>
      </w:r>
      <w:r w:rsidR="00422B6C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422B6C">
        <w:rPr>
          <w:rFonts w:hint="cs"/>
          <w:rtl/>
        </w:rPr>
        <w:t xml:space="preserve">این </w:t>
      </w:r>
      <w:r w:rsidR="00A51E72">
        <w:rPr>
          <w:rFonts w:hint="cs"/>
          <w:rtl/>
        </w:rPr>
        <w:t>عنوان‌ها</w:t>
      </w:r>
      <w:r w:rsidRPr="00DF1828">
        <w:rPr>
          <w:rFonts w:hint="cs"/>
          <w:rtl/>
        </w:rPr>
        <w:t xml:space="preserve"> هم مثل </w:t>
      </w:r>
      <w:r w:rsidR="00422B6C">
        <w:rPr>
          <w:rFonts w:hint="cs"/>
          <w:rtl/>
        </w:rPr>
        <w:t>عنوان اعانه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غالباً</w:t>
      </w:r>
      <w:r w:rsidRPr="00DF1828">
        <w:rPr>
          <w:rFonts w:hint="cs"/>
          <w:rtl/>
        </w:rPr>
        <w:t xml:space="preserve"> </w:t>
      </w:r>
      <w:r w:rsidR="00422B6C">
        <w:rPr>
          <w:rFonts w:hint="cs"/>
          <w:rtl/>
        </w:rPr>
        <w:t>صادق است و</w:t>
      </w:r>
      <w:r w:rsidRPr="00DF1828">
        <w:rPr>
          <w:rFonts w:hint="cs"/>
          <w:rtl/>
        </w:rPr>
        <w:t xml:space="preserve"> همیشگی نیست</w:t>
      </w:r>
      <w:r w:rsidR="00422B6C">
        <w:rPr>
          <w:rFonts w:hint="cs"/>
          <w:rtl/>
        </w:rPr>
        <w:t>.</w:t>
      </w:r>
      <w:r w:rsidRPr="00DF1828">
        <w:rPr>
          <w:rFonts w:hint="cs"/>
          <w:rtl/>
        </w:rPr>
        <w:t xml:space="preserve"> پس عنوان اعانه و ترویج ضلال و سن</w:t>
      </w:r>
      <w:r w:rsidR="00422B6C">
        <w:rPr>
          <w:rFonts w:hint="cs"/>
          <w:rtl/>
        </w:rPr>
        <w:t>ّ سنة سیئة</w:t>
      </w:r>
      <w:r w:rsidRPr="00DF1828">
        <w:rPr>
          <w:rFonts w:hint="cs"/>
          <w:rtl/>
        </w:rPr>
        <w:t xml:space="preserve"> که قواعد عمومی </w:t>
      </w:r>
      <w:r w:rsidR="004F4664" w:rsidRPr="00DF1828">
        <w:rPr>
          <w:rFonts w:hint="cs"/>
          <w:rtl/>
        </w:rPr>
        <w:t xml:space="preserve">در فقه </w:t>
      </w:r>
      <w:r w:rsidR="004F4664">
        <w:rPr>
          <w:rFonts w:hint="cs"/>
          <w:rtl/>
        </w:rPr>
        <w:t>هستند،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غالباً</w:t>
      </w:r>
      <w:r w:rsidRPr="00DF1828">
        <w:rPr>
          <w:rFonts w:hint="cs"/>
          <w:rtl/>
        </w:rPr>
        <w:t xml:space="preserve"> بر حضور در مجلس </w:t>
      </w:r>
      <w:r w:rsidR="004F4664">
        <w:rPr>
          <w:rFonts w:hint="cs"/>
          <w:rtl/>
        </w:rPr>
        <w:t>معصیت صادق است و</w:t>
      </w:r>
      <w:r w:rsidRPr="00DF1828">
        <w:rPr>
          <w:rFonts w:hint="cs"/>
          <w:rtl/>
        </w:rPr>
        <w:t xml:space="preserve"> همیشگی نیست</w:t>
      </w:r>
      <w:r w:rsidR="004F4664">
        <w:rPr>
          <w:rFonts w:hint="cs"/>
          <w:rtl/>
        </w:rPr>
        <w:t>.</w:t>
      </w:r>
    </w:p>
    <w:p w:rsidR="00277BFD" w:rsidRPr="00FC42B9" w:rsidRDefault="00A51E72" w:rsidP="00171440">
      <w:pPr>
        <w:pStyle w:val="Heading3"/>
        <w:spacing w:before="0"/>
        <w:rPr>
          <w:rtl/>
        </w:rPr>
      </w:pPr>
      <w:bookmarkStart w:id="13" w:name="_Toc405460186"/>
      <w:r w:rsidRPr="00FC42B9">
        <w:rPr>
          <w:rtl/>
        </w:rPr>
        <w:t>۴</w:t>
      </w:r>
      <w:r w:rsidR="00277BFD" w:rsidRPr="00FC42B9">
        <w:rPr>
          <w:rFonts w:hint="cs"/>
          <w:rtl/>
        </w:rPr>
        <w:t>: ملازمه حضور در مجلس معصیت با استماع</w:t>
      </w:r>
      <w:bookmarkEnd w:id="13"/>
    </w:p>
    <w:p w:rsidR="004F4664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عنوان چهارم این است که</w:t>
      </w:r>
      <w:r w:rsidR="004F4664">
        <w:rPr>
          <w:rFonts w:hint="cs"/>
          <w:rtl/>
        </w:rPr>
        <w:t xml:space="preserve"> کسی بگوید:</w:t>
      </w:r>
      <w:r w:rsidRPr="00DF1828">
        <w:rPr>
          <w:rFonts w:hint="cs"/>
          <w:rtl/>
        </w:rPr>
        <w:t xml:space="preserve"> </w:t>
      </w:r>
      <w:r w:rsidR="004F4664">
        <w:rPr>
          <w:rFonts w:hint="cs"/>
          <w:rtl/>
        </w:rPr>
        <w:t>حضور در مجلس غنا</w:t>
      </w:r>
      <w:r w:rsidRPr="00DF1828">
        <w:rPr>
          <w:rFonts w:hint="cs"/>
          <w:rtl/>
        </w:rPr>
        <w:t xml:space="preserve"> ملازم با استماع است</w:t>
      </w:r>
      <w:r w:rsidR="004F4664">
        <w:rPr>
          <w:rFonts w:hint="cs"/>
          <w:rtl/>
        </w:rPr>
        <w:t>.</w:t>
      </w:r>
      <w:r w:rsidRPr="00DF1828">
        <w:rPr>
          <w:rFonts w:hint="cs"/>
          <w:rtl/>
        </w:rPr>
        <w:t xml:space="preserve"> این هم ملازم</w:t>
      </w:r>
      <w:r w:rsidR="004F4664">
        <w:rPr>
          <w:rFonts w:hint="cs"/>
          <w:rtl/>
        </w:rPr>
        <w:t>ه</w:t>
      </w:r>
      <w:r w:rsidRPr="00DF1828">
        <w:rPr>
          <w:rFonts w:hint="cs"/>
          <w:rtl/>
        </w:rPr>
        <w:t xml:space="preserve"> </w:t>
      </w:r>
      <w:r w:rsidR="004F4664">
        <w:rPr>
          <w:rFonts w:hint="cs"/>
          <w:rtl/>
        </w:rPr>
        <w:t>ندارد و</w:t>
      </w:r>
      <w:r w:rsidRPr="00DF1828">
        <w:rPr>
          <w:rFonts w:hint="cs"/>
          <w:rtl/>
        </w:rPr>
        <w:t xml:space="preserve"> گاهی ممکن است</w:t>
      </w:r>
      <w:r w:rsidR="004F4664">
        <w:rPr>
          <w:rFonts w:hint="cs"/>
          <w:rtl/>
        </w:rPr>
        <w:t xml:space="preserve"> حضور باشد ولی</w:t>
      </w:r>
      <w:r w:rsidRPr="00DF1828">
        <w:rPr>
          <w:rFonts w:hint="cs"/>
          <w:rtl/>
        </w:rPr>
        <w:t xml:space="preserve"> استماع نباشد</w:t>
      </w:r>
      <w:r w:rsidR="004F4664">
        <w:rPr>
          <w:rFonts w:hint="cs"/>
          <w:rtl/>
        </w:rPr>
        <w:t>. استماع حرام است و نه حضور.</w:t>
      </w:r>
    </w:p>
    <w:p w:rsidR="007A2C96" w:rsidRPr="00FC42B9" w:rsidRDefault="00A51E72" w:rsidP="00171440">
      <w:pPr>
        <w:pStyle w:val="Heading3"/>
        <w:spacing w:before="0"/>
        <w:rPr>
          <w:rtl/>
        </w:rPr>
      </w:pPr>
      <w:bookmarkStart w:id="14" w:name="_Toc405460187"/>
      <w:r w:rsidRPr="00FC42B9">
        <w:rPr>
          <w:rtl/>
        </w:rPr>
        <w:t>۵</w:t>
      </w:r>
      <w:r w:rsidR="007A2C96" w:rsidRPr="00FC42B9">
        <w:rPr>
          <w:rFonts w:hint="cs"/>
          <w:rtl/>
        </w:rPr>
        <w:t>: ملازمه حضور در مجلس معصیت با ترک نهی از منکر</w:t>
      </w:r>
      <w:bookmarkEnd w:id="14"/>
    </w:p>
    <w:p w:rsidR="00C31465" w:rsidRDefault="004F4664" w:rsidP="00171440">
      <w:pPr>
        <w:spacing w:after="0"/>
        <w:rPr>
          <w:rtl/>
        </w:rPr>
      </w:pPr>
      <w:r>
        <w:rPr>
          <w:rFonts w:hint="cs"/>
          <w:rtl/>
        </w:rPr>
        <w:t>عنوان پنجم</w:t>
      </w:r>
      <w:r w:rsidR="0057524E" w:rsidRPr="00DF1828">
        <w:rPr>
          <w:rFonts w:hint="cs"/>
          <w:rtl/>
        </w:rPr>
        <w:t xml:space="preserve"> </w:t>
      </w:r>
      <w:r>
        <w:rPr>
          <w:rFonts w:hint="cs"/>
          <w:rtl/>
        </w:rPr>
        <w:t>این است که حضور در مجلس غنا</w:t>
      </w:r>
      <w:r w:rsidR="0057524E" w:rsidRPr="00DF1828">
        <w:rPr>
          <w:rFonts w:hint="cs"/>
          <w:rtl/>
        </w:rPr>
        <w:t xml:space="preserve"> و مجلس معصیت</w:t>
      </w:r>
      <w:r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ترک نهی از منکر است</w:t>
      </w:r>
      <w:r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</w:t>
      </w:r>
      <w:r w:rsidR="00C31465">
        <w:rPr>
          <w:rFonts w:hint="cs"/>
          <w:rtl/>
        </w:rPr>
        <w:t xml:space="preserve">وقتی </w:t>
      </w:r>
      <w:r>
        <w:rPr>
          <w:rFonts w:hint="cs"/>
          <w:rtl/>
        </w:rPr>
        <w:t xml:space="preserve">در مجلس معصیت </w:t>
      </w:r>
      <w:r w:rsidR="0057524E" w:rsidRPr="00DF1828">
        <w:rPr>
          <w:rFonts w:hint="cs"/>
          <w:rtl/>
        </w:rPr>
        <w:t xml:space="preserve">حضور پیدا </w:t>
      </w:r>
      <w:r w:rsidR="00E245DC">
        <w:rPr>
          <w:rFonts w:hint="cs"/>
          <w:rtl/>
        </w:rPr>
        <w:t>می‌کند</w:t>
      </w:r>
      <w:r w:rsidR="0057524E" w:rsidRPr="00DF1828">
        <w:rPr>
          <w:rFonts w:hint="cs"/>
          <w:rtl/>
        </w:rPr>
        <w:t xml:space="preserve"> و </w:t>
      </w:r>
      <w:r w:rsidRPr="00DF1828">
        <w:rPr>
          <w:rFonts w:hint="cs"/>
          <w:rtl/>
        </w:rPr>
        <w:t>منکر</w:t>
      </w:r>
      <w:r>
        <w:rPr>
          <w:rFonts w:hint="cs"/>
          <w:rtl/>
        </w:rPr>
        <w:t xml:space="preserve"> را</w:t>
      </w:r>
      <w:r w:rsidRPr="00DF1828">
        <w:rPr>
          <w:rFonts w:hint="cs"/>
          <w:rtl/>
        </w:rPr>
        <w:t xml:space="preserve"> </w:t>
      </w:r>
      <w:r w:rsidR="0057524E" w:rsidRPr="00DF1828">
        <w:rPr>
          <w:rFonts w:hint="cs"/>
          <w:rtl/>
        </w:rPr>
        <w:t xml:space="preserve">مشاهده </w:t>
      </w:r>
      <w:r w:rsidR="00E245DC">
        <w:rPr>
          <w:rFonts w:hint="cs"/>
          <w:rtl/>
        </w:rPr>
        <w:t>می‌کند</w:t>
      </w:r>
      <w:r w:rsidR="00C31465">
        <w:rPr>
          <w:rFonts w:hint="cs"/>
          <w:rtl/>
        </w:rPr>
        <w:t xml:space="preserve">، باید نهی </w:t>
      </w:r>
      <w:r w:rsidR="0057524E" w:rsidRPr="00DF1828">
        <w:rPr>
          <w:rFonts w:hint="cs"/>
          <w:rtl/>
        </w:rPr>
        <w:t>کند</w:t>
      </w:r>
      <w:r w:rsidR="00C31465">
        <w:rPr>
          <w:rFonts w:hint="cs"/>
          <w:rtl/>
        </w:rPr>
        <w:t>؛ اما</w:t>
      </w:r>
      <w:r w:rsidR="0057524E" w:rsidRPr="00DF1828">
        <w:rPr>
          <w:rFonts w:hint="cs"/>
          <w:rtl/>
        </w:rPr>
        <w:t xml:space="preserve"> اینجا حضور </w:t>
      </w:r>
      <w:r w:rsidR="00A51E72">
        <w:rPr>
          <w:rFonts w:hint="cs"/>
          <w:rtl/>
        </w:rPr>
        <w:t>پیداکرده</w:t>
      </w:r>
      <w:r w:rsidR="0057524E" w:rsidRPr="00DF1828">
        <w:rPr>
          <w:rFonts w:hint="cs"/>
          <w:rtl/>
        </w:rPr>
        <w:t xml:space="preserve"> و</w:t>
      </w:r>
      <w:r w:rsidR="00C31465">
        <w:rPr>
          <w:rFonts w:hint="cs"/>
          <w:rtl/>
        </w:rPr>
        <w:t>لی</w:t>
      </w:r>
      <w:r w:rsidR="0057524E" w:rsidRPr="00DF1828">
        <w:rPr>
          <w:rFonts w:hint="cs"/>
          <w:rtl/>
        </w:rPr>
        <w:t xml:space="preserve"> نهی ن</w:t>
      </w:r>
      <w:r w:rsidR="00E245DC">
        <w:rPr>
          <w:rFonts w:hint="cs"/>
          <w:rtl/>
        </w:rPr>
        <w:t>می‌کند</w:t>
      </w:r>
      <w:r w:rsidR="00C31465"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پس حضورش ملازم با </w:t>
      </w:r>
      <w:r w:rsidR="00C31465">
        <w:rPr>
          <w:rFonts w:hint="cs"/>
          <w:rtl/>
        </w:rPr>
        <w:t>ترک</w:t>
      </w:r>
      <w:r w:rsidR="0057524E" w:rsidRPr="00DF1828">
        <w:rPr>
          <w:rFonts w:hint="cs"/>
          <w:rtl/>
        </w:rPr>
        <w:t xml:space="preserve"> نهی از منکر است</w:t>
      </w:r>
      <w:r w:rsidR="00C31465"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این</w:t>
      </w:r>
      <w:r w:rsidR="00C31465">
        <w:rPr>
          <w:rFonts w:hint="cs"/>
          <w:rtl/>
        </w:rPr>
        <w:t>جا</w:t>
      </w:r>
      <w:r w:rsidR="0057524E" w:rsidRPr="00DF1828">
        <w:rPr>
          <w:rFonts w:hint="cs"/>
          <w:rtl/>
        </w:rPr>
        <w:t xml:space="preserve"> هم </w:t>
      </w:r>
      <w:r w:rsidR="00C31465">
        <w:rPr>
          <w:rFonts w:hint="cs"/>
          <w:rtl/>
        </w:rPr>
        <w:t xml:space="preserve">غالبی است؛ زیرا </w:t>
      </w:r>
      <w:r w:rsidR="0057524E" w:rsidRPr="00DF1828">
        <w:rPr>
          <w:rFonts w:hint="cs"/>
          <w:rtl/>
        </w:rPr>
        <w:t>م</w:t>
      </w:r>
      <w:r w:rsidR="00C31465">
        <w:rPr>
          <w:rFonts w:hint="cs"/>
          <w:rtl/>
        </w:rPr>
        <w:t>مکن است حضور داشته باشد ولی شرای</w:t>
      </w:r>
      <w:r w:rsidR="0057524E" w:rsidRPr="00DF1828">
        <w:rPr>
          <w:rFonts w:hint="cs"/>
          <w:rtl/>
        </w:rPr>
        <w:t>ط نهی از منکر تمام ن</w:t>
      </w:r>
      <w:r w:rsidR="00C31465">
        <w:rPr>
          <w:rFonts w:hint="cs"/>
          <w:rtl/>
        </w:rPr>
        <w:t>باشد</w:t>
      </w:r>
      <w:r w:rsidR="0057524E" w:rsidRPr="00DF1828">
        <w:rPr>
          <w:rFonts w:hint="cs"/>
          <w:rtl/>
        </w:rPr>
        <w:t xml:space="preserve"> و لذا اینجا مکلف به نهی از منکر نیست</w:t>
      </w:r>
      <w:r w:rsidR="00C31465">
        <w:rPr>
          <w:rFonts w:hint="cs"/>
          <w:rtl/>
        </w:rPr>
        <w:t>.</w:t>
      </w:r>
    </w:p>
    <w:p w:rsidR="00C31465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lastRenderedPageBreak/>
        <w:t xml:space="preserve">گاهی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 xml:space="preserve"> </w:t>
      </w:r>
      <w:r w:rsidR="00C31465">
        <w:rPr>
          <w:rFonts w:hint="cs"/>
          <w:rtl/>
        </w:rPr>
        <w:t>که از مجلس</w:t>
      </w:r>
      <w:r w:rsidRPr="00DF1828">
        <w:rPr>
          <w:rFonts w:hint="cs"/>
          <w:rtl/>
        </w:rPr>
        <w:t xml:space="preserve"> بیرون برود </w:t>
      </w:r>
      <w:r w:rsidR="00C31465">
        <w:rPr>
          <w:rFonts w:hint="cs"/>
          <w:rtl/>
        </w:rPr>
        <w:t>ولی</w:t>
      </w:r>
      <w:r w:rsidRPr="00DF1828">
        <w:rPr>
          <w:rFonts w:hint="cs"/>
          <w:rtl/>
        </w:rPr>
        <w:t xml:space="preserve"> فرض </w:t>
      </w:r>
      <w:r w:rsidR="00C31465">
        <w:rPr>
          <w:rFonts w:hint="cs"/>
          <w:rtl/>
        </w:rPr>
        <w:t>ما،</w:t>
      </w:r>
      <w:r w:rsidRPr="00DF1828">
        <w:rPr>
          <w:rFonts w:hint="cs"/>
          <w:rtl/>
        </w:rPr>
        <w:t xml:space="preserve"> حضور </w:t>
      </w:r>
      <w:r w:rsidR="00C31465">
        <w:rPr>
          <w:rFonts w:hint="cs"/>
          <w:rtl/>
        </w:rPr>
        <w:t>خالی</w:t>
      </w:r>
      <w:r w:rsidRPr="00DF1828">
        <w:rPr>
          <w:rFonts w:hint="cs"/>
          <w:rtl/>
        </w:rPr>
        <w:t xml:space="preserve"> از عناوین دیگر است</w:t>
      </w:r>
      <w:r w:rsidR="00C31465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C31465">
        <w:rPr>
          <w:rFonts w:hint="cs"/>
          <w:rtl/>
        </w:rPr>
        <w:t xml:space="preserve">کسی که </w:t>
      </w:r>
      <w:r w:rsidRPr="00DF1828">
        <w:rPr>
          <w:rFonts w:hint="cs"/>
          <w:rtl/>
        </w:rPr>
        <w:t>در مجلس نشسته و گوشش سنگین است</w:t>
      </w:r>
      <w:r w:rsidR="00C31465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کسی هم از او تلقی تشویق و ترغیب و ترویج ضلال و سنة سیئه ن</w:t>
      </w:r>
      <w:r w:rsidR="00E245DC">
        <w:rPr>
          <w:rFonts w:hint="cs"/>
          <w:rtl/>
        </w:rPr>
        <w:t>می‌کند</w:t>
      </w:r>
      <w:r w:rsidR="00C31465">
        <w:rPr>
          <w:rFonts w:hint="cs"/>
          <w:rtl/>
        </w:rPr>
        <w:t xml:space="preserve"> و نهی از منکر او هم اثر ندارد، حضور او ترک نهی از منکر نیست.</w:t>
      </w:r>
    </w:p>
    <w:p w:rsidR="00CB6F26" w:rsidRDefault="003D6297" w:rsidP="00171440">
      <w:pPr>
        <w:spacing w:after="0"/>
        <w:rPr>
          <w:rtl/>
        </w:rPr>
      </w:pPr>
      <w:r>
        <w:rPr>
          <w:rFonts w:hint="cs"/>
          <w:rtl/>
        </w:rPr>
        <w:t>اگر</w:t>
      </w:r>
      <w:r w:rsidR="0057524E" w:rsidRPr="00DF1828">
        <w:rPr>
          <w:rFonts w:hint="cs"/>
          <w:rtl/>
        </w:rPr>
        <w:t xml:space="preserve"> در مقام بحث فقهی بگوی</w:t>
      </w:r>
      <w:r>
        <w:rPr>
          <w:rFonts w:hint="cs"/>
          <w:rtl/>
        </w:rPr>
        <w:t>ی</w:t>
      </w:r>
      <w:r w:rsidR="0057524E" w:rsidRPr="00DF1828">
        <w:rPr>
          <w:rFonts w:hint="cs"/>
          <w:rtl/>
        </w:rPr>
        <w:t>م</w:t>
      </w:r>
      <w:r>
        <w:rPr>
          <w:rFonts w:hint="cs"/>
          <w:rtl/>
        </w:rPr>
        <w:t xml:space="preserve"> که</w:t>
      </w:r>
      <w:r w:rsidR="0057524E" w:rsidRPr="00DF1828">
        <w:rPr>
          <w:rFonts w:hint="cs"/>
          <w:rtl/>
        </w:rPr>
        <w:t xml:space="preserve"> حضور در مجلس معصیت از باب </w:t>
      </w:r>
      <w:r>
        <w:rPr>
          <w:rFonts w:hint="cs"/>
          <w:rtl/>
        </w:rPr>
        <w:t xml:space="preserve">عناوین کلی، </w:t>
      </w:r>
      <w:r w:rsidR="0057524E" w:rsidRPr="00DF1828">
        <w:rPr>
          <w:rFonts w:hint="cs"/>
          <w:rtl/>
        </w:rPr>
        <w:t>همیشه حرام است</w:t>
      </w:r>
      <w:r>
        <w:rPr>
          <w:rFonts w:hint="cs"/>
          <w:rtl/>
        </w:rPr>
        <w:t xml:space="preserve"> و دلیل اعانه باشد،</w:t>
      </w:r>
      <w:r w:rsidR="0057524E"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می‌گویید</w:t>
      </w:r>
      <w:r w:rsidR="0057524E" w:rsidRPr="00DF1828">
        <w:rPr>
          <w:rFonts w:hint="cs"/>
          <w:rtl/>
        </w:rPr>
        <w:t xml:space="preserve"> که گاهی ممکن است اعانه نشود</w:t>
      </w:r>
      <w:r w:rsidR="00CB6F26"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</w:t>
      </w:r>
      <w:r w:rsidR="00CB6F26">
        <w:rPr>
          <w:rFonts w:hint="cs"/>
          <w:rtl/>
        </w:rPr>
        <w:t xml:space="preserve">اگر بگوییم: دلیل حرمت، </w:t>
      </w:r>
      <w:r w:rsidR="0057524E" w:rsidRPr="00DF1828">
        <w:rPr>
          <w:rFonts w:hint="cs"/>
          <w:rtl/>
        </w:rPr>
        <w:t>ترویج ضلال</w:t>
      </w:r>
      <w:r w:rsidR="00CB6F26">
        <w:rPr>
          <w:rFonts w:hint="cs"/>
          <w:rtl/>
        </w:rPr>
        <w:t xml:space="preserve"> است،</w:t>
      </w:r>
      <w:r w:rsidR="0057524E"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می‌گویید</w:t>
      </w:r>
      <w:r w:rsidR="00CB6F26">
        <w:rPr>
          <w:rFonts w:hint="cs"/>
          <w:rtl/>
        </w:rPr>
        <w:t>:</w:t>
      </w:r>
      <w:r w:rsidR="0057524E" w:rsidRPr="00DF1828">
        <w:rPr>
          <w:rFonts w:hint="cs"/>
          <w:rtl/>
        </w:rPr>
        <w:t xml:space="preserve"> </w:t>
      </w:r>
      <w:r w:rsidR="00CB6F26">
        <w:rPr>
          <w:rFonts w:hint="cs"/>
          <w:rtl/>
        </w:rPr>
        <w:t>گاهی ترویج</w:t>
      </w:r>
      <w:r w:rsidR="0057524E" w:rsidRPr="00DF1828">
        <w:rPr>
          <w:rFonts w:hint="cs"/>
          <w:rtl/>
        </w:rPr>
        <w:t xml:space="preserve"> ن</w:t>
      </w:r>
      <w:r w:rsidR="00E245DC">
        <w:rPr>
          <w:rFonts w:hint="cs"/>
          <w:rtl/>
        </w:rPr>
        <w:t>می‌شود</w:t>
      </w:r>
      <w:r w:rsidR="00CB6F26">
        <w:rPr>
          <w:rFonts w:hint="cs"/>
          <w:rtl/>
        </w:rPr>
        <w:t xml:space="preserve"> و اگر</w:t>
      </w:r>
      <w:r w:rsidR="0057524E" w:rsidRPr="00DF1828">
        <w:rPr>
          <w:rFonts w:hint="cs"/>
          <w:rtl/>
        </w:rPr>
        <w:t xml:space="preserve"> </w:t>
      </w:r>
      <w:r w:rsidR="00CB6F26">
        <w:rPr>
          <w:rFonts w:hint="cs"/>
          <w:rtl/>
        </w:rPr>
        <w:t>بگوییم: به دلیل سن سنة سیئة،</w:t>
      </w:r>
      <w:r w:rsidR="0057524E"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می‌گویید</w:t>
      </w:r>
      <w:r w:rsidR="00CB6F26">
        <w:rPr>
          <w:rFonts w:hint="cs"/>
          <w:rtl/>
        </w:rPr>
        <w:t>:</w:t>
      </w:r>
      <w:r w:rsidR="0057524E" w:rsidRPr="00DF1828">
        <w:rPr>
          <w:rFonts w:hint="cs"/>
          <w:rtl/>
        </w:rPr>
        <w:t xml:space="preserve"> همیشه </w:t>
      </w:r>
      <w:r w:rsidR="00E245DC">
        <w:rPr>
          <w:rFonts w:hint="cs"/>
          <w:rtl/>
        </w:rPr>
        <w:t>این‌طور</w:t>
      </w:r>
      <w:r w:rsidR="0057524E" w:rsidRPr="00DF1828">
        <w:rPr>
          <w:rFonts w:hint="cs"/>
          <w:rtl/>
        </w:rPr>
        <w:t xml:space="preserve"> نیست</w:t>
      </w:r>
      <w:r w:rsidR="00CB6F26">
        <w:rPr>
          <w:rFonts w:hint="cs"/>
          <w:rtl/>
        </w:rPr>
        <w:t xml:space="preserve"> و اگر دلیل، </w:t>
      </w:r>
      <w:r w:rsidR="0057524E" w:rsidRPr="00DF1828">
        <w:rPr>
          <w:rFonts w:hint="cs"/>
          <w:rtl/>
        </w:rPr>
        <w:t xml:space="preserve">ترک معروف </w:t>
      </w:r>
      <w:r w:rsidR="00CB6F26">
        <w:rPr>
          <w:rFonts w:hint="cs"/>
          <w:rtl/>
        </w:rPr>
        <w:t>باشد،</w:t>
      </w:r>
      <w:r w:rsidR="0057524E"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می‌گویید</w:t>
      </w:r>
      <w:r w:rsidR="00CB6F26">
        <w:rPr>
          <w:rFonts w:hint="cs"/>
          <w:rtl/>
        </w:rPr>
        <w:t>:</w:t>
      </w:r>
      <w:r w:rsidR="0057524E" w:rsidRPr="00DF1828">
        <w:rPr>
          <w:rFonts w:hint="cs"/>
          <w:rtl/>
        </w:rPr>
        <w:t xml:space="preserve"> همیشه </w:t>
      </w:r>
      <w:r w:rsidR="00E245DC">
        <w:rPr>
          <w:rFonts w:hint="cs"/>
          <w:rtl/>
        </w:rPr>
        <w:t>این‌طور</w:t>
      </w:r>
      <w:r w:rsidR="0057524E" w:rsidRPr="00DF1828">
        <w:rPr>
          <w:rFonts w:hint="cs"/>
          <w:rtl/>
        </w:rPr>
        <w:t xml:space="preserve"> نیست</w:t>
      </w:r>
      <w:r w:rsidR="00CB6F26">
        <w:rPr>
          <w:rFonts w:hint="cs"/>
          <w:rtl/>
        </w:rPr>
        <w:t>.</w:t>
      </w:r>
    </w:p>
    <w:p w:rsidR="00CB6F26" w:rsidRDefault="00CB6F26" w:rsidP="00171440">
      <w:pPr>
        <w:spacing w:after="0"/>
        <w:rPr>
          <w:rtl/>
        </w:rPr>
      </w:pPr>
      <w:r>
        <w:rPr>
          <w:rFonts w:hint="cs"/>
          <w:rtl/>
        </w:rPr>
        <w:t>اگرچه ممکن است</w:t>
      </w:r>
      <w:r w:rsidR="0057524E" w:rsidRPr="00DF1828">
        <w:rPr>
          <w:rFonts w:hint="cs"/>
          <w:rtl/>
        </w:rPr>
        <w:t xml:space="preserve"> در یک میلیارد بار </w:t>
      </w:r>
      <w:r w:rsidR="00A51E72">
        <w:rPr>
          <w:rFonts w:hint="eastAsia"/>
          <w:rtl/>
        </w:rPr>
        <w:t>هم</w:t>
      </w:r>
      <w:r>
        <w:rPr>
          <w:rFonts w:hint="cs"/>
          <w:rtl/>
        </w:rPr>
        <w:t xml:space="preserve"> </w:t>
      </w:r>
      <w:r w:rsidR="00A51E72">
        <w:rPr>
          <w:rFonts w:hint="cs"/>
          <w:rtl/>
        </w:rPr>
        <w:t>این‌گونه</w:t>
      </w:r>
      <w:r>
        <w:rPr>
          <w:rFonts w:hint="cs"/>
          <w:rtl/>
        </w:rPr>
        <w:t xml:space="preserve"> </w:t>
      </w:r>
      <w:r w:rsidR="0057524E" w:rsidRPr="00DF1828">
        <w:rPr>
          <w:rFonts w:hint="cs"/>
          <w:rtl/>
        </w:rPr>
        <w:t>حضور</w:t>
      </w:r>
      <w:r>
        <w:rPr>
          <w:rFonts w:hint="cs"/>
          <w:rtl/>
        </w:rPr>
        <w:t xml:space="preserve">، مصداق پیدا نکند ولی </w:t>
      </w:r>
      <w:r w:rsidR="00A51E72">
        <w:rPr>
          <w:rFonts w:hint="cs"/>
          <w:rtl/>
        </w:rPr>
        <w:t>به‌هرحال</w:t>
      </w:r>
      <w:r>
        <w:rPr>
          <w:rFonts w:hint="cs"/>
          <w:rtl/>
        </w:rPr>
        <w:t xml:space="preserve"> امکانش هست. </w:t>
      </w:r>
      <w:r w:rsidR="0057524E" w:rsidRPr="00DF1828">
        <w:rPr>
          <w:rFonts w:hint="cs"/>
          <w:rtl/>
        </w:rPr>
        <w:t xml:space="preserve">ما </w:t>
      </w:r>
      <w:r w:rsidR="00A51E72">
        <w:rPr>
          <w:rFonts w:hint="cs"/>
          <w:rtl/>
        </w:rPr>
        <w:t>می‌خواهیم</w:t>
      </w:r>
      <w:r w:rsidRPr="00DF1828">
        <w:rPr>
          <w:rFonts w:hint="cs"/>
          <w:rtl/>
        </w:rPr>
        <w:t xml:space="preserve"> </w:t>
      </w:r>
      <w:r w:rsidR="0057524E" w:rsidRPr="00DF1828">
        <w:rPr>
          <w:rFonts w:hint="cs"/>
          <w:rtl/>
        </w:rPr>
        <w:t>حکم خدا را به دست بیاوریم</w:t>
      </w:r>
      <w:r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عرف </w:t>
      </w:r>
      <w:r w:rsidR="00A51E72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57524E" w:rsidRPr="00DF1828">
        <w:rPr>
          <w:rFonts w:hint="cs"/>
          <w:rtl/>
        </w:rPr>
        <w:t xml:space="preserve"> من </w:t>
      </w:r>
      <w:r w:rsidR="00E245DC">
        <w:rPr>
          <w:rFonts w:hint="cs"/>
          <w:rtl/>
        </w:rPr>
        <w:t>مثلاً</w:t>
      </w:r>
      <w:r>
        <w:rPr>
          <w:rFonts w:hint="cs"/>
          <w:rtl/>
        </w:rPr>
        <w:t xml:space="preserve"> در لندن در مجلس معصیت</w:t>
      </w:r>
      <w:r w:rsidR="0057524E" w:rsidRPr="00DF1828">
        <w:rPr>
          <w:rFonts w:hint="cs"/>
          <w:rtl/>
        </w:rPr>
        <w:t xml:space="preserve"> رفتم </w:t>
      </w:r>
      <w:r>
        <w:rPr>
          <w:rFonts w:hint="cs"/>
          <w:rtl/>
        </w:rPr>
        <w:t>و</w:t>
      </w:r>
      <w:r w:rsidR="0057524E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>جای نهی از منکر هم نبود</w:t>
      </w:r>
      <w:r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</w:t>
      </w:r>
      <w:r>
        <w:rPr>
          <w:rFonts w:hint="cs"/>
          <w:rtl/>
        </w:rPr>
        <w:t>در گوشم پنبه</w:t>
      </w:r>
      <w:r w:rsidR="0057524E" w:rsidRPr="00DF1828">
        <w:rPr>
          <w:rFonts w:hint="cs"/>
          <w:rtl/>
        </w:rPr>
        <w:t xml:space="preserve"> گذاشتم</w:t>
      </w:r>
      <w:r>
        <w:rPr>
          <w:rFonts w:hint="cs"/>
          <w:rtl/>
        </w:rPr>
        <w:t>. آیا</w:t>
      </w:r>
      <w:r w:rsidR="0057524E" w:rsidRPr="00DF1828">
        <w:rPr>
          <w:rFonts w:hint="cs"/>
          <w:rtl/>
        </w:rPr>
        <w:t xml:space="preserve"> اشکال دارد</w:t>
      </w:r>
      <w:r>
        <w:rPr>
          <w:rFonts w:hint="cs"/>
          <w:rtl/>
        </w:rPr>
        <w:t>؟</w:t>
      </w:r>
      <w:r w:rsidR="0057524E"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می‌گوییم</w:t>
      </w:r>
      <w:r>
        <w:rPr>
          <w:rFonts w:hint="cs"/>
          <w:rtl/>
        </w:rPr>
        <w:t>: خیر.</w:t>
      </w:r>
    </w:p>
    <w:p w:rsidR="007A2C96" w:rsidRPr="00FC42B9" w:rsidRDefault="00A51E72" w:rsidP="00171440">
      <w:pPr>
        <w:pStyle w:val="Heading3"/>
        <w:spacing w:before="0"/>
        <w:rPr>
          <w:rtl/>
        </w:rPr>
      </w:pPr>
      <w:bookmarkStart w:id="15" w:name="_Toc405460188"/>
      <w:r w:rsidRPr="00FC42B9">
        <w:rPr>
          <w:rtl/>
        </w:rPr>
        <w:t>۶</w:t>
      </w:r>
      <w:r w:rsidR="007A2C96" w:rsidRPr="00FC42B9">
        <w:rPr>
          <w:rFonts w:hint="cs"/>
          <w:rtl/>
        </w:rPr>
        <w:t xml:space="preserve">: در معرض تهمت </w:t>
      </w:r>
      <w:r w:rsidRPr="00FC42B9">
        <w:rPr>
          <w:rFonts w:hint="cs"/>
          <w:rtl/>
        </w:rPr>
        <w:t>قرار گرفتن</w:t>
      </w:r>
      <w:bookmarkEnd w:id="15"/>
    </w:p>
    <w:p w:rsidR="00C740BF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عنوان ثانوی</w:t>
      </w:r>
      <w:r w:rsidR="00CB6F26">
        <w:rPr>
          <w:rFonts w:hint="cs"/>
          <w:rtl/>
        </w:rPr>
        <w:t xml:space="preserve"> دیگر این</w:t>
      </w:r>
      <w:r w:rsidRPr="00DF1828">
        <w:rPr>
          <w:rFonts w:hint="cs"/>
          <w:rtl/>
        </w:rPr>
        <w:t xml:space="preserve"> است که </w:t>
      </w:r>
      <w:r w:rsidR="00CB6F26">
        <w:rPr>
          <w:rFonts w:hint="cs"/>
          <w:rtl/>
        </w:rPr>
        <w:t xml:space="preserve">با حضور در مجلس معصیت، </w:t>
      </w:r>
      <w:r w:rsidRPr="00DF1828">
        <w:rPr>
          <w:rFonts w:hint="cs"/>
          <w:rtl/>
        </w:rPr>
        <w:t>خود را در م</w:t>
      </w:r>
      <w:r w:rsidR="00CB6F26">
        <w:rPr>
          <w:rFonts w:hint="cs"/>
          <w:rtl/>
        </w:rPr>
        <w:t>عرض</w:t>
      </w:r>
      <w:r w:rsidRPr="00DF1828">
        <w:rPr>
          <w:rFonts w:hint="cs"/>
          <w:rtl/>
        </w:rPr>
        <w:t xml:space="preserve"> تهمت قرار </w:t>
      </w:r>
      <w:r w:rsidR="00E245DC">
        <w:rPr>
          <w:rFonts w:hint="cs"/>
          <w:rtl/>
        </w:rPr>
        <w:t>می‌دهد</w:t>
      </w:r>
      <w:r w:rsidR="00CB6F26">
        <w:rPr>
          <w:rFonts w:hint="cs"/>
          <w:rtl/>
        </w:rPr>
        <w:t xml:space="preserve">. دلیل این عنوان </w:t>
      </w:r>
      <w:r w:rsidR="00A51E72">
        <w:rPr>
          <w:rFonts w:hint="cs"/>
          <w:rtl/>
        </w:rPr>
        <w:t>به‌ظاهر</w:t>
      </w:r>
      <w:r w:rsidR="00CB6F26">
        <w:rPr>
          <w:rFonts w:hint="cs"/>
          <w:rtl/>
        </w:rPr>
        <w:t xml:space="preserve"> تام است.</w:t>
      </w:r>
      <w:r w:rsidRPr="00DF1828">
        <w:rPr>
          <w:rFonts w:hint="cs"/>
          <w:rtl/>
        </w:rPr>
        <w:t xml:space="preserve"> ولی باز </w:t>
      </w:r>
      <w:r w:rsidR="00E245DC">
        <w:rPr>
          <w:rFonts w:hint="cs"/>
          <w:rtl/>
        </w:rPr>
        <w:t>می‌شود</w:t>
      </w:r>
      <w:r w:rsidRPr="00DF1828">
        <w:rPr>
          <w:rFonts w:hint="cs"/>
          <w:rtl/>
        </w:rPr>
        <w:t xml:space="preserve"> جایی فرض کنیم که آن عنوان هم نباشد</w:t>
      </w:r>
      <w:r w:rsidR="00C740BF">
        <w:rPr>
          <w:rFonts w:hint="cs"/>
          <w:rtl/>
        </w:rPr>
        <w:t xml:space="preserve">، </w:t>
      </w:r>
      <w:r w:rsidR="00E245DC">
        <w:rPr>
          <w:rFonts w:hint="cs"/>
          <w:rtl/>
        </w:rPr>
        <w:t>مثلاً</w:t>
      </w:r>
      <w:r w:rsidR="00C740BF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می‌دانند</w:t>
      </w:r>
      <w:r w:rsidR="00C740BF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که این </w:t>
      </w:r>
      <w:r w:rsidR="00C740BF">
        <w:rPr>
          <w:rFonts w:hint="cs"/>
          <w:rtl/>
        </w:rPr>
        <w:t>شخص،</w:t>
      </w:r>
      <w:r w:rsidRPr="00DF1828">
        <w:rPr>
          <w:rFonts w:hint="cs"/>
          <w:rtl/>
        </w:rPr>
        <w:t xml:space="preserve"> اهل این </w:t>
      </w:r>
      <w:r w:rsidR="00A51E72">
        <w:rPr>
          <w:rFonts w:hint="cs"/>
          <w:rtl/>
        </w:rPr>
        <w:t>بحث‌ها</w:t>
      </w:r>
      <w:r w:rsidRPr="00DF1828">
        <w:rPr>
          <w:rFonts w:hint="cs"/>
          <w:rtl/>
        </w:rPr>
        <w:t xml:space="preserve"> </w:t>
      </w:r>
      <w:r w:rsidR="00C740BF">
        <w:rPr>
          <w:rFonts w:hint="cs"/>
          <w:rtl/>
        </w:rPr>
        <w:t>نیست.</w:t>
      </w:r>
    </w:p>
    <w:p w:rsidR="007A2C96" w:rsidRPr="00FC42B9" w:rsidRDefault="00A51E72" w:rsidP="00171440">
      <w:pPr>
        <w:pStyle w:val="Heading3"/>
        <w:spacing w:before="0"/>
        <w:rPr>
          <w:rtl/>
        </w:rPr>
      </w:pPr>
      <w:bookmarkStart w:id="16" w:name="_Toc405460189"/>
      <w:r w:rsidRPr="00FC42B9">
        <w:rPr>
          <w:rtl/>
        </w:rPr>
        <w:t>۷</w:t>
      </w:r>
      <w:r w:rsidR="007A2C96" w:rsidRPr="00FC42B9">
        <w:rPr>
          <w:rFonts w:hint="cs"/>
          <w:rtl/>
        </w:rPr>
        <w:t>: استخفاف ذنب</w:t>
      </w:r>
      <w:bookmarkEnd w:id="16"/>
    </w:p>
    <w:p w:rsidR="004D69F2" w:rsidRDefault="004D69F2" w:rsidP="00171440">
      <w:pPr>
        <w:spacing w:after="0"/>
        <w:rPr>
          <w:rtl/>
        </w:rPr>
      </w:pPr>
      <w:r>
        <w:rPr>
          <w:rFonts w:hint="cs"/>
          <w:rtl/>
        </w:rPr>
        <w:t xml:space="preserve">همچنین عنوان استخفاف ذنب نیز </w:t>
      </w:r>
      <w:r w:rsidR="00A51E72">
        <w:rPr>
          <w:rFonts w:hint="cs"/>
          <w:rtl/>
        </w:rPr>
        <w:t>احتمالاً</w:t>
      </w:r>
      <w:r>
        <w:rPr>
          <w:rFonts w:hint="cs"/>
          <w:rtl/>
        </w:rPr>
        <w:t xml:space="preserve"> صدق کند؛ اما </w:t>
      </w:r>
      <w:r w:rsidR="00C740BF">
        <w:rPr>
          <w:rFonts w:hint="cs"/>
          <w:rtl/>
        </w:rPr>
        <w:t xml:space="preserve">ممکن است جایی را فرض </w:t>
      </w:r>
      <w:r w:rsidR="0057524E" w:rsidRPr="00DF1828">
        <w:rPr>
          <w:rFonts w:hint="cs"/>
          <w:rtl/>
        </w:rPr>
        <w:t xml:space="preserve">کنیم که </w:t>
      </w:r>
      <w:r w:rsidR="00A51E72">
        <w:rPr>
          <w:rFonts w:hint="cs"/>
          <w:rtl/>
        </w:rPr>
        <w:t>هیچ‌کدام</w:t>
      </w:r>
      <w:r w:rsidR="0057524E" w:rsidRPr="00DF1828">
        <w:rPr>
          <w:rFonts w:hint="cs"/>
          <w:rtl/>
        </w:rPr>
        <w:t xml:space="preserve"> از </w:t>
      </w:r>
      <w:r w:rsidR="00C740BF">
        <w:rPr>
          <w:rFonts w:hint="cs"/>
          <w:rtl/>
        </w:rPr>
        <w:t>عن</w:t>
      </w:r>
      <w:r w:rsidR="0057524E" w:rsidRPr="00DF1828">
        <w:rPr>
          <w:rFonts w:hint="cs"/>
          <w:rtl/>
        </w:rPr>
        <w:t>ا</w:t>
      </w:r>
      <w:r w:rsidR="00C740BF">
        <w:rPr>
          <w:rFonts w:hint="cs"/>
          <w:rtl/>
        </w:rPr>
        <w:t>وی</w:t>
      </w:r>
      <w:r w:rsidR="0057524E" w:rsidRPr="00DF1828">
        <w:rPr>
          <w:rFonts w:hint="cs"/>
          <w:rtl/>
        </w:rPr>
        <w:t>نی که گفتیم</w:t>
      </w:r>
      <w:r w:rsidR="00C740BF"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نباشد </w:t>
      </w:r>
      <w:r>
        <w:rPr>
          <w:rFonts w:hint="cs"/>
          <w:rtl/>
        </w:rPr>
        <w:t>که</w:t>
      </w:r>
      <w:r w:rsidR="0057524E" w:rsidRPr="00DF1828">
        <w:rPr>
          <w:rFonts w:hint="cs"/>
          <w:rtl/>
        </w:rPr>
        <w:t xml:space="preserve"> این بسیار نادر است</w:t>
      </w:r>
      <w:r w:rsidR="00C740BF">
        <w:rPr>
          <w:rFonts w:hint="cs"/>
          <w:rtl/>
        </w:rPr>
        <w:t>؛</w:t>
      </w:r>
      <w:r w:rsidR="0057524E" w:rsidRPr="00DF1828">
        <w:rPr>
          <w:rFonts w:hint="cs"/>
          <w:rtl/>
        </w:rPr>
        <w:t xml:space="preserve"> برای اینکه </w:t>
      </w:r>
      <w:r w:rsidR="00E245DC">
        <w:rPr>
          <w:rFonts w:hint="cs"/>
          <w:rtl/>
        </w:rPr>
        <w:t>غالباً</w:t>
      </w:r>
      <w:r w:rsidR="0057524E" w:rsidRPr="00DF1828">
        <w:rPr>
          <w:rFonts w:hint="cs"/>
          <w:rtl/>
        </w:rPr>
        <w:t xml:space="preserve"> حداقل </w:t>
      </w:r>
      <w:r>
        <w:rPr>
          <w:rFonts w:hint="cs"/>
          <w:rtl/>
        </w:rPr>
        <w:t xml:space="preserve">یکی </w:t>
      </w:r>
      <w:r w:rsidR="00C740BF" w:rsidRPr="00DF1828">
        <w:rPr>
          <w:rFonts w:hint="cs"/>
          <w:rtl/>
        </w:rPr>
        <w:t xml:space="preserve">از </w:t>
      </w:r>
      <w:r w:rsidR="00C740BF">
        <w:rPr>
          <w:rFonts w:hint="cs"/>
          <w:rtl/>
        </w:rPr>
        <w:t xml:space="preserve">این </w:t>
      </w:r>
      <w:r w:rsidR="00C740BF" w:rsidRPr="00DF1828">
        <w:rPr>
          <w:rFonts w:hint="cs"/>
          <w:rtl/>
        </w:rPr>
        <w:t>عن</w:t>
      </w:r>
      <w:r w:rsidR="00C740BF">
        <w:rPr>
          <w:rFonts w:hint="cs"/>
          <w:rtl/>
        </w:rPr>
        <w:t>اوی</w:t>
      </w:r>
      <w:r w:rsidR="00C740BF" w:rsidRPr="00DF1828">
        <w:rPr>
          <w:rFonts w:hint="cs"/>
          <w:rtl/>
        </w:rPr>
        <w:t>ن</w:t>
      </w:r>
      <w:r w:rsidR="0057524E" w:rsidRPr="00DF1828">
        <w:rPr>
          <w:rFonts w:hint="cs"/>
          <w:rtl/>
        </w:rPr>
        <w:t xml:space="preserve"> هست</w:t>
      </w:r>
      <w:r w:rsidR="00C740BF">
        <w:rPr>
          <w:rFonts w:hint="cs"/>
          <w:rtl/>
        </w:rPr>
        <w:t xml:space="preserve"> و در</w:t>
      </w:r>
      <w:r w:rsidR="0057524E" w:rsidRPr="00DF1828">
        <w:rPr>
          <w:rFonts w:hint="cs"/>
          <w:rtl/>
        </w:rPr>
        <w:t xml:space="preserve"> بسیاری از موارد هم چند </w:t>
      </w:r>
      <w:r w:rsidR="00C740BF">
        <w:rPr>
          <w:rFonts w:hint="cs"/>
          <w:rtl/>
        </w:rPr>
        <w:t>عنوان وجود دارد.</w:t>
      </w:r>
    </w:p>
    <w:p w:rsidR="007A2C96" w:rsidRPr="00A51E72" w:rsidRDefault="007A2C96" w:rsidP="00171440">
      <w:pPr>
        <w:pStyle w:val="Heading1"/>
        <w:spacing w:before="0"/>
        <w:rPr>
          <w:rtl/>
        </w:rPr>
      </w:pPr>
      <w:bookmarkStart w:id="17" w:name="_Toc405460190"/>
      <w:r w:rsidRPr="00A51E72">
        <w:rPr>
          <w:rFonts w:hint="cs"/>
          <w:rtl/>
        </w:rPr>
        <w:t>مقام سوم: حضور در مجلس غنا</w:t>
      </w:r>
      <w:bookmarkEnd w:id="17"/>
    </w:p>
    <w:p w:rsidR="004B7DE0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مقام سوم</w:t>
      </w:r>
      <w:r w:rsidR="002476CA">
        <w:rPr>
          <w:rFonts w:hint="cs"/>
          <w:rtl/>
        </w:rPr>
        <w:t>، حضور در مجلس</w:t>
      </w:r>
      <w:r w:rsidRPr="00DF1828">
        <w:rPr>
          <w:rFonts w:hint="cs"/>
          <w:rtl/>
        </w:rPr>
        <w:t xml:space="preserve"> </w:t>
      </w:r>
      <w:r w:rsidR="002476CA">
        <w:rPr>
          <w:rFonts w:hint="cs"/>
          <w:rtl/>
        </w:rPr>
        <w:t>غنا است و</w:t>
      </w:r>
      <w:r w:rsidRPr="00DF1828">
        <w:rPr>
          <w:rFonts w:hint="cs"/>
          <w:rtl/>
        </w:rPr>
        <w:t xml:space="preserve"> نه بحث مطلق حضور در مجلس گناه</w:t>
      </w:r>
      <w:r w:rsidR="002476CA">
        <w:rPr>
          <w:rFonts w:hint="cs"/>
          <w:rtl/>
        </w:rPr>
        <w:t>. آیا برای حضور در مجلس غنا، دلیل خاص داریم یا نه</w:t>
      </w:r>
      <w:r w:rsidRPr="00DF1828">
        <w:rPr>
          <w:rFonts w:hint="cs"/>
          <w:rtl/>
        </w:rPr>
        <w:t xml:space="preserve">؟ چند دلیل </w:t>
      </w:r>
      <w:r w:rsidR="002476CA">
        <w:rPr>
          <w:rFonts w:hint="cs"/>
          <w:rtl/>
        </w:rPr>
        <w:t xml:space="preserve">در </w:t>
      </w:r>
      <w:r w:rsidRPr="00DF1828">
        <w:rPr>
          <w:rFonts w:hint="cs"/>
          <w:rtl/>
        </w:rPr>
        <w:t xml:space="preserve">باب </w:t>
      </w:r>
      <w:r w:rsidR="00A51E72">
        <w:rPr>
          <w:rtl/>
        </w:rPr>
        <w:t>۹۹</w:t>
      </w:r>
      <w:r w:rsidRPr="00DF1828">
        <w:rPr>
          <w:rFonts w:hint="cs"/>
          <w:rtl/>
        </w:rPr>
        <w:t xml:space="preserve"> ابواب </w:t>
      </w:r>
      <w:r w:rsidR="002476CA">
        <w:rPr>
          <w:rFonts w:hint="cs"/>
          <w:rtl/>
        </w:rPr>
        <w:t>«</w:t>
      </w:r>
      <w:r w:rsidRPr="00DF1828">
        <w:rPr>
          <w:rFonts w:hint="cs"/>
          <w:rtl/>
        </w:rPr>
        <w:t>ما ی</w:t>
      </w:r>
      <w:r w:rsidR="002476CA">
        <w:rPr>
          <w:rFonts w:hint="cs"/>
          <w:rtl/>
        </w:rPr>
        <w:t>ُ</w:t>
      </w:r>
      <w:r w:rsidRPr="00DF1828">
        <w:rPr>
          <w:rFonts w:hint="cs"/>
          <w:rtl/>
        </w:rPr>
        <w:t>کتس</w:t>
      </w:r>
      <w:r w:rsidR="002476CA">
        <w:rPr>
          <w:rFonts w:hint="cs"/>
          <w:rtl/>
        </w:rPr>
        <w:t>َ</w:t>
      </w:r>
      <w:r w:rsidRPr="00DF1828">
        <w:rPr>
          <w:rFonts w:hint="cs"/>
          <w:rtl/>
        </w:rPr>
        <w:t>ب به</w:t>
      </w:r>
      <w:r w:rsidR="002476CA">
        <w:rPr>
          <w:rFonts w:hint="cs"/>
          <w:rtl/>
        </w:rPr>
        <w:t xml:space="preserve">» و </w:t>
      </w:r>
      <w:r w:rsidR="00A51E72">
        <w:rPr>
          <w:rFonts w:hint="eastAsia"/>
          <w:rtl/>
        </w:rPr>
        <w:t>به‌تبع</w:t>
      </w:r>
      <w:r w:rsidR="002476CA">
        <w:rPr>
          <w:rFonts w:hint="cs"/>
          <w:rtl/>
        </w:rPr>
        <w:t xml:space="preserve"> آن در</w:t>
      </w:r>
      <w:r w:rsidRPr="00DF1828">
        <w:rPr>
          <w:rFonts w:hint="cs"/>
          <w:rtl/>
        </w:rPr>
        <w:t xml:space="preserve"> </w:t>
      </w:r>
      <w:r w:rsidR="002476CA">
        <w:rPr>
          <w:rFonts w:hint="cs"/>
          <w:rtl/>
        </w:rPr>
        <w:t>«</w:t>
      </w:r>
      <w:r w:rsidRPr="00DF1828">
        <w:rPr>
          <w:rFonts w:hint="cs"/>
          <w:rtl/>
        </w:rPr>
        <w:t>مستدرک</w:t>
      </w:r>
      <w:r w:rsidR="002476CA">
        <w:rPr>
          <w:rFonts w:hint="cs"/>
          <w:rtl/>
        </w:rPr>
        <w:t>»</w:t>
      </w:r>
      <w:r w:rsidRPr="00DF1828">
        <w:rPr>
          <w:rFonts w:hint="cs"/>
          <w:rtl/>
        </w:rPr>
        <w:t xml:space="preserve"> در همین باب</w:t>
      </w:r>
      <w:r w:rsidR="002476CA">
        <w:rPr>
          <w:rFonts w:hint="cs"/>
          <w:rtl/>
        </w:rPr>
        <w:t xml:space="preserve"> آمده </w:t>
      </w:r>
      <w:r w:rsidR="002476CA">
        <w:rPr>
          <w:rFonts w:hint="cs"/>
          <w:rtl/>
        </w:rPr>
        <w:lastRenderedPageBreak/>
        <w:t>است</w:t>
      </w:r>
      <w:r w:rsidRPr="00DF1828">
        <w:rPr>
          <w:rFonts w:hint="cs"/>
          <w:rtl/>
        </w:rPr>
        <w:t xml:space="preserve"> </w:t>
      </w:r>
      <w:r w:rsidR="002476CA" w:rsidRPr="00DF1828">
        <w:rPr>
          <w:rFonts w:hint="cs"/>
          <w:rtl/>
        </w:rPr>
        <w:t xml:space="preserve">که </w:t>
      </w:r>
      <w:r w:rsidR="00E245DC">
        <w:rPr>
          <w:rFonts w:hint="cs"/>
          <w:rtl/>
        </w:rPr>
        <w:t>می‌شود</w:t>
      </w:r>
      <w:r w:rsidR="002476CA" w:rsidRPr="00DF1828">
        <w:rPr>
          <w:rFonts w:hint="cs"/>
          <w:rtl/>
        </w:rPr>
        <w:t xml:space="preserve"> برای حرمت حضور در مجلس </w:t>
      </w:r>
      <w:r w:rsidR="00E245DC">
        <w:rPr>
          <w:rFonts w:hint="cs"/>
          <w:rtl/>
        </w:rPr>
        <w:t>غنا</w:t>
      </w:r>
      <w:r w:rsidR="002476CA" w:rsidRPr="00DF1828">
        <w:rPr>
          <w:rFonts w:hint="cs"/>
          <w:rtl/>
        </w:rPr>
        <w:t xml:space="preserve"> به </w:t>
      </w:r>
      <w:r w:rsidR="00E245DC">
        <w:rPr>
          <w:rFonts w:hint="cs"/>
          <w:rtl/>
        </w:rPr>
        <w:t>آن‌ها</w:t>
      </w:r>
      <w:r w:rsidR="002476CA" w:rsidRPr="00DF1828">
        <w:rPr>
          <w:rFonts w:hint="cs"/>
          <w:rtl/>
        </w:rPr>
        <w:t xml:space="preserve"> تمسک کرد</w:t>
      </w:r>
      <w:r w:rsidR="004B7DE0">
        <w:rPr>
          <w:rFonts w:hint="cs"/>
          <w:rtl/>
        </w:rPr>
        <w:t xml:space="preserve">. </w:t>
      </w:r>
      <w:r w:rsidRPr="00DF1828">
        <w:rPr>
          <w:rFonts w:hint="cs"/>
          <w:rtl/>
        </w:rPr>
        <w:t xml:space="preserve">اگر </w:t>
      </w:r>
      <w:r w:rsidR="004B7DE0" w:rsidRPr="00DF1828">
        <w:rPr>
          <w:rFonts w:hint="cs"/>
          <w:rtl/>
        </w:rPr>
        <w:t xml:space="preserve">در مقام اول و دوم </w:t>
      </w:r>
      <w:r w:rsidR="004B7DE0">
        <w:rPr>
          <w:rFonts w:hint="cs"/>
          <w:rtl/>
        </w:rPr>
        <w:t>قاعده</w:t>
      </w:r>
      <w:r w:rsidRPr="00DF1828">
        <w:rPr>
          <w:rFonts w:hint="cs"/>
          <w:rtl/>
        </w:rPr>
        <w:t xml:space="preserve"> کلی</w:t>
      </w:r>
      <w:r w:rsidR="004B7DE0">
        <w:rPr>
          <w:rFonts w:hint="cs"/>
          <w:rtl/>
        </w:rPr>
        <w:t xml:space="preserve"> داشتیم،</w:t>
      </w:r>
      <w:r w:rsidRPr="00DF1828">
        <w:rPr>
          <w:rFonts w:hint="cs"/>
          <w:rtl/>
        </w:rPr>
        <w:t xml:space="preserve"> </w:t>
      </w:r>
      <w:r w:rsidR="004B7DE0" w:rsidRPr="00DF1828">
        <w:rPr>
          <w:rFonts w:hint="cs"/>
          <w:rtl/>
        </w:rPr>
        <w:t>دلیل خاص</w:t>
      </w:r>
      <w:r w:rsidR="004B7DE0">
        <w:rPr>
          <w:rFonts w:hint="cs"/>
          <w:rtl/>
        </w:rPr>
        <w:t>،</w:t>
      </w:r>
      <w:r w:rsidR="004B7DE0" w:rsidRPr="00DF1828">
        <w:rPr>
          <w:rFonts w:hint="cs"/>
          <w:rtl/>
        </w:rPr>
        <w:t xml:space="preserve"> </w:t>
      </w:r>
      <w:r w:rsidR="004B7DE0">
        <w:rPr>
          <w:rFonts w:hint="cs"/>
          <w:rtl/>
        </w:rPr>
        <w:t xml:space="preserve">مؤکِّد </w:t>
      </w:r>
      <w:r w:rsidR="00A51E72">
        <w:rPr>
          <w:rFonts w:hint="cs"/>
          <w:rtl/>
        </w:rPr>
        <w:t>می‌شد</w:t>
      </w:r>
      <w:r w:rsidR="004B7DE0">
        <w:rPr>
          <w:rFonts w:hint="cs"/>
          <w:rtl/>
        </w:rPr>
        <w:t>؛ اما به این نتیجه رسیدیم که قاعده کلی وجود ندارد.</w:t>
      </w:r>
    </w:p>
    <w:p w:rsidR="007A2C96" w:rsidRPr="00FC42B9" w:rsidRDefault="007A2C96" w:rsidP="00171440">
      <w:pPr>
        <w:pStyle w:val="Heading2"/>
        <w:spacing w:before="0"/>
        <w:rPr>
          <w:rtl/>
        </w:rPr>
      </w:pPr>
      <w:bookmarkStart w:id="18" w:name="_Toc405460191"/>
      <w:r w:rsidRPr="00FC42B9">
        <w:rPr>
          <w:rFonts w:hint="cs"/>
          <w:rtl/>
        </w:rPr>
        <w:t>دلیل اول: روایت معتبره زید شحام</w:t>
      </w:r>
      <w:bookmarkEnd w:id="18"/>
    </w:p>
    <w:p w:rsidR="00735DC9" w:rsidRPr="006061A3" w:rsidRDefault="0057524E" w:rsidP="00F77113">
      <w:pPr>
        <w:spacing w:after="0"/>
        <w:rPr>
          <w:rtl/>
        </w:rPr>
      </w:pPr>
      <w:r w:rsidRPr="00DF1828">
        <w:rPr>
          <w:rFonts w:hint="cs"/>
          <w:rtl/>
        </w:rPr>
        <w:t>اولین دلیل</w:t>
      </w:r>
      <w:r w:rsidR="004B7DE0">
        <w:rPr>
          <w:rFonts w:hint="cs"/>
          <w:rtl/>
        </w:rPr>
        <w:t>،</w:t>
      </w:r>
      <w:r w:rsidRPr="00DF1828">
        <w:rPr>
          <w:rFonts w:hint="cs"/>
          <w:rtl/>
        </w:rPr>
        <w:t xml:space="preserve"> روایت</w:t>
      </w:r>
      <w:r w:rsidR="004B7DE0">
        <w:rPr>
          <w:rFonts w:hint="cs"/>
          <w:rtl/>
        </w:rPr>
        <w:t xml:space="preserve"> معتبره زید شح</w:t>
      </w:r>
      <w:r w:rsidRPr="00DF1828">
        <w:rPr>
          <w:rFonts w:hint="cs"/>
          <w:rtl/>
        </w:rPr>
        <w:t>ام است</w:t>
      </w:r>
      <w:r w:rsidR="004B7DE0">
        <w:rPr>
          <w:rFonts w:hint="cs"/>
          <w:rtl/>
        </w:rPr>
        <w:t>.</w:t>
      </w:r>
      <w:r w:rsidRPr="00DF1828">
        <w:rPr>
          <w:rFonts w:hint="cs"/>
          <w:rtl/>
        </w:rPr>
        <w:t xml:space="preserve"> چون </w:t>
      </w:r>
      <w:r w:rsidR="00A51E72">
        <w:rPr>
          <w:rFonts w:hint="cs"/>
          <w:rtl/>
        </w:rPr>
        <w:t>قبلاً</w:t>
      </w:r>
      <w:r w:rsidR="004B7DE0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سند را </w:t>
      </w:r>
      <w:r w:rsidR="004B7DE0">
        <w:rPr>
          <w:rFonts w:hint="cs"/>
          <w:rtl/>
        </w:rPr>
        <w:t>گفتیم لذا تکرار ن</w:t>
      </w:r>
      <w:r w:rsidR="00E245DC">
        <w:rPr>
          <w:rFonts w:hint="cs"/>
          <w:rtl/>
        </w:rPr>
        <w:t>می‌کنیم</w:t>
      </w:r>
      <w:r w:rsidR="004B7DE0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4B7DE0">
        <w:rPr>
          <w:rFonts w:hint="cs"/>
          <w:rtl/>
        </w:rPr>
        <w:t>زید شح</w:t>
      </w:r>
      <w:r w:rsidRPr="00DF1828">
        <w:rPr>
          <w:rFonts w:hint="cs"/>
          <w:rtl/>
        </w:rPr>
        <w:t xml:space="preserve">ام </w:t>
      </w:r>
      <w:r w:rsidR="00A51E72">
        <w:rPr>
          <w:rFonts w:hint="cs"/>
          <w:rtl/>
        </w:rPr>
        <w:t>می‌گوید</w:t>
      </w:r>
      <w:r w:rsidR="004B7DE0">
        <w:rPr>
          <w:rFonts w:hint="cs"/>
          <w:rtl/>
        </w:rPr>
        <w:t xml:space="preserve">: </w:t>
      </w:r>
      <w:r w:rsidR="004B7DE0" w:rsidRPr="005C6EA6">
        <w:rPr>
          <w:rFonts w:hint="cs"/>
          <w:b/>
          <w:bCs/>
          <w:rtl/>
        </w:rPr>
        <w:t xml:space="preserve">قَالَ أَبُو عَبْدِ اللَّهِ </w:t>
      </w:r>
      <w:r w:rsidR="00A51E72" w:rsidRPr="005C6EA6">
        <w:rPr>
          <w:rFonts w:hint="cs"/>
          <w:b/>
          <w:bCs/>
          <w:rtl/>
        </w:rPr>
        <w:t>علیه‌السلام</w:t>
      </w:r>
      <w:r w:rsidR="004B7DE0" w:rsidRPr="005C6EA6">
        <w:rPr>
          <w:rFonts w:hint="cs"/>
          <w:b/>
          <w:bCs/>
          <w:rtl/>
        </w:rPr>
        <w:t xml:space="preserve">: </w:t>
      </w:r>
      <w:r w:rsidR="00F77113" w:rsidRPr="00735DC9">
        <w:rPr>
          <w:rFonts w:hint="cs"/>
          <w:rtl/>
        </w:rPr>
        <w:t>«</w:t>
      </w:r>
      <w:r w:rsidR="004B7DE0" w:rsidRPr="005C6EA6">
        <w:rPr>
          <w:rFonts w:hint="cs"/>
          <w:b/>
          <w:bCs/>
          <w:rtl/>
        </w:rPr>
        <w:t>بَيْتُ الْغِنَاءِ لَا تُؤْمَنُ فِيهِ الْفَجِيعَة</w:t>
      </w:r>
      <w:r w:rsidR="006061A3" w:rsidRPr="005C6EA6">
        <w:rPr>
          <w:rFonts w:hint="cs"/>
          <w:b/>
          <w:bCs/>
          <w:rtl/>
        </w:rPr>
        <w:t xml:space="preserve"> </w:t>
      </w:r>
      <w:r w:rsidR="00735DC9" w:rsidRPr="005C6EA6">
        <w:rPr>
          <w:rFonts w:hint="cs"/>
          <w:b/>
          <w:bCs/>
          <w:rtl/>
        </w:rPr>
        <w:t>وَ لَا تُجَابُ‏ فِيهِ‏ الدَّعْوَةُ وَ لَا يَدْخُلُهُ الْمَلَك</w:t>
      </w:r>
      <w:r w:rsidR="00735DC9" w:rsidRPr="00735DC9">
        <w:rPr>
          <w:rFonts w:hint="cs"/>
          <w:rtl/>
        </w:rPr>
        <w:t>‏</w:t>
      </w:r>
      <w:r w:rsidR="006061A3">
        <w:rPr>
          <w:rFonts w:hint="cs"/>
          <w:rtl/>
        </w:rPr>
        <w:t>»</w:t>
      </w:r>
      <w:r w:rsidR="00411EBB" w:rsidRPr="00735DC9">
        <w:rPr>
          <w:vertAlign w:val="superscript"/>
          <w:rtl/>
        </w:rPr>
        <w:footnoteReference w:id="1"/>
      </w:r>
      <w:r w:rsidR="004B7DE0" w:rsidRPr="00735DC9">
        <w:rPr>
          <w:rFonts w:hint="cs"/>
          <w:rtl/>
        </w:rPr>
        <w:t xml:space="preserve">. </w:t>
      </w:r>
      <w:r w:rsidR="00A51E72">
        <w:rPr>
          <w:rFonts w:hint="cs"/>
          <w:rtl/>
        </w:rPr>
        <w:t>خانه‌ای</w:t>
      </w:r>
      <w:r w:rsidRPr="00DF1828">
        <w:rPr>
          <w:rFonts w:hint="cs"/>
          <w:rtl/>
        </w:rPr>
        <w:t xml:space="preserve"> که در آن </w:t>
      </w:r>
      <w:r w:rsidR="00E245DC">
        <w:rPr>
          <w:rFonts w:hint="cs"/>
          <w:rtl/>
        </w:rPr>
        <w:t>غنا</w:t>
      </w:r>
      <w:r w:rsidRPr="00DF1828">
        <w:rPr>
          <w:rFonts w:hint="cs"/>
          <w:rtl/>
        </w:rPr>
        <w:t xml:space="preserve"> باشد از </w:t>
      </w:r>
      <w:r w:rsidR="00A51E72">
        <w:rPr>
          <w:rFonts w:hint="cs"/>
          <w:rtl/>
        </w:rPr>
        <w:t>مصیبت‌ها</w:t>
      </w:r>
      <w:r w:rsidRPr="00DF1828">
        <w:rPr>
          <w:rFonts w:hint="cs"/>
          <w:rtl/>
        </w:rPr>
        <w:t xml:space="preserve"> و فجایع در امنیت نیست</w:t>
      </w:r>
      <w:r w:rsidR="004B7DE0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موجب فجیعه </w:t>
      </w:r>
      <w:r w:rsidR="00E245DC">
        <w:rPr>
          <w:rFonts w:hint="cs"/>
          <w:rtl/>
        </w:rPr>
        <w:t>می‌شود</w:t>
      </w:r>
      <w:r w:rsidR="004B7DE0">
        <w:rPr>
          <w:rFonts w:hint="cs"/>
          <w:rtl/>
        </w:rPr>
        <w:t xml:space="preserve">. ممکن است کسی </w:t>
      </w:r>
      <w:r w:rsidR="00A51E72">
        <w:rPr>
          <w:rFonts w:hint="cs"/>
          <w:rtl/>
        </w:rPr>
        <w:t>این‌گونه</w:t>
      </w:r>
      <w:r w:rsidR="004B7DE0">
        <w:rPr>
          <w:rFonts w:hint="cs"/>
          <w:rtl/>
        </w:rPr>
        <w:t xml:space="preserve"> استدلال </w:t>
      </w:r>
      <w:r w:rsidRPr="00DF1828">
        <w:rPr>
          <w:rFonts w:hint="cs"/>
          <w:rtl/>
        </w:rPr>
        <w:t xml:space="preserve">کند که </w:t>
      </w:r>
      <w:r w:rsidR="00735DC9">
        <w:rPr>
          <w:rFonts w:hint="cs"/>
          <w:rtl/>
        </w:rPr>
        <w:t>این روایت،</w:t>
      </w:r>
      <w:r w:rsidRPr="00DF1828">
        <w:rPr>
          <w:rFonts w:hint="cs"/>
          <w:rtl/>
        </w:rPr>
        <w:t xml:space="preserve"> حکمتی</w:t>
      </w:r>
      <w:r w:rsidR="00735DC9">
        <w:rPr>
          <w:rFonts w:hint="cs"/>
          <w:rtl/>
        </w:rPr>
        <w:t xml:space="preserve"> را</w:t>
      </w:r>
      <w:r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می‌گوید</w:t>
      </w:r>
      <w:r w:rsidRPr="00DF1828">
        <w:rPr>
          <w:rFonts w:hint="cs"/>
          <w:rtl/>
        </w:rPr>
        <w:t xml:space="preserve"> ولی </w:t>
      </w:r>
      <w:r w:rsidR="00735DC9">
        <w:rPr>
          <w:rFonts w:hint="cs"/>
          <w:rtl/>
        </w:rPr>
        <w:t xml:space="preserve">این حکمت، </w:t>
      </w:r>
      <w:r w:rsidRPr="00DF1828">
        <w:rPr>
          <w:rFonts w:hint="cs"/>
          <w:rtl/>
        </w:rPr>
        <w:t>منشأ</w:t>
      </w:r>
      <w:r w:rsidR="00735DC9">
        <w:rPr>
          <w:rFonts w:hint="cs"/>
          <w:rtl/>
        </w:rPr>
        <w:t xml:space="preserve"> حکمی</w:t>
      </w:r>
      <w:r w:rsidRPr="00DF1828">
        <w:rPr>
          <w:rFonts w:hint="cs"/>
          <w:rtl/>
        </w:rPr>
        <w:t xml:space="preserve"> است</w:t>
      </w:r>
      <w:r w:rsidR="00735DC9">
        <w:rPr>
          <w:rFonts w:hint="cs"/>
          <w:rtl/>
        </w:rPr>
        <w:t xml:space="preserve"> که یا کنایه از آ</w:t>
      </w:r>
      <w:r w:rsidRPr="00DF1828">
        <w:rPr>
          <w:rFonts w:hint="cs"/>
          <w:rtl/>
        </w:rPr>
        <w:t xml:space="preserve">ن است </w:t>
      </w:r>
      <w:r w:rsidR="00735DC9">
        <w:rPr>
          <w:rFonts w:hint="cs"/>
          <w:rtl/>
        </w:rPr>
        <w:t xml:space="preserve">و </w:t>
      </w:r>
      <w:r w:rsidRPr="00DF1828">
        <w:rPr>
          <w:rFonts w:hint="cs"/>
          <w:rtl/>
        </w:rPr>
        <w:t>یا ملازم آن است</w:t>
      </w:r>
      <w:r w:rsidR="00735DC9">
        <w:rPr>
          <w:rFonts w:hint="cs"/>
          <w:rtl/>
        </w:rPr>
        <w:t>؛</w:t>
      </w:r>
      <w:r w:rsidRPr="00DF1828">
        <w:rPr>
          <w:rFonts w:hint="cs"/>
          <w:rtl/>
        </w:rPr>
        <w:t xml:space="preserve"> یعنی حضور در </w:t>
      </w:r>
      <w:r w:rsidR="00A51E72">
        <w:rPr>
          <w:rFonts w:hint="cs"/>
          <w:rtl/>
        </w:rPr>
        <w:t>خانه‌ای</w:t>
      </w:r>
      <w:r w:rsidRPr="00DF1828">
        <w:rPr>
          <w:rFonts w:hint="cs"/>
          <w:rtl/>
        </w:rPr>
        <w:t xml:space="preserve"> که در آن </w:t>
      </w:r>
      <w:r w:rsidR="00E245DC">
        <w:rPr>
          <w:rFonts w:hint="cs"/>
          <w:rtl/>
        </w:rPr>
        <w:t>غنا</w:t>
      </w:r>
      <w:r w:rsidRPr="00DF1828">
        <w:rPr>
          <w:rFonts w:hint="cs"/>
          <w:rtl/>
        </w:rPr>
        <w:t xml:space="preserve"> هست اشکال دارد</w:t>
      </w:r>
      <w:r w:rsidR="00735DC9">
        <w:rPr>
          <w:rFonts w:hint="cs"/>
          <w:rtl/>
        </w:rPr>
        <w:t>.</w:t>
      </w:r>
    </w:p>
    <w:p w:rsidR="00735DC9" w:rsidRDefault="00735DC9" w:rsidP="00171440">
      <w:pPr>
        <w:spacing w:after="0"/>
        <w:rPr>
          <w:rtl/>
        </w:rPr>
      </w:pPr>
      <w:r w:rsidRPr="005C6EA6">
        <w:rPr>
          <w:rFonts w:hint="cs"/>
          <w:b/>
          <w:bCs/>
          <w:rtl/>
        </w:rPr>
        <w:t>بَيْتُ الْغِنَاءِ لَا تُؤْمَنُ فِيهِ الْفَجِيعَة</w:t>
      </w:r>
      <w:r w:rsidR="0057524E" w:rsidRPr="00DF1828">
        <w:rPr>
          <w:rFonts w:hint="cs"/>
          <w:rtl/>
        </w:rPr>
        <w:t xml:space="preserve">، یا کنایه از این است که نباید </w:t>
      </w:r>
      <w:r>
        <w:rPr>
          <w:rFonts w:hint="cs"/>
          <w:rtl/>
        </w:rPr>
        <w:t>آنجا</w:t>
      </w:r>
      <w:r w:rsidR="0057524E" w:rsidRPr="00DF1828">
        <w:rPr>
          <w:rFonts w:hint="cs"/>
          <w:rtl/>
        </w:rPr>
        <w:t xml:space="preserve"> بروید یا </w:t>
      </w:r>
      <w:r>
        <w:rPr>
          <w:rFonts w:hint="cs"/>
          <w:rtl/>
        </w:rPr>
        <w:t>ملازم با آ</w:t>
      </w:r>
      <w:r w:rsidR="0057524E" w:rsidRPr="00DF1828">
        <w:rPr>
          <w:rFonts w:hint="cs"/>
          <w:rtl/>
        </w:rPr>
        <w:t>ن است</w:t>
      </w:r>
      <w:r>
        <w:rPr>
          <w:rFonts w:hint="cs"/>
          <w:rtl/>
        </w:rPr>
        <w:t>؛ یعنی رفتن به آن</w:t>
      </w:r>
      <w:r w:rsidR="0057524E" w:rsidRPr="00DF1828">
        <w:rPr>
          <w:rFonts w:hint="cs"/>
          <w:rtl/>
        </w:rPr>
        <w:t>جا درست نیست</w:t>
      </w:r>
      <w:r>
        <w:rPr>
          <w:rFonts w:hint="cs"/>
          <w:rtl/>
        </w:rPr>
        <w:t>.</w:t>
      </w:r>
      <w:r w:rsidR="0057524E" w:rsidRPr="00DF1828">
        <w:rPr>
          <w:rFonts w:hint="cs"/>
          <w:rtl/>
        </w:rPr>
        <w:t xml:space="preserve"> مقصود </w:t>
      </w:r>
      <w:r>
        <w:rPr>
          <w:rFonts w:hint="cs"/>
          <w:rtl/>
        </w:rPr>
        <w:t xml:space="preserve">از بیت، </w:t>
      </w:r>
      <w:r w:rsidR="0057524E" w:rsidRPr="00DF1828">
        <w:rPr>
          <w:rFonts w:hint="cs"/>
          <w:rtl/>
        </w:rPr>
        <w:t>خانه نیست</w:t>
      </w:r>
      <w:r>
        <w:rPr>
          <w:rFonts w:hint="cs"/>
          <w:rtl/>
        </w:rPr>
        <w:t>؛</w:t>
      </w:r>
      <w:r w:rsidR="0057524E" w:rsidRPr="00DF1828">
        <w:rPr>
          <w:rFonts w:hint="cs"/>
          <w:rtl/>
        </w:rPr>
        <w:t xml:space="preserve"> ممکن است سالنی باشد که </w:t>
      </w:r>
      <w:r>
        <w:rPr>
          <w:rFonts w:hint="cs"/>
          <w:rtl/>
        </w:rPr>
        <w:t xml:space="preserve">برای </w:t>
      </w:r>
      <w:r w:rsidR="00E245DC">
        <w:rPr>
          <w:rFonts w:hint="cs"/>
          <w:rtl/>
        </w:rPr>
        <w:t>غنا</w:t>
      </w:r>
      <w:r>
        <w:rPr>
          <w:rFonts w:hint="cs"/>
          <w:rtl/>
        </w:rPr>
        <w:t xml:space="preserve"> ا</w:t>
      </w:r>
      <w:r w:rsidR="0057524E" w:rsidRPr="00DF1828">
        <w:rPr>
          <w:rFonts w:hint="cs"/>
          <w:rtl/>
        </w:rPr>
        <w:t>ست</w:t>
      </w:r>
      <w:r>
        <w:rPr>
          <w:rFonts w:hint="cs"/>
          <w:rtl/>
        </w:rPr>
        <w:t xml:space="preserve"> و</w:t>
      </w:r>
      <w:r w:rsidR="0057524E" w:rsidRPr="00DF182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DF1828">
        <w:rPr>
          <w:rFonts w:hint="cs"/>
          <w:rtl/>
        </w:rPr>
        <w:t>ا القاء خصوصیت</w:t>
      </w:r>
      <w:r>
        <w:rPr>
          <w:rFonts w:hint="cs"/>
          <w:rtl/>
        </w:rPr>
        <w:t>،</w:t>
      </w:r>
      <w:r w:rsidRPr="00DF1828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همه </w:t>
      </w:r>
      <w:r w:rsidR="00E245DC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E245DC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7A2C96" w:rsidRPr="00FC42B9" w:rsidRDefault="007A2C96" w:rsidP="00171440">
      <w:pPr>
        <w:pStyle w:val="Heading2"/>
        <w:spacing w:before="0"/>
        <w:rPr>
          <w:rtl/>
        </w:rPr>
      </w:pPr>
      <w:bookmarkStart w:id="19" w:name="_Toc405460192"/>
      <w:r w:rsidRPr="00FC42B9">
        <w:rPr>
          <w:rFonts w:hint="cs"/>
          <w:rtl/>
        </w:rPr>
        <w:t>اشکال بر استدلال به این روایت</w:t>
      </w:r>
      <w:bookmarkEnd w:id="19"/>
    </w:p>
    <w:p w:rsidR="006061A3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>استدلال به این</w:t>
      </w:r>
      <w:r w:rsidR="00735DC9">
        <w:rPr>
          <w:rFonts w:hint="cs"/>
          <w:rtl/>
        </w:rPr>
        <w:t xml:space="preserve"> روایت</w:t>
      </w:r>
      <w:r w:rsidRPr="00DF1828">
        <w:rPr>
          <w:rFonts w:hint="cs"/>
          <w:rtl/>
        </w:rPr>
        <w:t xml:space="preserve"> برای </w:t>
      </w:r>
      <w:r w:rsidR="00735DC9">
        <w:rPr>
          <w:rFonts w:hint="cs"/>
          <w:rtl/>
        </w:rPr>
        <w:t xml:space="preserve">اثبات </w:t>
      </w:r>
      <w:r w:rsidRPr="00DF1828">
        <w:rPr>
          <w:rFonts w:hint="cs"/>
          <w:rtl/>
        </w:rPr>
        <w:t>حرمت مشکل است</w:t>
      </w:r>
      <w:r w:rsidR="00735DC9">
        <w:rPr>
          <w:rFonts w:hint="cs"/>
          <w:rtl/>
        </w:rPr>
        <w:t>؛</w:t>
      </w:r>
      <w:r w:rsidRPr="00DF1828">
        <w:rPr>
          <w:rFonts w:hint="cs"/>
          <w:rtl/>
        </w:rPr>
        <w:t xml:space="preserve"> برای اینکه</w:t>
      </w:r>
      <w:r w:rsidR="006061A3" w:rsidRPr="006061A3">
        <w:rPr>
          <w:rFonts w:hint="cs"/>
          <w:b/>
          <w:bCs/>
          <w:rtl/>
        </w:rPr>
        <w:t xml:space="preserve"> </w:t>
      </w:r>
      <w:r w:rsidR="006061A3">
        <w:rPr>
          <w:rFonts w:hint="cs"/>
          <w:b/>
          <w:bCs/>
          <w:rtl/>
        </w:rPr>
        <w:t>«</w:t>
      </w:r>
      <w:r w:rsidR="006061A3" w:rsidRPr="00735DC9">
        <w:rPr>
          <w:rFonts w:hint="cs"/>
          <w:b/>
          <w:bCs/>
          <w:rtl/>
        </w:rPr>
        <w:t>وَ لَا تُجَابُ‏ فِيهِ‏ الدَّعْوَةُ وَ لَا يَدْخُلُهُ الْمَلَك</w:t>
      </w:r>
      <w:r w:rsidR="006061A3">
        <w:rPr>
          <w:rFonts w:hint="cs"/>
          <w:rtl/>
        </w:rPr>
        <w:t xml:space="preserve">» دلالت بر کراهت </w:t>
      </w:r>
      <w:r w:rsidR="00E245DC">
        <w:rPr>
          <w:rFonts w:hint="cs"/>
          <w:rtl/>
        </w:rPr>
        <w:t>می‌کند</w:t>
      </w:r>
      <w:r w:rsidR="007A2C96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</w:t>
      </w:r>
      <w:r w:rsidR="006061A3">
        <w:rPr>
          <w:rFonts w:hint="cs"/>
          <w:rtl/>
        </w:rPr>
        <w:t xml:space="preserve">اطمینان به اینکه دلالت بر حرمت </w:t>
      </w:r>
      <w:r w:rsidRPr="00DF1828">
        <w:rPr>
          <w:rFonts w:hint="cs"/>
          <w:rtl/>
        </w:rPr>
        <w:t>کند</w:t>
      </w:r>
      <w:r w:rsidR="006061A3">
        <w:rPr>
          <w:rFonts w:hint="cs"/>
          <w:rtl/>
        </w:rPr>
        <w:t>، وجود ندارد. لذا دلالت بر کراهت و مرجوح</w:t>
      </w:r>
      <w:r w:rsidRPr="00DF1828">
        <w:rPr>
          <w:rFonts w:hint="cs"/>
          <w:rtl/>
        </w:rPr>
        <w:t xml:space="preserve">یت </w:t>
      </w:r>
      <w:r w:rsidR="00E245DC">
        <w:rPr>
          <w:rFonts w:hint="cs"/>
          <w:rtl/>
        </w:rPr>
        <w:t>می‌کند</w:t>
      </w:r>
      <w:r w:rsidRPr="00DF1828">
        <w:rPr>
          <w:rFonts w:hint="cs"/>
          <w:rtl/>
        </w:rPr>
        <w:t xml:space="preserve"> گر چه </w:t>
      </w:r>
      <w:r w:rsidR="006061A3" w:rsidRPr="00DF1828">
        <w:rPr>
          <w:rFonts w:hint="cs"/>
          <w:rtl/>
        </w:rPr>
        <w:t>جمع این سه</w:t>
      </w:r>
      <w:r w:rsidR="006061A3">
        <w:rPr>
          <w:rFonts w:hint="cs"/>
          <w:rtl/>
        </w:rPr>
        <w:t>، یعنی</w:t>
      </w:r>
      <w:r w:rsidR="006061A3" w:rsidRPr="00DF1828">
        <w:rPr>
          <w:rFonts w:hint="cs"/>
          <w:rtl/>
        </w:rPr>
        <w:t xml:space="preserve"> </w:t>
      </w:r>
      <w:r w:rsidR="006061A3">
        <w:rPr>
          <w:rFonts w:hint="cs"/>
          <w:rtl/>
        </w:rPr>
        <w:t>«</w:t>
      </w:r>
      <w:r w:rsidR="006061A3" w:rsidRPr="00735DC9">
        <w:rPr>
          <w:rFonts w:hint="cs"/>
          <w:b/>
          <w:bCs/>
          <w:rtl/>
        </w:rPr>
        <w:t>لَا تُؤْمَنُ فِيهِ الْفَجِيعَة</w:t>
      </w:r>
      <w:r w:rsidR="006061A3">
        <w:rPr>
          <w:rFonts w:hint="cs"/>
          <w:b/>
          <w:bCs/>
          <w:rtl/>
        </w:rPr>
        <w:t xml:space="preserve"> </w:t>
      </w:r>
      <w:r w:rsidR="006061A3" w:rsidRPr="00735DC9">
        <w:rPr>
          <w:rFonts w:hint="cs"/>
          <w:b/>
          <w:bCs/>
          <w:rtl/>
        </w:rPr>
        <w:t>وَ لَا تُجَابُ‏ فِيهِ‏ الدَّعْوَةُ وَ لَا يَدْخُلُهُ الْمَلَك</w:t>
      </w:r>
      <w:r w:rsidR="006061A3">
        <w:rPr>
          <w:rFonts w:hint="cs"/>
          <w:b/>
          <w:bCs/>
          <w:rtl/>
        </w:rPr>
        <w:t>»</w:t>
      </w:r>
      <w:r w:rsidRPr="00DF1828">
        <w:rPr>
          <w:rFonts w:hint="cs"/>
          <w:rtl/>
        </w:rPr>
        <w:t xml:space="preserve"> اشعار به حرمت </w:t>
      </w:r>
      <w:r w:rsidR="006061A3">
        <w:rPr>
          <w:rFonts w:hint="cs"/>
          <w:rtl/>
        </w:rPr>
        <w:t>دارد</w:t>
      </w:r>
      <w:r w:rsidRPr="00DF1828">
        <w:rPr>
          <w:rFonts w:hint="cs"/>
          <w:rtl/>
        </w:rPr>
        <w:t xml:space="preserve"> اما </w:t>
      </w:r>
      <w:r w:rsidR="006061A3" w:rsidRPr="00DF1828">
        <w:rPr>
          <w:rFonts w:hint="cs"/>
          <w:rtl/>
        </w:rPr>
        <w:t xml:space="preserve">استفاده </w:t>
      </w:r>
      <w:r w:rsidR="006061A3">
        <w:rPr>
          <w:rFonts w:hint="cs"/>
          <w:rtl/>
        </w:rPr>
        <w:t xml:space="preserve">حرمت، </w:t>
      </w:r>
      <w:r w:rsidRPr="00DF1828">
        <w:rPr>
          <w:rFonts w:hint="cs"/>
          <w:rtl/>
        </w:rPr>
        <w:t>فقط</w:t>
      </w:r>
      <w:r w:rsidR="006061A3">
        <w:rPr>
          <w:rFonts w:hint="cs"/>
          <w:rtl/>
        </w:rPr>
        <w:t xml:space="preserve"> از</w:t>
      </w:r>
      <w:r w:rsidRPr="00DF1828">
        <w:rPr>
          <w:rFonts w:hint="cs"/>
          <w:rtl/>
        </w:rPr>
        <w:t xml:space="preserve"> این روایت</w:t>
      </w:r>
      <w:r w:rsidR="006061A3">
        <w:rPr>
          <w:rFonts w:hint="cs"/>
          <w:rtl/>
        </w:rPr>
        <w:t>،</w:t>
      </w:r>
      <w:r w:rsidRPr="00DF1828">
        <w:rPr>
          <w:rFonts w:hint="cs"/>
          <w:rtl/>
        </w:rPr>
        <w:t xml:space="preserve"> مشکل </w:t>
      </w:r>
      <w:r w:rsidR="006061A3">
        <w:rPr>
          <w:rFonts w:hint="cs"/>
          <w:rtl/>
        </w:rPr>
        <w:t>است.</w:t>
      </w:r>
    </w:p>
    <w:p w:rsidR="007A2C96" w:rsidRPr="00FC42B9" w:rsidRDefault="007A2C96" w:rsidP="00171440">
      <w:pPr>
        <w:pStyle w:val="Heading2"/>
        <w:spacing w:before="0"/>
        <w:rPr>
          <w:rtl/>
        </w:rPr>
      </w:pPr>
      <w:bookmarkStart w:id="20" w:name="_Toc405460193"/>
      <w:r w:rsidRPr="00FC42B9">
        <w:rPr>
          <w:rFonts w:hint="cs"/>
          <w:rtl/>
        </w:rPr>
        <w:t>دلیل دوم: روایت حسن بن هارون</w:t>
      </w:r>
      <w:bookmarkEnd w:id="20"/>
    </w:p>
    <w:p w:rsidR="007817FB" w:rsidRDefault="0057524E" w:rsidP="00171440">
      <w:pPr>
        <w:spacing w:after="0"/>
        <w:rPr>
          <w:rtl/>
        </w:rPr>
      </w:pPr>
      <w:r w:rsidRPr="00DF1828">
        <w:rPr>
          <w:rFonts w:hint="cs"/>
          <w:sz w:val="24"/>
          <w:rtl/>
        </w:rPr>
        <w:t>روایت دوم د</w:t>
      </w:r>
      <w:r w:rsidR="007817FB">
        <w:rPr>
          <w:rFonts w:hint="cs"/>
          <w:sz w:val="24"/>
          <w:rtl/>
        </w:rPr>
        <w:t>ر ا</w:t>
      </w:r>
      <w:r w:rsidR="006061A3">
        <w:rPr>
          <w:rFonts w:hint="cs"/>
          <w:sz w:val="24"/>
          <w:rtl/>
        </w:rPr>
        <w:t>ین باب</w:t>
      </w:r>
      <w:r w:rsidR="007817FB">
        <w:rPr>
          <w:rFonts w:hint="cs"/>
          <w:sz w:val="24"/>
          <w:rtl/>
        </w:rPr>
        <w:t>،</w:t>
      </w:r>
      <w:r w:rsidR="006061A3">
        <w:rPr>
          <w:rFonts w:hint="cs"/>
          <w:sz w:val="24"/>
          <w:rtl/>
        </w:rPr>
        <w:t xml:space="preserve"> روایت شانزدهم است: </w:t>
      </w:r>
      <w:r w:rsidR="006061A3" w:rsidRPr="007817FB">
        <w:rPr>
          <w:rFonts w:hint="cs"/>
          <w:sz w:val="24"/>
          <w:rtl/>
        </w:rPr>
        <w:t>«</w:t>
      </w:r>
      <w:r w:rsidR="007817FB" w:rsidRPr="00411EBB">
        <w:rPr>
          <w:rFonts w:hint="cs"/>
          <w:b/>
          <w:bCs/>
          <w:rtl/>
        </w:rPr>
        <w:t xml:space="preserve">عَلِيُّ بْنُ إِبْرَاهِيمَ عَنْ أَبِيهِ عَنِ ابْنِ أَبِي عُمَيْرٍ عَنْ مِهْرَانَ بْنِ مُحَمَّدٍ عَنِ الْحَسَنِ بْنِ هَارُونَ قَالَ سَمِعْتُ أَبَا عَبْدِ اللَّهِ </w:t>
      </w:r>
      <w:r w:rsidR="00A51E72" w:rsidRPr="00411EBB">
        <w:rPr>
          <w:rFonts w:hint="cs"/>
          <w:b/>
          <w:bCs/>
          <w:rtl/>
        </w:rPr>
        <w:t>علیه‌السلام</w:t>
      </w:r>
      <w:r w:rsidR="007817FB" w:rsidRPr="00411EBB">
        <w:rPr>
          <w:rFonts w:hint="cs"/>
          <w:b/>
          <w:bCs/>
          <w:rtl/>
        </w:rPr>
        <w:t xml:space="preserve"> يَقُولُ‏ الْغِنَاءُ مَجْلِسٌ‏ لَا يَنْظُرُ اللَّهُ إِلَى أَهْلِهِ وَ هُوَ مِمَّا قَالَ اللَّهُ عَزَّ وَ جَلَّ- وَ مِنَ النَّاسِ مَنْ يَشْتَرِي لَهْوَ الْحَدِيثِ لِيُضِلَّ عَنْ سَبِيلِ اللَّهِ</w:t>
      </w:r>
      <w:r w:rsidR="007817FB" w:rsidRPr="007817FB">
        <w:rPr>
          <w:rFonts w:hint="cs"/>
          <w:rtl/>
        </w:rPr>
        <w:t>»</w:t>
      </w:r>
      <w:r w:rsidR="00411EBB" w:rsidRPr="007817FB">
        <w:rPr>
          <w:vertAlign w:val="superscript"/>
          <w:rtl/>
        </w:rPr>
        <w:footnoteReference w:id="2"/>
      </w:r>
      <w:r w:rsidR="00411EBB" w:rsidRPr="007817FB">
        <w:rPr>
          <w:rFonts w:hint="cs"/>
          <w:rtl/>
        </w:rPr>
        <w:t>‏</w:t>
      </w:r>
      <w:r w:rsidR="007817FB" w:rsidRPr="007817FB">
        <w:rPr>
          <w:rFonts w:hint="cs"/>
          <w:rtl/>
        </w:rPr>
        <w:t xml:space="preserve"> (لقمان/</w:t>
      </w:r>
      <w:r w:rsidR="00A51E72">
        <w:rPr>
          <w:rtl/>
        </w:rPr>
        <w:t>۶</w:t>
      </w:r>
      <w:r w:rsidR="007817FB" w:rsidRPr="007817FB">
        <w:rPr>
          <w:rFonts w:hint="cs"/>
          <w:rtl/>
        </w:rPr>
        <w:t>).</w:t>
      </w:r>
    </w:p>
    <w:p w:rsidR="007A2C96" w:rsidRPr="00FC42B9" w:rsidRDefault="007A2C96" w:rsidP="00171440">
      <w:pPr>
        <w:pStyle w:val="Heading2"/>
        <w:spacing w:before="0"/>
        <w:rPr>
          <w:rtl/>
        </w:rPr>
      </w:pPr>
      <w:bookmarkStart w:id="21" w:name="_Toc405460194"/>
      <w:r w:rsidRPr="00FC42B9">
        <w:rPr>
          <w:rFonts w:hint="cs"/>
          <w:rtl/>
        </w:rPr>
        <w:lastRenderedPageBreak/>
        <w:t>اشکال بر سند این روایت</w:t>
      </w:r>
      <w:bookmarkEnd w:id="21"/>
    </w:p>
    <w:p w:rsidR="007817FB" w:rsidRDefault="007817FB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ممکن است بگوییم </w:t>
      </w:r>
      <w:r>
        <w:rPr>
          <w:rFonts w:hint="cs"/>
          <w:rtl/>
        </w:rPr>
        <w:t xml:space="preserve">که </w:t>
      </w:r>
      <w:r w:rsidR="0057524E" w:rsidRPr="00DF1828">
        <w:rPr>
          <w:rFonts w:hint="cs"/>
          <w:rtl/>
        </w:rPr>
        <w:t xml:space="preserve">این روایت هم </w:t>
      </w:r>
      <w:r w:rsidR="00A51E72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57524E" w:rsidRPr="00DF1828">
        <w:rPr>
          <w:rFonts w:hint="cs"/>
          <w:rtl/>
        </w:rPr>
        <w:t xml:space="preserve"> حضور </w:t>
      </w:r>
      <w:r w:rsidR="00A51E72">
        <w:rPr>
          <w:rFonts w:hint="cs"/>
          <w:rtl/>
        </w:rPr>
        <w:t>در آن</w:t>
      </w:r>
      <w:r w:rsidR="0057524E" w:rsidRPr="00DF1828">
        <w:rPr>
          <w:rFonts w:hint="cs"/>
          <w:rtl/>
        </w:rPr>
        <w:t xml:space="preserve"> </w:t>
      </w:r>
      <w:r>
        <w:rPr>
          <w:rFonts w:hint="cs"/>
          <w:rtl/>
        </w:rPr>
        <w:t>مجلس</w:t>
      </w:r>
      <w:r w:rsidR="0057524E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با عنوان اولیه </w:t>
      </w:r>
      <w:r w:rsidR="0057524E" w:rsidRPr="00DF1828">
        <w:rPr>
          <w:rFonts w:hint="cs"/>
          <w:rtl/>
        </w:rPr>
        <w:t xml:space="preserve">حرام </w:t>
      </w:r>
      <w:r w:rsidR="00E245DC">
        <w:rPr>
          <w:rFonts w:hint="cs"/>
          <w:rtl/>
        </w:rPr>
        <w:t>می‌شود</w:t>
      </w:r>
      <w:r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نه با </w:t>
      </w:r>
      <w:r w:rsidR="00A51E72">
        <w:rPr>
          <w:rFonts w:hint="cs"/>
          <w:rtl/>
        </w:rPr>
        <w:t>عنوان‌های</w:t>
      </w:r>
      <w:r w:rsidR="0057524E" w:rsidRPr="00DF1828">
        <w:rPr>
          <w:rFonts w:hint="cs"/>
          <w:rtl/>
        </w:rPr>
        <w:t xml:space="preserve"> ثانوی</w:t>
      </w:r>
      <w:r>
        <w:rPr>
          <w:rFonts w:hint="cs"/>
          <w:rtl/>
        </w:rPr>
        <w:t>ه.</w:t>
      </w:r>
      <w:r w:rsidR="0057524E" w:rsidRPr="00DF1828">
        <w:rPr>
          <w:rFonts w:hint="cs"/>
          <w:rtl/>
        </w:rPr>
        <w:t xml:space="preserve"> این روایت را </w:t>
      </w:r>
      <w:r w:rsidR="00A51E72">
        <w:rPr>
          <w:rFonts w:hint="cs"/>
          <w:rtl/>
        </w:rPr>
        <w:t>ازنظر</w:t>
      </w:r>
      <w:r w:rsidR="0057524E" w:rsidRPr="00DF1828">
        <w:rPr>
          <w:rFonts w:hint="cs"/>
          <w:rtl/>
        </w:rPr>
        <w:t xml:space="preserve"> سند </w:t>
      </w:r>
      <w:r w:rsidR="00A51E72">
        <w:rPr>
          <w:rFonts w:hint="cs"/>
          <w:rtl/>
        </w:rPr>
        <w:t>قبلاً</w:t>
      </w:r>
      <w:r w:rsidR="0057524E" w:rsidRPr="00DF1828">
        <w:rPr>
          <w:rFonts w:hint="cs"/>
          <w:rtl/>
        </w:rPr>
        <w:t xml:space="preserve"> بحث کردیم</w:t>
      </w:r>
      <w:r>
        <w:rPr>
          <w:rFonts w:hint="cs"/>
          <w:rtl/>
        </w:rPr>
        <w:t xml:space="preserve"> و</w:t>
      </w:r>
      <w:r w:rsidR="0057524E" w:rsidRPr="00DF1828">
        <w:rPr>
          <w:rFonts w:hint="cs"/>
          <w:rtl/>
        </w:rPr>
        <w:t xml:space="preserve"> گفتیم</w:t>
      </w:r>
      <w:r>
        <w:rPr>
          <w:rFonts w:hint="cs"/>
          <w:rtl/>
        </w:rPr>
        <w:t xml:space="preserve"> که</w:t>
      </w:r>
      <w:r w:rsidR="0057524E" w:rsidRPr="00DF1828">
        <w:rPr>
          <w:rFonts w:hint="cs"/>
          <w:rtl/>
        </w:rPr>
        <w:t xml:space="preserve"> مهران بن محمد و حس</w:t>
      </w:r>
      <w:r>
        <w:rPr>
          <w:rFonts w:hint="cs"/>
          <w:rtl/>
        </w:rPr>
        <w:t xml:space="preserve">ن بن هارون توثیق ندارند اما </w:t>
      </w:r>
      <w:r w:rsidR="00A51E72">
        <w:rPr>
          <w:rFonts w:hint="cs"/>
          <w:rtl/>
        </w:rPr>
        <w:t>بنا بر</w:t>
      </w:r>
      <w:r w:rsidR="0057524E" w:rsidRPr="00DF1828">
        <w:rPr>
          <w:rFonts w:hint="cs"/>
          <w:rtl/>
        </w:rPr>
        <w:t xml:space="preserve"> آنچه ما در رجال ابن </w:t>
      </w:r>
      <w:r w:rsidR="00A51E72">
        <w:rPr>
          <w:rFonts w:hint="cs"/>
          <w:rtl/>
        </w:rPr>
        <w:t>آبی</w:t>
      </w:r>
      <w:r w:rsidR="0057524E" w:rsidRPr="00DF1828">
        <w:rPr>
          <w:rFonts w:hint="cs"/>
          <w:rtl/>
        </w:rPr>
        <w:t xml:space="preserve"> عمیر و صفوان و بزنطی انتخاب کردیم</w:t>
      </w:r>
      <w:r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مهران بن محمد توثیق </w:t>
      </w:r>
      <w:r w:rsidR="00E245DC">
        <w:rPr>
          <w:rFonts w:hint="cs"/>
          <w:rtl/>
        </w:rPr>
        <w:t>می‌شود</w:t>
      </w:r>
      <w:r w:rsidR="0057524E" w:rsidRPr="00DF1828">
        <w:rPr>
          <w:rFonts w:hint="cs"/>
          <w:rtl/>
        </w:rPr>
        <w:t xml:space="preserve"> اما حسن بن هارون که ابن </w:t>
      </w:r>
      <w:r w:rsidR="00A51E72">
        <w:rPr>
          <w:rFonts w:hint="cs"/>
          <w:rtl/>
        </w:rPr>
        <w:t>آبی</w:t>
      </w:r>
      <w:r w:rsidR="0057524E" w:rsidRPr="00DF1828">
        <w:rPr>
          <w:rFonts w:hint="cs"/>
          <w:rtl/>
        </w:rPr>
        <w:t xml:space="preserve"> عمیر </w:t>
      </w:r>
      <w:r w:rsidR="00A51E72">
        <w:rPr>
          <w:rFonts w:hint="cs"/>
          <w:rtl/>
        </w:rPr>
        <w:t>باواسطه</w:t>
      </w:r>
      <w:r w:rsidR="0057524E" w:rsidRPr="00DF1828">
        <w:rPr>
          <w:rFonts w:hint="cs"/>
          <w:rtl/>
        </w:rPr>
        <w:t xml:space="preserve"> از او نقل </w:t>
      </w:r>
      <w:r w:rsidR="00E245DC">
        <w:rPr>
          <w:rFonts w:hint="cs"/>
          <w:rtl/>
        </w:rPr>
        <w:t>می‌کند</w:t>
      </w:r>
      <w:r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معلوم نیست </w:t>
      </w:r>
      <w:r>
        <w:rPr>
          <w:rFonts w:hint="cs"/>
          <w:rtl/>
        </w:rPr>
        <w:t>که توثیق شامل او بشود.</w:t>
      </w:r>
      <w:r w:rsidR="0057524E" w:rsidRPr="00DF1828">
        <w:rPr>
          <w:rFonts w:hint="cs"/>
          <w:rtl/>
        </w:rPr>
        <w:t xml:space="preserve"> لذا از جهت حسن بن هارون ن</w:t>
      </w:r>
      <w:r w:rsidR="00E245DC">
        <w:rPr>
          <w:rFonts w:hint="cs"/>
          <w:rtl/>
        </w:rPr>
        <w:t>می‌شود</w:t>
      </w:r>
      <w:r w:rsidR="0057524E" w:rsidRPr="00DF1828">
        <w:rPr>
          <w:rFonts w:hint="cs"/>
          <w:rtl/>
        </w:rPr>
        <w:t xml:space="preserve"> </w:t>
      </w:r>
      <w:r w:rsidRPr="00DF1828">
        <w:rPr>
          <w:rFonts w:hint="cs"/>
          <w:rtl/>
        </w:rPr>
        <w:t>روایت</w:t>
      </w:r>
      <w:r>
        <w:rPr>
          <w:rFonts w:hint="cs"/>
          <w:rtl/>
        </w:rPr>
        <w:t xml:space="preserve"> را</w:t>
      </w:r>
      <w:r w:rsidRPr="00DF1828">
        <w:rPr>
          <w:rFonts w:hint="cs"/>
          <w:rtl/>
        </w:rPr>
        <w:t xml:space="preserve"> </w:t>
      </w:r>
      <w:r>
        <w:rPr>
          <w:rFonts w:hint="cs"/>
          <w:rtl/>
        </w:rPr>
        <w:t>تصحیح</w:t>
      </w:r>
      <w:r w:rsidR="0057524E" w:rsidRPr="00DF1828">
        <w:rPr>
          <w:rFonts w:hint="cs"/>
          <w:rtl/>
        </w:rPr>
        <w:t xml:space="preserve"> کرد</w:t>
      </w:r>
      <w:r>
        <w:rPr>
          <w:rFonts w:hint="cs"/>
          <w:rtl/>
        </w:rPr>
        <w:t>.</w:t>
      </w:r>
    </w:p>
    <w:p w:rsidR="00E245DC" w:rsidRPr="00FC42B9" w:rsidRDefault="00E245DC" w:rsidP="00171440">
      <w:pPr>
        <w:pStyle w:val="Heading2"/>
        <w:spacing w:before="0"/>
        <w:rPr>
          <w:rtl/>
        </w:rPr>
      </w:pPr>
      <w:bookmarkStart w:id="22" w:name="_Toc405460195"/>
      <w:r w:rsidRPr="00FC42B9">
        <w:rPr>
          <w:rFonts w:hint="cs"/>
          <w:rtl/>
        </w:rPr>
        <w:t>دلالت بخش دوم روایت بر حرمت</w:t>
      </w:r>
      <w:bookmarkEnd w:id="22"/>
    </w:p>
    <w:p w:rsidR="005F7E28" w:rsidRDefault="0057524E" w:rsidP="00F77113">
      <w:pPr>
        <w:spacing w:after="0"/>
        <w:rPr>
          <w:rtl/>
        </w:rPr>
      </w:pPr>
      <w:r w:rsidRPr="00DF1828">
        <w:rPr>
          <w:rFonts w:hint="cs"/>
          <w:rtl/>
        </w:rPr>
        <w:t xml:space="preserve">از حیث دلالت اگر </w:t>
      </w:r>
      <w:r w:rsidR="005F7E28">
        <w:rPr>
          <w:rFonts w:hint="cs"/>
          <w:rtl/>
        </w:rPr>
        <w:t>به بخش اول روایت</w:t>
      </w:r>
      <w:r w:rsidRPr="00DF1828">
        <w:rPr>
          <w:rFonts w:hint="cs"/>
          <w:rtl/>
        </w:rPr>
        <w:t xml:space="preserve"> </w:t>
      </w:r>
      <w:r w:rsidR="00F77113">
        <w:rPr>
          <w:rFonts w:hint="cs"/>
          <w:rtl/>
        </w:rPr>
        <w:t>«</w:t>
      </w:r>
      <w:r w:rsidR="005F7E28" w:rsidRPr="007817FB">
        <w:rPr>
          <w:rFonts w:hint="cs"/>
          <w:b/>
          <w:bCs/>
          <w:rtl/>
        </w:rPr>
        <w:t>الْغِنَاءُ مَجْلِسٌ‏ لَا يَنْظُرُ اللَّهُ إِلَى أَهْلِهِ</w:t>
      </w:r>
      <w:r w:rsidR="00F77113">
        <w:rPr>
          <w:rFonts w:hint="cs"/>
          <w:b/>
          <w:bCs/>
          <w:rtl/>
        </w:rPr>
        <w:t>»</w:t>
      </w:r>
      <w:r w:rsidR="005F7E28" w:rsidRPr="007817FB">
        <w:rPr>
          <w:rFonts w:hint="cs"/>
          <w:b/>
          <w:bCs/>
          <w:rtl/>
        </w:rPr>
        <w:t xml:space="preserve"> </w:t>
      </w:r>
      <w:r w:rsidR="005F7E28">
        <w:rPr>
          <w:rFonts w:hint="cs"/>
          <w:rtl/>
        </w:rPr>
        <w:t xml:space="preserve">نگاه کنیم، </w:t>
      </w:r>
      <w:r w:rsidRPr="00DF1828">
        <w:rPr>
          <w:rFonts w:hint="cs"/>
          <w:rtl/>
        </w:rPr>
        <w:t xml:space="preserve">نظیر همان </w:t>
      </w:r>
      <w:r w:rsidR="00A51E72">
        <w:rPr>
          <w:rFonts w:hint="cs"/>
          <w:rtl/>
        </w:rPr>
        <w:t>مسئله</w:t>
      </w:r>
      <w:r w:rsidRPr="00DF1828">
        <w:rPr>
          <w:rFonts w:hint="cs"/>
          <w:rtl/>
        </w:rPr>
        <w:t xml:space="preserve"> است که خدا به او نگاه ن</w:t>
      </w:r>
      <w:r w:rsidR="00E245DC">
        <w:rPr>
          <w:rFonts w:hint="cs"/>
          <w:rtl/>
        </w:rPr>
        <w:t>می‌کند</w:t>
      </w:r>
      <w:r w:rsidR="005F7E28">
        <w:rPr>
          <w:rFonts w:hint="cs"/>
          <w:rtl/>
        </w:rPr>
        <w:t xml:space="preserve"> و</w:t>
      </w:r>
      <w:r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حتماً</w:t>
      </w:r>
      <w:r w:rsidRPr="00DF1828">
        <w:rPr>
          <w:rFonts w:hint="cs"/>
          <w:rtl/>
        </w:rPr>
        <w:t xml:space="preserve"> حرمت نیست</w:t>
      </w:r>
      <w:r w:rsidR="005F7E28">
        <w:rPr>
          <w:rFonts w:hint="cs"/>
          <w:rtl/>
        </w:rPr>
        <w:t>؛ زیرا</w:t>
      </w:r>
      <w:r w:rsidRPr="00DF1828">
        <w:rPr>
          <w:rFonts w:hint="cs"/>
          <w:rtl/>
        </w:rPr>
        <w:t xml:space="preserve"> در </w:t>
      </w:r>
      <w:r w:rsidR="005F7E28">
        <w:rPr>
          <w:rFonts w:hint="cs"/>
          <w:rtl/>
        </w:rPr>
        <w:t xml:space="preserve">مکروهات نیز </w:t>
      </w:r>
      <w:r w:rsidRPr="00DF1828">
        <w:rPr>
          <w:rFonts w:hint="cs"/>
          <w:rtl/>
        </w:rPr>
        <w:t xml:space="preserve">این امر </w:t>
      </w:r>
      <w:r w:rsidR="00E245DC">
        <w:rPr>
          <w:rFonts w:hint="cs"/>
          <w:rtl/>
        </w:rPr>
        <w:t>می‌آید</w:t>
      </w:r>
      <w:r w:rsidR="005F7E28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A51E72">
        <w:rPr>
          <w:rFonts w:hint="cs"/>
          <w:rtl/>
        </w:rPr>
        <w:t>اگرچه</w:t>
      </w:r>
      <w:r w:rsidR="005F7E28">
        <w:rPr>
          <w:rFonts w:hint="cs"/>
          <w:rtl/>
        </w:rPr>
        <w:t xml:space="preserve"> اشعار به حرمتش را نفی ن</w:t>
      </w:r>
      <w:r w:rsidR="00E245DC">
        <w:rPr>
          <w:rFonts w:hint="cs"/>
          <w:rtl/>
        </w:rPr>
        <w:t>می‌کند</w:t>
      </w:r>
      <w:r w:rsidRPr="00DF1828">
        <w:rPr>
          <w:rFonts w:hint="cs"/>
          <w:rtl/>
        </w:rPr>
        <w:t xml:space="preserve"> </w:t>
      </w:r>
      <w:r w:rsidR="005F7E28">
        <w:rPr>
          <w:rFonts w:hint="cs"/>
          <w:rtl/>
        </w:rPr>
        <w:t>و ذیل روایت</w:t>
      </w:r>
      <w:r w:rsidR="005F7E28" w:rsidRPr="005F7E28">
        <w:rPr>
          <w:rFonts w:hint="cs"/>
          <w:b/>
          <w:bCs/>
          <w:rtl/>
        </w:rPr>
        <w:t xml:space="preserve"> </w:t>
      </w:r>
      <w:r w:rsidR="00F77113">
        <w:rPr>
          <w:rFonts w:hint="cs"/>
          <w:b/>
          <w:bCs/>
          <w:rtl/>
        </w:rPr>
        <w:t>«</w:t>
      </w:r>
      <w:r w:rsidR="005F7E28" w:rsidRPr="007817FB">
        <w:rPr>
          <w:rFonts w:hint="cs"/>
          <w:b/>
          <w:bCs/>
          <w:rtl/>
        </w:rPr>
        <w:t>وَ هُوَ مِمَّا قَالَ اللَّهُ عَزَّ وَ جَلَّ- وَ مِنَ النَّاسِ مَنْ يَشْتَرِي لَهْوَ الْحَدِيثِ لِيُضِلَّ عَنْ سَبِيلِ اللَّهِ</w:t>
      </w:r>
      <w:r w:rsidR="00F77113">
        <w:rPr>
          <w:rFonts w:hint="cs"/>
          <w:rtl/>
        </w:rPr>
        <w:t>»</w:t>
      </w:r>
      <w:r w:rsidR="007A2C96">
        <w:rPr>
          <w:rFonts w:hint="cs"/>
          <w:rtl/>
        </w:rPr>
        <w:t xml:space="preserve"> دلالت بر حرمت دارد و</w:t>
      </w:r>
      <w:r w:rsidR="005F7E28">
        <w:rPr>
          <w:rFonts w:hint="cs"/>
          <w:rtl/>
        </w:rPr>
        <w:t xml:space="preserve"> </w:t>
      </w:r>
      <w:r w:rsidR="00A51E72">
        <w:rPr>
          <w:rFonts w:hint="cs"/>
          <w:rtl/>
        </w:rPr>
        <w:t>می‌گوید</w:t>
      </w:r>
      <w:r w:rsidR="005F7E28">
        <w:rPr>
          <w:rFonts w:hint="cs"/>
          <w:rtl/>
        </w:rPr>
        <w:t>:</w:t>
      </w:r>
      <w:r w:rsidRPr="00DF1828">
        <w:rPr>
          <w:rFonts w:hint="cs"/>
          <w:rtl/>
        </w:rPr>
        <w:t xml:space="preserve"> </w:t>
      </w:r>
      <w:r w:rsidR="005F7E28">
        <w:rPr>
          <w:rFonts w:hint="cs"/>
          <w:rtl/>
        </w:rPr>
        <w:t>این مصداق چیزی است که حرام است؛ لذا</w:t>
      </w:r>
      <w:r w:rsidRPr="00DF1828">
        <w:rPr>
          <w:rFonts w:hint="cs"/>
          <w:rtl/>
        </w:rPr>
        <w:t xml:space="preserve"> شاید</w:t>
      </w:r>
      <w:r w:rsidR="005F7E28">
        <w:rPr>
          <w:rFonts w:hint="cs"/>
          <w:rtl/>
        </w:rPr>
        <w:t xml:space="preserve"> </w:t>
      </w:r>
      <w:r w:rsidRPr="00DF1828">
        <w:rPr>
          <w:rFonts w:hint="cs"/>
          <w:rtl/>
        </w:rPr>
        <w:t xml:space="preserve">اشعار به حرمتش </w:t>
      </w:r>
      <w:r w:rsidR="00A51E72">
        <w:rPr>
          <w:rFonts w:hint="cs"/>
          <w:rtl/>
        </w:rPr>
        <w:t>قوی‌تر</w:t>
      </w:r>
      <w:r w:rsidRPr="00DF1828">
        <w:rPr>
          <w:rFonts w:hint="cs"/>
          <w:rtl/>
        </w:rPr>
        <w:t xml:space="preserve"> باشد</w:t>
      </w:r>
      <w:r w:rsidR="005F7E28">
        <w:rPr>
          <w:rFonts w:hint="cs"/>
          <w:rtl/>
        </w:rPr>
        <w:t>.</w:t>
      </w:r>
    </w:p>
    <w:p w:rsidR="005F7E28" w:rsidRDefault="0057524E" w:rsidP="00171440">
      <w:pPr>
        <w:spacing w:after="0"/>
        <w:rPr>
          <w:rtl/>
        </w:rPr>
      </w:pPr>
      <w:r w:rsidRPr="00DF1828">
        <w:rPr>
          <w:rFonts w:hint="cs"/>
          <w:rtl/>
        </w:rPr>
        <w:t xml:space="preserve">ممکن است کسی </w:t>
      </w:r>
      <w:r w:rsidR="00A51E72">
        <w:rPr>
          <w:rFonts w:hint="cs"/>
          <w:rtl/>
        </w:rPr>
        <w:t>این‌گونه</w:t>
      </w:r>
      <w:r w:rsidR="005F7E28">
        <w:rPr>
          <w:rFonts w:hint="cs"/>
          <w:rtl/>
        </w:rPr>
        <w:t xml:space="preserve"> جواب </w:t>
      </w:r>
      <w:r w:rsidRPr="00DF1828">
        <w:rPr>
          <w:rFonts w:hint="cs"/>
          <w:rtl/>
        </w:rPr>
        <w:t xml:space="preserve">دهد که تطبیق آیه بر این </w:t>
      </w:r>
      <w:r w:rsidR="00A51E72">
        <w:rPr>
          <w:rFonts w:hint="cs"/>
          <w:rtl/>
        </w:rPr>
        <w:t>مسئله</w:t>
      </w:r>
      <w:r w:rsidR="005F7E28">
        <w:rPr>
          <w:rFonts w:hint="cs"/>
          <w:rtl/>
        </w:rPr>
        <w:t>، فقط از حیث حرمت خود غنا</w:t>
      </w:r>
      <w:r w:rsidRPr="00DF1828">
        <w:rPr>
          <w:rFonts w:hint="cs"/>
          <w:rtl/>
        </w:rPr>
        <w:t xml:space="preserve"> است اما حضور در مجلس</w:t>
      </w:r>
      <w:r w:rsidR="005F7E28">
        <w:rPr>
          <w:rFonts w:hint="cs"/>
          <w:rtl/>
        </w:rPr>
        <w:t>،</w:t>
      </w:r>
      <w:r w:rsidRPr="00DF1828">
        <w:rPr>
          <w:rFonts w:hint="cs"/>
          <w:rtl/>
        </w:rPr>
        <w:t xml:space="preserve"> ن</w:t>
      </w:r>
      <w:r w:rsidR="00E245DC">
        <w:rPr>
          <w:rFonts w:hint="cs"/>
          <w:rtl/>
        </w:rPr>
        <w:t>می‌تواند</w:t>
      </w:r>
      <w:r w:rsidRPr="00DF1828">
        <w:rPr>
          <w:rFonts w:hint="cs"/>
          <w:rtl/>
        </w:rPr>
        <w:t xml:space="preserve"> اشکال داشته باشد</w:t>
      </w:r>
      <w:r w:rsidR="005F7E28">
        <w:rPr>
          <w:rFonts w:hint="cs"/>
          <w:rtl/>
        </w:rPr>
        <w:t>.</w:t>
      </w:r>
      <w:r w:rsidRPr="00DF1828">
        <w:rPr>
          <w:rFonts w:hint="cs"/>
          <w:rtl/>
        </w:rPr>
        <w:t xml:space="preserve"> این هم بی اشعار نیست ولی د</w:t>
      </w:r>
      <w:r w:rsidR="005F7E28">
        <w:rPr>
          <w:rFonts w:hint="cs"/>
          <w:rtl/>
        </w:rPr>
        <w:t>ر حد دلالت رسیدنش محل تردید است.</w:t>
      </w:r>
    </w:p>
    <w:p w:rsidR="00E245DC" w:rsidRPr="00FC42B9" w:rsidRDefault="00E245DC" w:rsidP="00171440">
      <w:pPr>
        <w:pStyle w:val="Heading2"/>
        <w:spacing w:before="0"/>
        <w:rPr>
          <w:rtl/>
        </w:rPr>
      </w:pPr>
      <w:bookmarkStart w:id="23" w:name="_Toc405460196"/>
      <w:r w:rsidRPr="00FC42B9">
        <w:rPr>
          <w:rFonts w:hint="cs"/>
          <w:rtl/>
        </w:rPr>
        <w:t>دلیل سوم: روایت علی بن جعفر</w:t>
      </w:r>
      <w:bookmarkEnd w:id="23"/>
    </w:p>
    <w:p w:rsidR="00E419C3" w:rsidRDefault="0057524E" w:rsidP="00F77113">
      <w:pPr>
        <w:spacing w:after="0"/>
        <w:rPr>
          <w:rtl/>
        </w:rPr>
      </w:pPr>
      <w:r w:rsidRPr="00DF1828">
        <w:rPr>
          <w:rFonts w:hint="cs"/>
          <w:rtl/>
        </w:rPr>
        <w:t>روایت سوم روایت سی و دو</w:t>
      </w:r>
      <w:r w:rsidR="00E419C3">
        <w:rPr>
          <w:rFonts w:hint="cs"/>
          <w:rtl/>
        </w:rPr>
        <w:t xml:space="preserve">م است: </w:t>
      </w:r>
      <w:r w:rsidR="00E419C3" w:rsidRPr="00411EBB">
        <w:rPr>
          <w:rFonts w:hint="cs"/>
          <w:b/>
          <w:bCs/>
          <w:rtl/>
        </w:rPr>
        <w:t xml:space="preserve">عَلِيُّ بْنُ جَعْفَرٍ فِي كِتَابِهِ عَنْ أَخِيهِ مُوسَى بْنِ جَعْفَرٍ ع قَالَ: </w:t>
      </w:r>
      <w:r w:rsidR="00F77113" w:rsidRPr="00E419C3">
        <w:rPr>
          <w:rFonts w:hint="cs"/>
          <w:rtl/>
        </w:rPr>
        <w:t>«</w:t>
      </w:r>
      <w:r w:rsidR="00E419C3" w:rsidRPr="00411EBB">
        <w:rPr>
          <w:rFonts w:hint="cs"/>
          <w:b/>
          <w:bCs/>
          <w:rtl/>
        </w:rPr>
        <w:t>سَأَلْتُهُ عَنِ الرَّجُلِ يَتَعَمَّدُ الْغِنَاءَ يُجْلَسُ إِلَيْهِ قَالَ لَا</w:t>
      </w:r>
      <w:r w:rsidR="00E419C3" w:rsidRPr="00E419C3">
        <w:rPr>
          <w:rFonts w:hint="cs"/>
          <w:rtl/>
        </w:rPr>
        <w:t>»</w:t>
      </w:r>
      <w:r w:rsidR="00F77113" w:rsidRPr="00E419C3">
        <w:rPr>
          <w:vertAlign w:val="superscript"/>
          <w:rtl/>
        </w:rPr>
        <w:footnoteReference w:id="3"/>
      </w:r>
      <w:r w:rsidRPr="00DF1828">
        <w:rPr>
          <w:rFonts w:hint="cs"/>
          <w:rtl/>
        </w:rPr>
        <w:t xml:space="preserve"> سند این </w:t>
      </w:r>
      <w:r w:rsidR="00E419C3">
        <w:rPr>
          <w:rFonts w:hint="cs"/>
          <w:rtl/>
        </w:rPr>
        <w:t xml:space="preserve">روایت </w:t>
      </w:r>
      <w:r w:rsidRPr="00DF1828">
        <w:rPr>
          <w:rFonts w:hint="cs"/>
          <w:rtl/>
        </w:rPr>
        <w:t>درست است</w:t>
      </w:r>
      <w:r w:rsidR="00E419C3">
        <w:rPr>
          <w:rFonts w:hint="cs"/>
          <w:rtl/>
        </w:rPr>
        <w:t>.</w:t>
      </w:r>
      <w:r w:rsidRPr="00DF1828">
        <w:rPr>
          <w:rFonts w:hint="cs"/>
          <w:rtl/>
        </w:rPr>
        <w:t xml:space="preserve"> </w:t>
      </w:r>
      <w:r w:rsidR="00E419C3">
        <w:rPr>
          <w:rFonts w:hint="cs"/>
          <w:rtl/>
        </w:rPr>
        <w:t xml:space="preserve">سؤال شد که کسی </w:t>
      </w:r>
      <w:r w:rsidR="00A51E72">
        <w:rPr>
          <w:rFonts w:hint="cs"/>
          <w:rtl/>
        </w:rPr>
        <w:t>عمداً</w:t>
      </w:r>
      <w:r w:rsidR="00E419C3">
        <w:rPr>
          <w:rFonts w:hint="cs"/>
          <w:rtl/>
        </w:rPr>
        <w:t xml:space="preserve"> مرتکب غنا</w:t>
      </w:r>
      <w:r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می‌شود</w:t>
      </w:r>
      <w:r w:rsidR="00E419C3">
        <w:rPr>
          <w:rFonts w:hint="cs"/>
          <w:rtl/>
        </w:rPr>
        <w:t xml:space="preserve">. آیا </w:t>
      </w:r>
      <w:r w:rsidR="00A51E72">
        <w:rPr>
          <w:rFonts w:hint="cs"/>
          <w:rtl/>
        </w:rPr>
        <w:t>می‌توان</w:t>
      </w:r>
      <w:r w:rsidRPr="00DF1828">
        <w:rPr>
          <w:rFonts w:hint="cs"/>
          <w:rtl/>
        </w:rPr>
        <w:t xml:space="preserve"> در مجلس او نشست</w:t>
      </w:r>
      <w:r w:rsidR="00E419C3">
        <w:rPr>
          <w:rFonts w:hint="cs"/>
          <w:rtl/>
        </w:rPr>
        <w:t>؟</w:t>
      </w:r>
      <w:r w:rsidRPr="00DF1828">
        <w:rPr>
          <w:rFonts w:hint="cs"/>
          <w:rtl/>
        </w:rPr>
        <w:t xml:space="preserve"> حضرت فرمود</w:t>
      </w:r>
      <w:r w:rsidR="00E419C3">
        <w:rPr>
          <w:rFonts w:hint="cs"/>
          <w:rtl/>
        </w:rPr>
        <w:t>ند:</w:t>
      </w:r>
      <w:r w:rsidRPr="00DF1828">
        <w:rPr>
          <w:rFonts w:hint="cs"/>
          <w:rtl/>
        </w:rPr>
        <w:t xml:space="preserve"> </w:t>
      </w:r>
      <w:r w:rsidR="00E419C3">
        <w:rPr>
          <w:rFonts w:hint="cs"/>
          <w:rtl/>
        </w:rPr>
        <w:t>خیر</w:t>
      </w:r>
      <w:r w:rsidRPr="00DF1828">
        <w:rPr>
          <w:rFonts w:hint="cs"/>
          <w:rtl/>
        </w:rPr>
        <w:t xml:space="preserve">. </w:t>
      </w:r>
      <w:r w:rsidR="00E419C3">
        <w:rPr>
          <w:rFonts w:hint="cs"/>
          <w:rtl/>
        </w:rPr>
        <w:t>دلالت این روایت هم</w:t>
      </w:r>
      <w:r w:rsidRPr="00DF1828">
        <w:rPr>
          <w:rFonts w:hint="cs"/>
          <w:rtl/>
        </w:rPr>
        <w:t xml:space="preserve"> بعید نیست</w:t>
      </w:r>
      <w:r w:rsidR="00E419C3">
        <w:rPr>
          <w:rFonts w:hint="cs"/>
          <w:rtl/>
        </w:rPr>
        <w:t xml:space="preserve"> که معتبر باشد.</w:t>
      </w:r>
    </w:p>
    <w:p w:rsidR="00E245DC" w:rsidRPr="00FC42B9" w:rsidRDefault="00E245DC" w:rsidP="00171440">
      <w:pPr>
        <w:pStyle w:val="Heading2"/>
        <w:spacing w:before="0"/>
        <w:rPr>
          <w:rtl/>
        </w:rPr>
      </w:pPr>
      <w:bookmarkStart w:id="24" w:name="_Toc405460197"/>
      <w:r w:rsidRPr="00FC42B9">
        <w:rPr>
          <w:rFonts w:hint="cs"/>
          <w:rtl/>
        </w:rPr>
        <w:t xml:space="preserve">اشاره </w:t>
      </w:r>
      <w:r w:rsidRPr="00FC42B9">
        <w:rPr>
          <w:rFonts w:hint="cs"/>
          <w:b/>
          <w:rtl/>
        </w:rPr>
        <w:t xml:space="preserve">يُجْلَسُ إِلَيْهِ </w:t>
      </w:r>
      <w:r w:rsidRPr="00FC42B9">
        <w:rPr>
          <w:rFonts w:hint="cs"/>
          <w:rtl/>
        </w:rPr>
        <w:t xml:space="preserve">به </w:t>
      </w:r>
      <w:r w:rsidR="00A51E72" w:rsidRPr="00FC42B9">
        <w:rPr>
          <w:rFonts w:hint="cs"/>
          <w:rtl/>
        </w:rPr>
        <w:t>هم‌نشینی</w:t>
      </w:r>
      <w:r w:rsidRPr="00FC42B9">
        <w:rPr>
          <w:rFonts w:hint="cs"/>
          <w:rtl/>
        </w:rPr>
        <w:t xml:space="preserve"> در مجلس غنا</w:t>
      </w:r>
      <w:bookmarkEnd w:id="24"/>
    </w:p>
    <w:p w:rsidR="0067603F" w:rsidRDefault="00A51E72" w:rsidP="00171440">
      <w:pPr>
        <w:spacing w:after="0"/>
        <w:rPr>
          <w:rtl/>
        </w:rPr>
      </w:pPr>
      <w:r>
        <w:rPr>
          <w:rFonts w:hint="cs"/>
          <w:rtl/>
        </w:rPr>
        <w:t>نکته‌ این</w:t>
      </w:r>
      <w:r w:rsidR="0057524E" w:rsidRPr="00DF1828">
        <w:rPr>
          <w:rFonts w:hint="cs"/>
          <w:rtl/>
        </w:rPr>
        <w:t xml:space="preserve"> است که مقصود از </w:t>
      </w:r>
      <w:r w:rsidR="00E419C3" w:rsidRPr="00E419C3">
        <w:rPr>
          <w:rFonts w:hint="cs"/>
          <w:b/>
          <w:bCs/>
          <w:rtl/>
        </w:rPr>
        <w:t xml:space="preserve">يُجْلَسُ إِلَيْهِ </w:t>
      </w:r>
      <w:r w:rsidR="0057524E" w:rsidRPr="00DF1828">
        <w:rPr>
          <w:rFonts w:hint="cs"/>
          <w:rtl/>
        </w:rPr>
        <w:t xml:space="preserve">صرف </w:t>
      </w:r>
      <w:r>
        <w:rPr>
          <w:rFonts w:hint="cs"/>
          <w:rtl/>
        </w:rPr>
        <w:t>هم‌نشینی</w:t>
      </w:r>
      <w:r w:rsidR="0057524E" w:rsidRPr="00DF1828">
        <w:rPr>
          <w:rFonts w:hint="cs"/>
          <w:rtl/>
        </w:rPr>
        <w:t xml:space="preserve"> با او نیست</w:t>
      </w:r>
      <w:r w:rsidR="00E419C3">
        <w:rPr>
          <w:rFonts w:hint="cs"/>
          <w:rtl/>
        </w:rPr>
        <w:t>؛</w:t>
      </w:r>
      <w:r w:rsidR="0057524E" w:rsidRPr="00DF1828">
        <w:rPr>
          <w:rFonts w:hint="cs"/>
          <w:rtl/>
        </w:rPr>
        <w:t xml:space="preserve"> ب</w:t>
      </w:r>
      <w:r w:rsidR="00E419C3">
        <w:rPr>
          <w:rFonts w:hint="cs"/>
          <w:rtl/>
        </w:rPr>
        <w:t xml:space="preserve">لکه نشستن </w:t>
      </w:r>
      <w:r w:rsidR="00E245DC">
        <w:rPr>
          <w:rFonts w:hint="cs"/>
          <w:rtl/>
        </w:rPr>
        <w:t>درجایی</w:t>
      </w:r>
      <w:r w:rsidR="00E419C3">
        <w:rPr>
          <w:rFonts w:hint="cs"/>
          <w:rtl/>
        </w:rPr>
        <w:t xml:space="preserve"> است که او غنا</w:t>
      </w:r>
      <w:r w:rsidR="0057524E" w:rsidRPr="00DF1828">
        <w:rPr>
          <w:rFonts w:hint="cs"/>
          <w:rtl/>
        </w:rPr>
        <w:t xml:space="preserve"> </w:t>
      </w:r>
      <w:r w:rsidR="00E245DC">
        <w:rPr>
          <w:rFonts w:hint="cs"/>
          <w:rtl/>
        </w:rPr>
        <w:t>می‌کند</w:t>
      </w:r>
      <w:r w:rsidR="00E419C3">
        <w:rPr>
          <w:rFonts w:hint="cs"/>
          <w:rtl/>
        </w:rPr>
        <w:t xml:space="preserve"> و این قدر متیقن</w:t>
      </w:r>
      <w:r w:rsidR="0067603F">
        <w:rPr>
          <w:rFonts w:hint="cs"/>
          <w:rtl/>
        </w:rPr>
        <w:t xml:space="preserve"> است.</w:t>
      </w:r>
      <w:r w:rsidR="0057524E" w:rsidRPr="00DF1828">
        <w:rPr>
          <w:rFonts w:hint="cs"/>
          <w:rtl/>
        </w:rPr>
        <w:t xml:space="preserve"> </w:t>
      </w:r>
      <w:r w:rsidR="0067603F" w:rsidRPr="00DF1828">
        <w:rPr>
          <w:rFonts w:hint="cs"/>
          <w:rtl/>
        </w:rPr>
        <w:t xml:space="preserve">بعید است </w:t>
      </w:r>
      <w:r w:rsidR="0067603F">
        <w:rPr>
          <w:rFonts w:hint="cs"/>
          <w:rtl/>
        </w:rPr>
        <w:t>که</w:t>
      </w:r>
      <w:r w:rsidR="0057524E" w:rsidRPr="00DF1828">
        <w:rPr>
          <w:rFonts w:hint="cs"/>
          <w:rtl/>
        </w:rPr>
        <w:t xml:space="preserve"> صرف </w:t>
      </w:r>
      <w:r>
        <w:rPr>
          <w:rFonts w:hint="cs"/>
          <w:rtl/>
        </w:rPr>
        <w:t>هم‌نشینی</w:t>
      </w:r>
      <w:r w:rsidR="0067603F">
        <w:rPr>
          <w:rFonts w:hint="cs"/>
          <w:rtl/>
        </w:rPr>
        <w:t xml:space="preserve"> معصیت باشد؛</w:t>
      </w:r>
      <w:r w:rsidR="0057524E" w:rsidRPr="00DF1828">
        <w:rPr>
          <w:rFonts w:hint="cs"/>
          <w:rtl/>
        </w:rPr>
        <w:t xml:space="preserve"> چون احتمال دارد </w:t>
      </w:r>
      <w:r w:rsidR="0067603F" w:rsidRPr="00E419C3">
        <w:rPr>
          <w:rFonts w:hint="cs"/>
          <w:b/>
          <w:bCs/>
          <w:rtl/>
        </w:rPr>
        <w:t xml:space="preserve">يُجْلَسُ إِلَيْهِ </w:t>
      </w:r>
      <w:r w:rsidR="0057524E" w:rsidRPr="00DF1828">
        <w:rPr>
          <w:rFonts w:hint="cs"/>
          <w:rtl/>
        </w:rPr>
        <w:t xml:space="preserve">به معنای </w:t>
      </w:r>
      <w:r w:rsidR="0057524E" w:rsidRPr="00DF1828">
        <w:rPr>
          <w:rFonts w:hint="cs"/>
          <w:rtl/>
        </w:rPr>
        <w:lastRenderedPageBreak/>
        <w:t>مصاحبت با اهل معصیت باشد</w:t>
      </w:r>
      <w:r w:rsidR="0067603F">
        <w:rPr>
          <w:rFonts w:hint="cs"/>
          <w:rtl/>
        </w:rPr>
        <w:t xml:space="preserve">. در این صورت </w:t>
      </w:r>
      <w:r w:rsidR="0057524E" w:rsidRPr="00DF1828">
        <w:rPr>
          <w:rFonts w:hint="cs"/>
          <w:rtl/>
        </w:rPr>
        <w:t>مصاحبت اهل معصیت</w:t>
      </w:r>
      <w:r w:rsidR="0067603F">
        <w:rPr>
          <w:rFonts w:hint="cs"/>
          <w:rtl/>
        </w:rPr>
        <w:t>،</w:t>
      </w:r>
      <w:r w:rsidR="0057524E" w:rsidRPr="00DF1828">
        <w:rPr>
          <w:rFonts w:hint="cs"/>
          <w:rtl/>
        </w:rPr>
        <w:t xml:space="preserve"> عنوان دیگری است که از بحث خارج </w:t>
      </w:r>
      <w:r w:rsidR="00E245DC">
        <w:rPr>
          <w:rFonts w:hint="cs"/>
          <w:rtl/>
        </w:rPr>
        <w:t>می‌شود</w:t>
      </w:r>
      <w:r w:rsidR="0067603F">
        <w:rPr>
          <w:rFonts w:hint="cs"/>
          <w:rtl/>
        </w:rPr>
        <w:t>.</w:t>
      </w:r>
    </w:p>
    <w:p w:rsidR="0067603F" w:rsidRDefault="00E245DC" w:rsidP="00171440">
      <w:pPr>
        <w:spacing w:after="0"/>
        <w:rPr>
          <w:rtl/>
        </w:rPr>
      </w:pPr>
      <w:r>
        <w:rPr>
          <w:rFonts w:hint="cs"/>
          <w:rtl/>
        </w:rPr>
        <w:t xml:space="preserve">اما </w:t>
      </w:r>
      <w:r w:rsidR="0057524E" w:rsidRPr="00DF1828">
        <w:rPr>
          <w:rFonts w:hint="cs"/>
          <w:rtl/>
        </w:rPr>
        <w:t>اگر بگوییم</w:t>
      </w:r>
      <w:r w:rsidR="0067603F">
        <w:rPr>
          <w:rFonts w:hint="cs"/>
          <w:rtl/>
        </w:rPr>
        <w:t>:</w:t>
      </w:r>
      <w:r w:rsidR="0057524E" w:rsidRPr="00DF1828">
        <w:rPr>
          <w:rFonts w:hint="cs"/>
          <w:rtl/>
        </w:rPr>
        <w:t xml:space="preserve"> </w:t>
      </w:r>
      <w:r w:rsidR="0067603F" w:rsidRPr="00E419C3">
        <w:rPr>
          <w:rFonts w:hint="cs"/>
          <w:b/>
          <w:bCs/>
          <w:rtl/>
        </w:rPr>
        <w:t xml:space="preserve">يُجْلَسُ إِلَيْهِ </w:t>
      </w:r>
      <w:r w:rsidR="0057524E" w:rsidRPr="00DF1828">
        <w:rPr>
          <w:rFonts w:hint="cs"/>
          <w:rtl/>
        </w:rPr>
        <w:t xml:space="preserve">بحث رفاقت با اهل معصیت نیست </w:t>
      </w:r>
      <w:r w:rsidR="0067603F">
        <w:rPr>
          <w:rFonts w:hint="cs"/>
          <w:rtl/>
        </w:rPr>
        <w:t>بلکه</w:t>
      </w:r>
      <w:r w:rsidR="0057524E" w:rsidRPr="00DF1828">
        <w:rPr>
          <w:rFonts w:hint="cs"/>
          <w:rtl/>
        </w:rPr>
        <w:t xml:space="preserve"> منصرف به حضور در مجلسی است که </w:t>
      </w:r>
      <w:r w:rsidR="0067603F">
        <w:rPr>
          <w:rFonts w:hint="cs"/>
          <w:rtl/>
        </w:rPr>
        <w:t xml:space="preserve">غنا </w:t>
      </w:r>
      <w:r w:rsidR="0057524E" w:rsidRPr="00DF1828">
        <w:rPr>
          <w:rFonts w:hint="cs"/>
          <w:rtl/>
        </w:rPr>
        <w:t>خواند</w:t>
      </w:r>
      <w:r w:rsidR="0067603F">
        <w:rPr>
          <w:rFonts w:hint="cs"/>
          <w:rtl/>
        </w:rPr>
        <w:t xml:space="preserve">ه </w:t>
      </w:r>
      <w:r>
        <w:rPr>
          <w:rFonts w:hint="cs"/>
          <w:rtl/>
        </w:rPr>
        <w:t>می‌شود</w:t>
      </w:r>
      <w:r w:rsidR="0057524E" w:rsidRPr="00DF1828">
        <w:rPr>
          <w:rFonts w:hint="cs"/>
          <w:rtl/>
        </w:rPr>
        <w:t xml:space="preserve"> </w:t>
      </w:r>
      <w:r w:rsidR="0067603F">
        <w:rPr>
          <w:rFonts w:hint="cs"/>
          <w:rtl/>
        </w:rPr>
        <w:t>(</w:t>
      </w:r>
      <w:r w:rsidR="0057524E" w:rsidRPr="00DF1828">
        <w:rPr>
          <w:rFonts w:hint="cs"/>
          <w:rtl/>
        </w:rPr>
        <w:t xml:space="preserve">بعید </w:t>
      </w:r>
      <w:r>
        <w:rPr>
          <w:rFonts w:hint="cs"/>
          <w:rtl/>
        </w:rPr>
        <w:t>نی</w:t>
      </w:r>
      <w:r w:rsidR="0067603F">
        <w:rPr>
          <w:rFonts w:hint="cs"/>
          <w:rtl/>
        </w:rPr>
        <w:t xml:space="preserve">ست </w:t>
      </w:r>
      <w:r w:rsidR="004C4753" w:rsidRPr="00DF1828">
        <w:rPr>
          <w:rFonts w:hint="cs"/>
          <w:rtl/>
        </w:rPr>
        <w:t>که</w:t>
      </w:r>
      <w:r w:rsidR="004C4753">
        <w:rPr>
          <w:rFonts w:hint="cs"/>
          <w:rtl/>
        </w:rPr>
        <w:t xml:space="preserve"> ظاهرش همین</w:t>
      </w:r>
      <w:r w:rsidR="0067603F">
        <w:rPr>
          <w:rFonts w:hint="cs"/>
          <w:rtl/>
        </w:rPr>
        <w:t xml:space="preserve"> باشد) در این صورت</w:t>
      </w:r>
      <w:r w:rsidR="0057524E" w:rsidRPr="00DF1828">
        <w:rPr>
          <w:rFonts w:hint="cs"/>
          <w:rtl/>
        </w:rPr>
        <w:t xml:space="preserve"> با بحث ما مربوط است و </w:t>
      </w:r>
      <w:r w:rsidR="0067603F">
        <w:rPr>
          <w:rFonts w:hint="cs"/>
          <w:rtl/>
        </w:rPr>
        <w:t>«</w:t>
      </w:r>
      <w:r w:rsidR="0057524E" w:rsidRPr="00DF1828">
        <w:rPr>
          <w:rFonts w:hint="cs"/>
          <w:rtl/>
        </w:rPr>
        <w:t>لا</w:t>
      </w:r>
      <w:r w:rsidR="0067603F">
        <w:rPr>
          <w:rFonts w:hint="cs"/>
          <w:rtl/>
        </w:rPr>
        <w:t>»</w:t>
      </w:r>
      <w:r w:rsidR="0057524E" w:rsidRPr="00DF1828">
        <w:rPr>
          <w:rFonts w:hint="cs"/>
          <w:rtl/>
        </w:rPr>
        <w:t xml:space="preserve"> هم در اینجا نفی </w:t>
      </w:r>
      <w:r>
        <w:rPr>
          <w:rFonts w:hint="cs"/>
          <w:rtl/>
        </w:rPr>
        <w:t>می‌شود</w:t>
      </w:r>
      <w:r w:rsidR="0067603F">
        <w:rPr>
          <w:rFonts w:hint="cs"/>
          <w:rtl/>
        </w:rPr>
        <w:t>؛</w:t>
      </w:r>
      <w:r w:rsidR="0057524E" w:rsidRPr="00DF1828">
        <w:rPr>
          <w:rFonts w:hint="cs"/>
          <w:rtl/>
        </w:rPr>
        <w:t xml:space="preserve"> یعنی </w:t>
      </w:r>
      <w:r w:rsidR="004C4753">
        <w:rPr>
          <w:rFonts w:hint="cs"/>
          <w:rtl/>
        </w:rPr>
        <w:t xml:space="preserve">لا </w:t>
      </w:r>
      <w:r w:rsidR="0067603F" w:rsidRPr="00E419C3">
        <w:rPr>
          <w:rFonts w:hint="cs"/>
          <w:b/>
          <w:bCs/>
          <w:rtl/>
        </w:rPr>
        <w:t xml:space="preserve">يُجْلَسُ إِلَيْهِ </w:t>
      </w:r>
      <w:r w:rsidR="004C4753">
        <w:rPr>
          <w:rFonts w:hint="cs"/>
          <w:b/>
          <w:bCs/>
          <w:rtl/>
        </w:rPr>
        <w:t xml:space="preserve">و </w:t>
      </w:r>
      <w:r w:rsidR="0057524E" w:rsidRPr="00DF1828">
        <w:rPr>
          <w:rFonts w:hint="cs"/>
          <w:rtl/>
        </w:rPr>
        <w:t xml:space="preserve">خبر در مقام انشاء است و دال بر حرمت </w:t>
      </w:r>
      <w:r>
        <w:rPr>
          <w:rFonts w:hint="cs"/>
          <w:rtl/>
        </w:rPr>
        <w:t>می‌شود</w:t>
      </w:r>
      <w:r w:rsidR="0067603F">
        <w:rPr>
          <w:rFonts w:hint="cs"/>
          <w:rtl/>
        </w:rPr>
        <w:t>.</w:t>
      </w:r>
    </w:p>
    <w:p w:rsidR="00152670" w:rsidRPr="00E419C3" w:rsidRDefault="0067603F" w:rsidP="00171440">
      <w:pPr>
        <w:spacing w:after="0"/>
        <w:rPr>
          <w:rtl/>
        </w:rPr>
      </w:pPr>
      <w:r>
        <w:rPr>
          <w:rFonts w:hint="cs"/>
          <w:rtl/>
        </w:rPr>
        <w:t xml:space="preserve">پس دلالت روایت اول، </w:t>
      </w:r>
      <w:r w:rsidR="0057524E" w:rsidRPr="00DF1828">
        <w:rPr>
          <w:rFonts w:hint="cs"/>
          <w:rtl/>
        </w:rPr>
        <w:t>مشکل داشت</w:t>
      </w:r>
      <w:r>
        <w:rPr>
          <w:rFonts w:hint="cs"/>
          <w:rtl/>
        </w:rPr>
        <w:t xml:space="preserve"> ولی</w:t>
      </w:r>
      <w:r w:rsidR="0057524E" w:rsidRPr="00DF1828">
        <w:rPr>
          <w:rFonts w:hint="cs"/>
          <w:rtl/>
        </w:rPr>
        <w:t xml:space="preserve"> سندش </w:t>
      </w:r>
      <w:r>
        <w:rPr>
          <w:rFonts w:hint="cs"/>
          <w:rtl/>
        </w:rPr>
        <w:t>معتبر</w:t>
      </w:r>
      <w:r w:rsidR="0057524E" w:rsidRPr="00DF1828">
        <w:rPr>
          <w:rFonts w:hint="cs"/>
          <w:rtl/>
        </w:rPr>
        <w:t xml:space="preserve"> بود</w:t>
      </w:r>
      <w:r>
        <w:rPr>
          <w:rFonts w:hint="cs"/>
          <w:rtl/>
        </w:rPr>
        <w:t xml:space="preserve">. دلالت روایت دوم </w:t>
      </w:r>
      <w:r w:rsidR="0057524E" w:rsidRPr="00DF1828">
        <w:rPr>
          <w:rFonts w:hint="cs"/>
          <w:rtl/>
        </w:rPr>
        <w:t>کمی بهتر بود ولی سندش مشکل دارد</w:t>
      </w:r>
      <w:r w:rsidR="004C4753">
        <w:rPr>
          <w:rFonts w:hint="cs"/>
          <w:rtl/>
        </w:rPr>
        <w:t xml:space="preserve">. این روایت، هم </w:t>
      </w:r>
      <w:r w:rsidR="0057524E" w:rsidRPr="00DF1828">
        <w:rPr>
          <w:rFonts w:hint="cs"/>
          <w:rtl/>
        </w:rPr>
        <w:t>س</w:t>
      </w:r>
      <w:r w:rsidR="004A3C1E">
        <w:rPr>
          <w:rFonts w:hint="cs"/>
          <w:rtl/>
        </w:rPr>
        <w:t>ندش خوب است</w:t>
      </w:r>
      <w:r w:rsidR="004C4753">
        <w:rPr>
          <w:rFonts w:hint="cs"/>
          <w:rtl/>
        </w:rPr>
        <w:t xml:space="preserve"> و</w:t>
      </w:r>
      <w:r w:rsidR="004A3C1E">
        <w:rPr>
          <w:rFonts w:hint="cs"/>
          <w:rtl/>
        </w:rPr>
        <w:t xml:space="preserve"> هم دلالتش اظهر است.</w:t>
      </w:r>
    </w:p>
    <w:sectPr w:rsidR="00152670" w:rsidRPr="00E419C3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4E" w:rsidRDefault="00E3154E" w:rsidP="000D5800">
      <w:pPr>
        <w:spacing w:after="0"/>
      </w:pPr>
      <w:r>
        <w:separator/>
      </w:r>
    </w:p>
  </w:endnote>
  <w:endnote w:type="continuationSeparator" w:id="0">
    <w:p w:rsidR="00E3154E" w:rsidRDefault="00E3154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F" w:rsidRDefault="00C90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17314611"/>
      <w:docPartObj>
        <w:docPartGallery w:val="Page Numbers (Bottom of Page)"/>
        <w:docPartUnique/>
      </w:docPartObj>
    </w:sdtPr>
    <w:sdtEndPr/>
    <w:sdtContent>
      <w:p w:rsidR="0057524E" w:rsidRDefault="0057524E" w:rsidP="00171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1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F" w:rsidRDefault="00C90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4E" w:rsidRDefault="00E3154E" w:rsidP="000D5800">
      <w:pPr>
        <w:spacing w:after="0"/>
      </w:pPr>
      <w:r>
        <w:separator/>
      </w:r>
    </w:p>
  </w:footnote>
  <w:footnote w:type="continuationSeparator" w:id="0">
    <w:p w:rsidR="00E3154E" w:rsidRDefault="00E3154E" w:rsidP="000D5800">
      <w:pPr>
        <w:spacing w:after="0"/>
      </w:pPr>
      <w:r>
        <w:continuationSeparator/>
      </w:r>
    </w:p>
  </w:footnote>
  <w:footnote w:id="1">
    <w:p w:rsidR="00411EBB" w:rsidRDefault="00411EBB" w:rsidP="00411EBB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الكافي (ط - الإسلامية)، </w:t>
      </w:r>
      <w:r>
        <w:rPr>
          <w:rFonts w:hint="eastAsia"/>
          <w:color w:val="000000"/>
          <w:rtl/>
        </w:rPr>
        <w:t>ج</w:t>
      </w:r>
      <w:r>
        <w:rPr>
          <w:color w:val="000000"/>
          <w:rtl/>
        </w:rPr>
        <w:t xml:space="preserve"> ۶</w:t>
      </w:r>
      <w:r>
        <w:rPr>
          <w:rFonts w:hint="cs"/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ص</w:t>
      </w:r>
      <w:r>
        <w:rPr>
          <w:color w:val="000000"/>
          <w:rtl/>
        </w:rPr>
        <w:t xml:space="preserve"> ۴۳۳</w:t>
      </w:r>
    </w:p>
  </w:footnote>
  <w:footnote w:id="2">
    <w:p w:rsidR="00411EBB" w:rsidRDefault="00411EBB" w:rsidP="00411EBB">
      <w:pPr>
        <w:pStyle w:val="FootnoteText"/>
        <w:rPr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>
        <w:rPr>
          <w:color w:val="000000"/>
          <w:rtl/>
        </w:rPr>
        <w:t xml:space="preserve">الكافي </w:t>
      </w:r>
      <w:r>
        <w:rPr>
          <w:color w:val="000000"/>
          <w:rtl/>
        </w:rPr>
        <w:t xml:space="preserve">(ط - الإسلامية)، </w:t>
      </w:r>
      <w:r>
        <w:rPr>
          <w:rFonts w:hint="eastAsia"/>
          <w:color w:val="000000"/>
          <w:rtl/>
        </w:rPr>
        <w:t>ج</w:t>
      </w:r>
      <w:r>
        <w:rPr>
          <w:color w:val="000000"/>
          <w:rtl/>
        </w:rPr>
        <w:t xml:space="preserve"> ۶</w:t>
      </w:r>
      <w:r>
        <w:rPr>
          <w:rFonts w:hint="cs"/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ص</w:t>
      </w:r>
      <w:r>
        <w:rPr>
          <w:color w:val="000000"/>
          <w:rtl/>
        </w:rPr>
        <w:t xml:space="preserve"> ۴۳۳</w:t>
      </w:r>
    </w:p>
  </w:footnote>
  <w:footnote w:id="3">
    <w:p w:rsidR="00F77113" w:rsidRDefault="00F77113" w:rsidP="00F77113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>
        <w:rPr>
          <w:rtl/>
        </w:rPr>
        <w:t xml:space="preserve">وسائل الشيعة </w:t>
      </w:r>
      <w:r>
        <w:rPr>
          <w:rFonts w:hint="eastAsia"/>
          <w:rtl/>
        </w:rPr>
        <w:t>ج</w:t>
      </w:r>
      <w:r>
        <w:rPr>
          <w:rtl/>
        </w:rPr>
        <w:t xml:space="preserve"> ۱۷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ص</w:t>
      </w:r>
      <w:r>
        <w:rPr>
          <w:rtl/>
        </w:rPr>
        <w:t xml:space="preserve"> ۳۱۲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F" w:rsidRDefault="00C90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658B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ED9EFE" wp14:editId="7EF952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5" w:name="OLE_LINK1"/>
    <w:bookmarkStart w:id="26" w:name="OLE_LINK2"/>
    <w:r>
      <w:rPr>
        <w:noProof/>
      </w:rPr>
      <w:drawing>
        <wp:inline distT="0" distB="0" distL="0" distR="0" wp14:anchorId="3DED956C" wp14:editId="5E8A2AA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5"/>
    <w:bookmarkEnd w:id="26"/>
    <w:r w:rsidR="00A51E72">
      <w:rPr>
        <w:rFonts w:ascii="IranNastaliq" w:hAnsi="IranNastaliq" w:cs="IranNastaliq"/>
        <w:sz w:val="40"/>
        <w:szCs w:val="40"/>
        <w:rtl/>
      </w:rPr>
      <w:t xml:space="preserve"> </w:t>
    </w:r>
    <w:r w:rsidR="00B658B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658B7">
      <w:rPr>
        <w:rFonts w:ascii="IranNastaliq" w:hAnsi="IranNastaliq" w:cs="IranNastaliq" w:hint="cs"/>
        <w:sz w:val="40"/>
        <w:szCs w:val="40"/>
        <w:rtl/>
      </w:rPr>
      <w:t>2341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F" w:rsidRDefault="00C90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B8"/>
    <w:multiLevelType w:val="hybridMultilevel"/>
    <w:tmpl w:val="CBB680A8"/>
    <w:lvl w:ilvl="0" w:tplc="8AC87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660A50"/>
    <w:multiLevelType w:val="hybridMultilevel"/>
    <w:tmpl w:val="BE58DF90"/>
    <w:lvl w:ilvl="0" w:tplc="7DC2F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4E"/>
    <w:rsid w:val="00002DBF"/>
    <w:rsid w:val="00006049"/>
    <w:rsid w:val="00016B3C"/>
    <w:rsid w:val="000228A2"/>
    <w:rsid w:val="000324F1"/>
    <w:rsid w:val="000332E2"/>
    <w:rsid w:val="0003795B"/>
    <w:rsid w:val="00052BA3"/>
    <w:rsid w:val="00056D96"/>
    <w:rsid w:val="00057E48"/>
    <w:rsid w:val="0006363E"/>
    <w:rsid w:val="00080DFF"/>
    <w:rsid w:val="00085ED5"/>
    <w:rsid w:val="000A1A51"/>
    <w:rsid w:val="000A29F9"/>
    <w:rsid w:val="000D2D0D"/>
    <w:rsid w:val="000D38B4"/>
    <w:rsid w:val="000D5800"/>
    <w:rsid w:val="000F1897"/>
    <w:rsid w:val="000F7E72"/>
    <w:rsid w:val="00101E2D"/>
    <w:rsid w:val="00102CEB"/>
    <w:rsid w:val="00117955"/>
    <w:rsid w:val="00121644"/>
    <w:rsid w:val="00133A57"/>
    <w:rsid w:val="00133E1D"/>
    <w:rsid w:val="0013617D"/>
    <w:rsid w:val="00136442"/>
    <w:rsid w:val="00150D4B"/>
    <w:rsid w:val="00152670"/>
    <w:rsid w:val="00166DD8"/>
    <w:rsid w:val="001712D6"/>
    <w:rsid w:val="00171440"/>
    <w:rsid w:val="001757C8"/>
    <w:rsid w:val="00177934"/>
    <w:rsid w:val="00183F26"/>
    <w:rsid w:val="00192A6A"/>
    <w:rsid w:val="00197CDD"/>
    <w:rsid w:val="001A63E3"/>
    <w:rsid w:val="001B6B1C"/>
    <w:rsid w:val="001C367D"/>
    <w:rsid w:val="001D24F8"/>
    <w:rsid w:val="001D4926"/>
    <w:rsid w:val="001E306E"/>
    <w:rsid w:val="001E3FB0"/>
    <w:rsid w:val="001E4FFF"/>
    <w:rsid w:val="001F2E3E"/>
    <w:rsid w:val="00205CA9"/>
    <w:rsid w:val="00224C0A"/>
    <w:rsid w:val="002376A5"/>
    <w:rsid w:val="002417C9"/>
    <w:rsid w:val="002476CA"/>
    <w:rsid w:val="002529C5"/>
    <w:rsid w:val="00270294"/>
    <w:rsid w:val="00274486"/>
    <w:rsid w:val="00277BFD"/>
    <w:rsid w:val="002914BD"/>
    <w:rsid w:val="00293CAA"/>
    <w:rsid w:val="00297263"/>
    <w:rsid w:val="002A4E1F"/>
    <w:rsid w:val="002B3613"/>
    <w:rsid w:val="002C56FD"/>
    <w:rsid w:val="002D49E4"/>
    <w:rsid w:val="002E450B"/>
    <w:rsid w:val="002E73F9"/>
    <w:rsid w:val="002F05B9"/>
    <w:rsid w:val="003161E0"/>
    <w:rsid w:val="00323CEE"/>
    <w:rsid w:val="003247A5"/>
    <w:rsid w:val="00340BA3"/>
    <w:rsid w:val="00340CA6"/>
    <w:rsid w:val="00366400"/>
    <w:rsid w:val="00377A2E"/>
    <w:rsid w:val="003963D7"/>
    <w:rsid w:val="00396F28"/>
    <w:rsid w:val="003A1A05"/>
    <w:rsid w:val="003A2654"/>
    <w:rsid w:val="003B00BB"/>
    <w:rsid w:val="003B16DE"/>
    <w:rsid w:val="003C06BF"/>
    <w:rsid w:val="003C7899"/>
    <w:rsid w:val="003D2F0A"/>
    <w:rsid w:val="003D563F"/>
    <w:rsid w:val="003D6297"/>
    <w:rsid w:val="003E1E58"/>
    <w:rsid w:val="00405199"/>
    <w:rsid w:val="00410699"/>
    <w:rsid w:val="00411EBB"/>
    <w:rsid w:val="00415360"/>
    <w:rsid w:val="00422B6C"/>
    <w:rsid w:val="0044591E"/>
    <w:rsid w:val="004651D2"/>
    <w:rsid w:val="00465D26"/>
    <w:rsid w:val="004664AE"/>
    <w:rsid w:val="004679F8"/>
    <w:rsid w:val="004914DD"/>
    <w:rsid w:val="004A1171"/>
    <w:rsid w:val="004A3C1E"/>
    <w:rsid w:val="004B337F"/>
    <w:rsid w:val="004B395C"/>
    <w:rsid w:val="004B7DE0"/>
    <w:rsid w:val="004B7EF9"/>
    <w:rsid w:val="004C4753"/>
    <w:rsid w:val="004D5AF0"/>
    <w:rsid w:val="004D69F2"/>
    <w:rsid w:val="004F3596"/>
    <w:rsid w:val="004F4664"/>
    <w:rsid w:val="005028F9"/>
    <w:rsid w:val="00531FD8"/>
    <w:rsid w:val="00534992"/>
    <w:rsid w:val="005471A1"/>
    <w:rsid w:val="0055244B"/>
    <w:rsid w:val="00572E2D"/>
    <w:rsid w:val="0057524E"/>
    <w:rsid w:val="00583CF0"/>
    <w:rsid w:val="00590437"/>
    <w:rsid w:val="00590758"/>
    <w:rsid w:val="00592103"/>
    <w:rsid w:val="005A545E"/>
    <w:rsid w:val="005A5862"/>
    <w:rsid w:val="005A75A1"/>
    <w:rsid w:val="005B0852"/>
    <w:rsid w:val="005C06AE"/>
    <w:rsid w:val="005C6EA6"/>
    <w:rsid w:val="005D7E53"/>
    <w:rsid w:val="005E317D"/>
    <w:rsid w:val="005F7E28"/>
    <w:rsid w:val="00602DC9"/>
    <w:rsid w:val="006061A3"/>
    <w:rsid w:val="00610C18"/>
    <w:rsid w:val="0061376C"/>
    <w:rsid w:val="0062465F"/>
    <w:rsid w:val="00636EFA"/>
    <w:rsid w:val="00640F21"/>
    <w:rsid w:val="0066229C"/>
    <w:rsid w:val="00663E14"/>
    <w:rsid w:val="00673B37"/>
    <w:rsid w:val="0067603F"/>
    <w:rsid w:val="00687AAC"/>
    <w:rsid w:val="0069696C"/>
    <w:rsid w:val="006A085A"/>
    <w:rsid w:val="006A0F8B"/>
    <w:rsid w:val="006A3A9F"/>
    <w:rsid w:val="006B1331"/>
    <w:rsid w:val="006D3A87"/>
    <w:rsid w:val="006E2466"/>
    <w:rsid w:val="006E5153"/>
    <w:rsid w:val="006F01B4"/>
    <w:rsid w:val="00703DA2"/>
    <w:rsid w:val="00705F59"/>
    <w:rsid w:val="00706822"/>
    <w:rsid w:val="00725AA5"/>
    <w:rsid w:val="00731B58"/>
    <w:rsid w:val="00734D59"/>
    <w:rsid w:val="00735DC9"/>
    <w:rsid w:val="0073609B"/>
    <w:rsid w:val="00750002"/>
    <w:rsid w:val="00752745"/>
    <w:rsid w:val="0076665E"/>
    <w:rsid w:val="007749BC"/>
    <w:rsid w:val="00780C88"/>
    <w:rsid w:val="00780E25"/>
    <w:rsid w:val="007817FB"/>
    <w:rsid w:val="007818F0"/>
    <w:rsid w:val="00783462"/>
    <w:rsid w:val="007843CE"/>
    <w:rsid w:val="00787B13"/>
    <w:rsid w:val="00792FAC"/>
    <w:rsid w:val="007A2C96"/>
    <w:rsid w:val="007A5D2F"/>
    <w:rsid w:val="007B2DB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21E8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D6078"/>
    <w:rsid w:val="008E5204"/>
    <w:rsid w:val="008F4139"/>
    <w:rsid w:val="008F63E3"/>
    <w:rsid w:val="00904F8F"/>
    <w:rsid w:val="00913C3B"/>
    <w:rsid w:val="00915509"/>
    <w:rsid w:val="00922302"/>
    <w:rsid w:val="00926ED7"/>
    <w:rsid w:val="00927388"/>
    <w:rsid w:val="009274FE"/>
    <w:rsid w:val="00937FD0"/>
    <w:rsid w:val="009401AC"/>
    <w:rsid w:val="009613AC"/>
    <w:rsid w:val="00965C36"/>
    <w:rsid w:val="00966954"/>
    <w:rsid w:val="00976A56"/>
    <w:rsid w:val="00980643"/>
    <w:rsid w:val="00983135"/>
    <w:rsid w:val="009B61C3"/>
    <w:rsid w:val="009B6EB3"/>
    <w:rsid w:val="009C7B4F"/>
    <w:rsid w:val="009F4EB3"/>
    <w:rsid w:val="00A05874"/>
    <w:rsid w:val="00A06D48"/>
    <w:rsid w:val="00A12D18"/>
    <w:rsid w:val="00A21834"/>
    <w:rsid w:val="00A31C17"/>
    <w:rsid w:val="00A31FDE"/>
    <w:rsid w:val="00A35AC2"/>
    <w:rsid w:val="00A37C77"/>
    <w:rsid w:val="00A51E72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4193"/>
    <w:rsid w:val="00B05B09"/>
    <w:rsid w:val="00B15027"/>
    <w:rsid w:val="00B21CF4"/>
    <w:rsid w:val="00B24300"/>
    <w:rsid w:val="00B30D19"/>
    <w:rsid w:val="00B326EB"/>
    <w:rsid w:val="00B62AFF"/>
    <w:rsid w:val="00B63F15"/>
    <w:rsid w:val="00B658B7"/>
    <w:rsid w:val="00B855C4"/>
    <w:rsid w:val="00BA54F4"/>
    <w:rsid w:val="00BB5F7E"/>
    <w:rsid w:val="00BC26F6"/>
    <w:rsid w:val="00BC4833"/>
    <w:rsid w:val="00BD3122"/>
    <w:rsid w:val="00BD3F23"/>
    <w:rsid w:val="00BD40DA"/>
    <w:rsid w:val="00BE19AB"/>
    <w:rsid w:val="00BE50CD"/>
    <w:rsid w:val="00BF0C7C"/>
    <w:rsid w:val="00C160AF"/>
    <w:rsid w:val="00C22299"/>
    <w:rsid w:val="00C25609"/>
    <w:rsid w:val="00C26607"/>
    <w:rsid w:val="00C31465"/>
    <w:rsid w:val="00C51577"/>
    <w:rsid w:val="00C535DB"/>
    <w:rsid w:val="00C5447C"/>
    <w:rsid w:val="00C60D75"/>
    <w:rsid w:val="00C62B39"/>
    <w:rsid w:val="00C64CEA"/>
    <w:rsid w:val="00C73012"/>
    <w:rsid w:val="00C740BF"/>
    <w:rsid w:val="00C750BA"/>
    <w:rsid w:val="00C763DD"/>
    <w:rsid w:val="00C84FC0"/>
    <w:rsid w:val="00C90EFF"/>
    <w:rsid w:val="00C9244A"/>
    <w:rsid w:val="00CA2425"/>
    <w:rsid w:val="00CB068D"/>
    <w:rsid w:val="00CB5DA3"/>
    <w:rsid w:val="00CB6F26"/>
    <w:rsid w:val="00CC7593"/>
    <w:rsid w:val="00CD07D5"/>
    <w:rsid w:val="00CE31E6"/>
    <w:rsid w:val="00CE3B74"/>
    <w:rsid w:val="00CF3436"/>
    <w:rsid w:val="00CF42E2"/>
    <w:rsid w:val="00CF7916"/>
    <w:rsid w:val="00D158F3"/>
    <w:rsid w:val="00D26741"/>
    <w:rsid w:val="00D32FE8"/>
    <w:rsid w:val="00D3665C"/>
    <w:rsid w:val="00D508CC"/>
    <w:rsid w:val="00D50F4B"/>
    <w:rsid w:val="00D60547"/>
    <w:rsid w:val="00D66444"/>
    <w:rsid w:val="00D7004C"/>
    <w:rsid w:val="00D739DD"/>
    <w:rsid w:val="00D7511C"/>
    <w:rsid w:val="00DB28BB"/>
    <w:rsid w:val="00DC603F"/>
    <w:rsid w:val="00DD3C0D"/>
    <w:rsid w:val="00DD4864"/>
    <w:rsid w:val="00DD71A2"/>
    <w:rsid w:val="00DE1DC4"/>
    <w:rsid w:val="00DF1828"/>
    <w:rsid w:val="00E0639C"/>
    <w:rsid w:val="00E067E6"/>
    <w:rsid w:val="00E12531"/>
    <w:rsid w:val="00E143B0"/>
    <w:rsid w:val="00E23EE4"/>
    <w:rsid w:val="00E245DC"/>
    <w:rsid w:val="00E26D40"/>
    <w:rsid w:val="00E3154E"/>
    <w:rsid w:val="00E31A78"/>
    <w:rsid w:val="00E419C3"/>
    <w:rsid w:val="00E44A3C"/>
    <w:rsid w:val="00E5297E"/>
    <w:rsid w:val="00E532ED"/>
    <w:rsid w:val="00E55891"/>
    <w:rsid w:val="00E6283A"/>
    <w:rsid w:val="00E732A3"/>
    <w:rsid w:val="00E808A5"/>
    <w:rsid w:val="00E83A85"/>
    <w:rsid w:val="00E84C67"/>
    <w:rsid w:val="00E90FC4"/>
    <w:rsid w:val="00EA01EC"/>
    <w:rsid w:val="00EA15B0"/>
    <w:rsid w:val="00EA5D97"/>
    <w:rsid w:val="00EB5D6C"/>
    <w:rsid w:val="00EC4393"/>
    <w:rsid w:val="00EE1C07"/>
    <w:rsid w:val="00EE22DA"/>
    <w:rsid w:val="00EE2C91"/>
    <w:rsid w:val="00EE3979"/>
    <w:rsid w:val="00EF138C"/>
    <w:rsid w:val="00F034CE"/>
    <w:rsid w:val="00F10A0F"/>
    <w:rsid w:val="00F40284"/>
    <w:rsid w:val="00F43B8C"/>
    <w:rsid w:val="00F53013"/>
    <w:rsid w:val="00F5587A"/>
    <w:rsid w:val="00F67976"/>
    <w:rsid w:val="00F70BE1"/>
    <w:rsid w:val="00F730EA"/>
    <w:rsid w:val="00F77113"/>
    <w:rsid w:val="00FB743F"/>
    <w:rsid w:val="00FC0862"/>
    <w:rsid w:val="00FC42B9"/>
    <w:rsid w:val="00FC70FB"/>
    <w:rsid w:val="00FD143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7004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7004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7004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7004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7004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004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7004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7004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7004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7004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7004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7004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004C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7004C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D7004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004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004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7004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7004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7004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7004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7004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7004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D7004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7004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7004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7004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7004C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7004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7004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7004C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7004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004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7004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7004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7004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7004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7004C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7004C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7004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7004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7004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7004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7004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7004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7004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2AF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B7D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4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7004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7004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7004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7004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7004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004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7004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7004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7004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7004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7004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7004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004C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7004C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D7004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004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004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7004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7004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7004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7004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7004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7004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D7004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7004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7004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7004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7004C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7004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7004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7004C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7004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004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7004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7004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7004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7004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7004C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7004C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7004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7004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7004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7004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7004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7004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7004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2AF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B7D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4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A22B-13DC-4ED3-B01F-5C764BF0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449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14</cp:revision>
  <dcterms:created xsi:type="dcterms:W3CDTF">2014-12-03T13:30:00Z</dcterms:created>
  <dcterms:modified xsi:type="dcterms:W3CDTF">2015-02-03T10:46:00Z</dcterms:modified>
</cp:coreProperties>
</file>