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7F" w:rsidRPr="00DD37E7" w:rsidRDefault="00DA5F7F" w:rsidP="00DD37E7">
      <w:pPr>
        <w:pStyle w:val="1"/>
        <w:rPr>
          <w:sz w:val="28"/>
          <w:szCs w:val="28"/>
          <w:rtl/>
        </w:rPr>
      </w:pPr>
    </w:p>
    <w:p w:rsidR="00DD37E7" w:rsidRPr="00DD37E7" w:rsidRDefault="00DD37E7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DD37E7">
        <w:rPr>
          <w:rFonts w:ascii="IRBadr" w:hAnsi="IRBadr" w:cs="IRBadr"/>
          <w:b/>
          <w:sz w:val="28"/>
          <w:rtl/>
        </w:rPr>
        <w:fldChar w:fldCharType="begin"/>
      </w:r>
      <w:r w:rsidRPr="00DD37E7">
        <w:rPr>
          <w:rFonts w:ascii="IRBadr" w:hAnsi="IRBadr" w:cs="IRBadr"/>
          <w:b/>
          <w:sz w:val="28"/>
          <w:rtl/>
        </w:rPr>
        <w:instrText xml:space="preserve"> </w:instrText>
      </w:r>
      <w:r w:rsidRPr="00DD37E7">
        <w:rPr>
          <w:rFonts w:ascii="IRBadr" w:hAnsi="IRBadr" w:cs="IRBadr"/>
          <w:b/>
          <w:sz w:val="28"/>
        </w:rPr>
        <w:instrText>TOC</w:instrText>
      </w:r>
      <w:r w:rsidRPr="00DD37E7">
        <w:rPr>
          <w:rFonts w:ascii="IRBadr" w:hAnsi="IRBadr" w:cs="IRBadr"/>
          <w:b/>
          <w:sz w:val="28"/>
          <w:rtl/>
        </w:rPr>
        <w:instrText xml:space="preserve"> \</w:instrText>
      </w:r>
      <w:r w:rsidRPr="00DD37E7">
        <w:rPr>
          <w:rFonts w:ascii="IRBadr" w:hAnsi="IRBadr" w:cs="IRBadr"/>
          <w:b/>
          <w:sz w:val="28"/>
        </w:rPr>
        <w:instrText>o "1-3" \h \z \u</w:instrText>
      </w:r>
      <w:r w:rsidRPr="00DD37E7">
        <w:rPr>
          <w:rFonts w:ascii="IRBadr" w:hAnsi="IRBadr" w:cs="IRBadr"/>
          <w:b/>
          <w:sz w:val="28"/>
          <w:rtl/>
        </w:rPr>
        <w:instrText xml:space="preserve"> </w:instrText>
      </w:r>
      <w:r w:rsidRPr="00DD37E7">
        <w:rPr>
          <w:rFonts w:ascii="IRBadr" w:hAnsi="IRBadr" w:cs="IRBadr"/>
          <w:b/>
          <w:sz w:val="28"/>
          <w:rtl/>
        </w:rPr>
        <w:fldChar w:fldCharType="separate"/>
      </w:r>
      <w:hyperlink w:anchor="_Toc427630416" w:history="1">
        <w:r w:rsidRPr="00DD37E7">
          <w:rPr>
            <w:rStyle w:val="aff1"/>
            <w:rFonts w:ascii="IRBadr" w:hAnsi="IRBadr" w:cs="IRBadr"/>
            <w:noProof/>
            <w:sz w:val="28"/>
            <w:rtl/>
          </w:rPr>
          <w:t>فهرست مطالب</w:t>
        </w:r>
        <w:r w:rsidRPr="00DD37E7">
          <w:rPr>
            <w:rFonts w:ascii="IRBadr" w:hAnsi="IRBadr" w:cs="IRBadr"/>
            <w:noProof/>
            <w:webHidden/>
            <w:sz w:val="28"/>
          </w:rPr>
          <w:tab/>
        </w:r>
        <w:r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DD37E7">
          <w:rPr>
            <w:rFonts w:ascii="IRBadr" w:hAnsi="IRBadr" w:cs="IRBadr"/>
            <w:noProof/>
            <w:webHidden/>
            <w:sz w:val="28"/>
          </w:rPr>
          <w:instrText xml:space="preserve"> PAGEREF _Toc427630416 \h </w:instrText>
        </w:r>
        <w:r w:rsidRPr="00DD37E7">
          <w:rPr>
            <w:rFonts w:ascii="IRBadr" w:hAnsi="IRBadr" w:cs="IRBadr"/>
            <w:noProof/>
            <w:webHidden/>
            <w:sz w:val="28"/>
          </w:rPr>
        </w:r>
        <w:r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DD37E7">
          <w:rPr>
            <w:rFonts w:ascii="IRBadr" w:hAnsi="IRBadr" w:cs="IRBadr"/>
            <w:noProof/>
            <w:webHidden/>
            <w:sz w:val="28"/>
          </w:rPr>
          <w:t>1</w:t>
        </w:r>
        <w:r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D37E7" w:rsidRPr="00DD37E7" w:rsidRDefault="00937820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0417" w:history="1"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tab/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D37E7" w:rsidRPr="00DD37E7">
          <w:rPr>
            <w:rFonts w:ascii="IRBadr" w:hAnsi="IRBadr" w:cs="IRBadr"/>
            <w:noProof/>
            <w:webHidden/>
            <w:sz w:val="28"/>
          </w:rPr>
          <w:instrText xml:space="preserve"> PAGEREF _Toc427630417 \h </w:instrText>
        </w:r>
        <w:r w:rsidR="00DD37E7" w:rsidRPr="00DD37E7">
          <w:rPr>
            <w:rFonts w:ascii="IRBadr" w:hAnsi="IRBadr" w:cs="IRBadr"/>
            <w:noProof/>
            <w:webHidden/>
            <w:sz w:val="28"/>
          </w:rPr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D37E7" w:rsidRPr="00DD37E7">
          <w:rPr>
            <w:rFonts w:ascii="IRBadr" w:hAnsi="IRBadr" w:cs="IRBadr"/>
            <w:noProof/>
            <w:webHidden/>
            <w:sz w:val="28"/>
          </w:rPr>
          <w:t>1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D37E7" w:rsidRPr="00DD37E7" w:rsidRDefault="00937820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0418" w:history="1"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عفو و گذشت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tab/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D37E7" w:rsidRPr="00DD37E7">
          <w:rPr>
            <w:rFonts w:ascii="IRBadr" w:hAnsi="IRBadr" w:cs="IRBadr"/>
            <w:noProof/>
            <w:webHidden/>
            <w:sz w:val="28"/>
          </w:rPr>
          <w:instrText xml:space="preserve"> PAGEREF _Toc427630418 \h </w:instrText>
        </w:r>
        <w:r w:rsidR="00DD37E7" w:rsidRPr="00DD37E7">
          <w:rPr>
            <w:rFonts w:ascii="IRBadr" w:hAnsi="IRBadr" w:cs="IRBadr"/>
            <w:noProof/>
            <w:webHidden/>
            <w:sz w:val="28"/>
          </w:rPr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D37E7" w:rsidRPr="00DD37E7">
          <w:rPr>
            <w:rFonts w:ascii="IRBadr" w:hAnsi="IRBadr" w:cs="IRBadr"/>
            <w:noProof/>
            <w:webHidden/>
            <w:sz w:val="28"/>
          </w:rPr>
          <w:t>2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D37E7" w:rsidRPr="00DD37E7" w:rsidRDefault="00937820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0419" w:history="1"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عفو و گذشت در روایات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tab/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D37E7" w:rsidRPr="00DD37E7">
          <w:rPr>
            <w:rFonts w:ascii="IRBadr" w:hAnsi="IRBadr" w:cs="IRBadr"/>
            <w:noProof/>
            <w:webHidden/>
            <w:sz w:val="28"/>
          </w:rPr>
          <w:instrText xml:space="preserve"> PAGEREF _Toc427630419 \h </w:instrText>
        </w:r>
        <w:r w:rsidR="00DD37E7" w:rsidRPr="00DD37E7">
          <w:rPr>
            <w:rFonts w:ascii="IRBadr" w:hAnsi="IRBadr" w:cs="IRBadr"/>
            <w:noProof/>
            <w:webHidden/>
            <w:sz w:val="28"/>
          </w:rPr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D37E7" w:rsidRPr="00DD37E7">
          <w:rPr>
            <w:rFonts w:ascii="IRBadr" w:hAnsi="IRBadr" w:cs="IRBadr"/>
            <w:noProof/>
            <w:webHidden/>
            <w:sz w:val="28"/>
          </w:rPr>
          <w:t>2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D37E7" w:rsidRPr="00DD37E7" w:rsidRDefault="00937820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0420" w:history="1"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تفاوت انتقام‌گیری با عفو و گذشت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tab/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D37E7" w:rsidRPr="00DD37E7">
          <w:rPr>
            <w:rFonts w:ascii="IRBadr" w:hAnsi="IRBadr" w:cs="IRBadr"/>
            <w:noProof/>
            <w:webHidden/>
            <w:sz w:val="28"/>
          </w:rPr>
          <w:instrText xml:space="preserve"> PAGEREF _Toc427630420 \h </w:instrText>
        </w:r>
        <w:r w:rsidR="00DD37E7" w:rsidRPr="00DD37E7">
          <w:rPr>
            <w:rFonts w:ascii="IRBadr" w:hAnsi="IRBadr" w:cs="IRBadr"/>
            <w:noProof/>
            <w:webHidden/>
            <w:sz w:val="28"/>
          </w:rPr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D37E7" w:rsidRPr="00DD37E7">
          <w:rPr>
            <w:rFonts w:ascii="IRBadr" w:hAnsi="IRBadr" w:cs="IRBadr"/>
            <w:noProof/>
            <w:webHidden/>
            <w:sz w:val="28"/>
          </w:rPr>
          <w:t>4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D37E7" w:rsidRPr="00DD37E7" w:rsidRDefault="00937820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0421" w:history="1"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خطبه</w:t>
        </w:r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 xml:space="preserve"> </w:t>
        </w:r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دوم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tab/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D37E7" w:rsidRPr="00DD37E7">
          <w:rPr>
            <w:rFonts w:ascii="IRBadr" w:hAnsi="IRBadr" w:cs="IRBadr"/>
            <w:noProof/>
            <w:webHidden/>
            <w:sz w:val="28"/>
          </w:rPr>
          <w:instrText xml:space="preserve"> PAGEREF _Toc427630421 \h </w:instrText>
        </w:r>
        <w:r w:rsidR="00DD37E7" w:rsidRPr="00DD37E7">
          <w:rPr>
            <w:rFonts w:ascii="IRBadr" w:hAnsi="IRBadr" w:cs="IRBadr"/>
            <w:noProof/>
            <w:webHidden/>
            <w:sz w:val="28"/>
          </w:rPr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D37E7" w:rsidRPr="00DD37E7">
          <w:rPr>
            <w:rFonts w:ascii="IRBadr" w:hAnsi="IRBadr" w:cs="IRBadr"/>
            <w:noProof/>
            <w:webHidden/>
            <w:sz w:val="28"/>
          </w:rPr>
          <w:t>4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D37E7" w:rsidRPr="00DD37E7" w:rsidRDefault="00937820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0422" w:history="1"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شهادت امام جعفر صادق (ع)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tab/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D37E7" w:rsidRPr="00DD37E7">
          <w:rPr>
            <w:rFonts w:ascii="IRBadr" w:hAnsi="IRBadr" w:cs="IRBadr"/>
            <w:noProof/>
            <w:webHidden/>
            <w:sz w:val="28"/>
          </w:rPr>
          <w:instrText xml:space="preserve"> PAGEREF _Toc427630422 \h </w:instrText>
        </w:r>
        <w:r w:rsidR="00DD37E7" w:rsidRPr="00DD37E7">
          <w:rPr>
            <w:rFonts w:ascii="IRBadr" w:hAnsi="IRBadr" w:cs="IRBadr"/>
            <w:noProof/>
            <w:webHidden/>
            <w:sz w:val="28"/>
          </w:rPr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D37E7" w:rsidRPr="00DD37E7">
          <w:rPr>
            <w:rFonts w:ascii="IRBadr" w:hAnsi="IRBadr" w:cs="IRBadr"/>
            <w:noProof/>
            <w:webHidden/>
            <w:sz w:val="28"/>
          </w:rPr>
          <w:t>5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D37E7" w:rsidRPr="00DD37E7" w:rsidRDefault="00937820" w:rsidP="00DD37E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630423" w:history="1">
        <w:r w:rsidR="00DD37E7" w:rsidRPr="00DD37E7">
          <w:rPr>
            <w:rStyle w:val="aff1"/>
            <w:rFonts w:ascii="IRBadr" w:hAnsi="IRBadr" w:cs="IRBadr"/>
            <w:noProof/>
            <w:sz w:val="28"/>
            <w:rtl/>
          </w:rPr>
          <w:t>روز 13 آبان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tab/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D37E7" w:rsidRPr="00DD37E7">
          <w:rPr>
            <w:rFonts w:ascii="IRBadr" w:hAnsi="IRBadr" w:cs="IRBadr"/>
            <w:noProof/>
            <w:webHidden/>
            <w:sz w:val="28"/>
          </w:rPr>
          <w:instrText xml:space="preserve"> PAGEREF _Toc427630423 \h </w:instrText>
        </w:r>
        <w:r w:rsidR="00DD37E7" w:rsidRPr="00DD37E7">
          <w:rPr>
            <w:rFonts w:ascii="IRBadr" w:hAnsi="IRBadr" w:cs="IRBadr"/>
            <w:noProof/>
            <w:webHidden/>
            <w:sz w:val="28"/>
          </w:rPr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D37E7" w:rsidRPr="00DD37E7">
          <w:rPr>
            <w:rFonts w:ascii="IRBadr" w:hAnsi="IRBadr" w:cs="IRBadr"/>
            <w:noProof/>
            <w:webHidden/>
            <w:sz w:val="28"/>
          </w:rPr>
          <w:t>5</w:t>
        </w:r>
        <w:r w:rsidR="00DD37E7" w:rsidRPr="00DD37E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F7F" w:rsidRPr="00EA0D9F" w:rsidRDefault="00DD37E7" w:rsidP="00DD37E7">
      <w:pPr>
        <w:bidi/>
        <w:rPr>
          <w:rFonts w:ascii="IRBadr" w:hAnsi="IRBadr" w:cs="IRBadr"/>
          <w:b/>
          <w:sz w:val="28"/>
          <w:rtl/>
        </w:rPr>
      </w:pPr>
      <w:r w:rsidRPr="00DD37E7">
        <w:rPr>
          <w:rFonts w:ascii="IRBadr" w:eastAsiaTheme="minorEastAsia" w:hAnsi="IRBadr" w:cs="IRBadr"/>
          <w:b/>
          <w:sz w:val="28"/>
          <w:rtl/>
        </w:rPr>
        <w:fldChar w:fldCharType="end"/>
      </w:r>
    </w:p>
    <w:p w:rsidR="00EA0D9F" w:rsidRDefault="00EA0D9F" w:rsidP="00EA0D9F">
      <w:pPr>
        <w:pStyle w:val="1"/>
        <w:rPr>
          <w:rtl/>
        </w:rPr>
      </w:pPr>
      <w:bookmarkStart w:id="0" w:name="_Toc427406300"/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Default="00EA0D9F" w:rsidP="00EA0D9F">
      <w:pPr>
        <w:pStyle w:val="1"/>
        <w:rPr>
          <w:rtl/>
        </w:rPr>
      </w:pPr>
    </w:p>
    <w:p w:rsidR="00EA0D9F" w:rsidRPr="00EA0D9F" w:rsidRDefault="00EA0D9F" w:rsidP="00EA0D9F">
      <w:pPr>
        <w:rPr>
          <w:rtl/>
        </w:rPr>
      </w:pPr>
    </w:p>
    <w:p w:rsidR="00864865" w:rsidRPr="00EA0D9F" w:rsidRDefault="00AA38CB" w:rsidP="00EA0D9F">
      <w:pPr>
        <w:pStyle w:val="1"/>
        <w:rPr>
          <w:rtl/>
        </w:rPr>
      </w:pPr>
      <w:bookmarkStart w:id="1" w:name="_Toc427630417"/>
      <w:r w:rsidRPr="00EA0D9F">
        <w:rPr>
          <w:rtl/>
        </w:rPr>
        <w:lastRenderedPageBreak/>
        <w:t>خطبه اول</w:t>
      </w:r>
      <w:bookmarkEnd w:id="0"/>
      <w:bookmarkEnd w:id="1"/>
    </w:p>
    <w:p w:rsidR="00EA0D9F" w:rsidRPr="00EA0D9F" w:rsidRDefault="00EA0D9F" w:rsidP="00EA0D9F">
      <w:pPr>
        <w:bidi/>
        <w:jc w:val="both"/>
        <w:rPr>
          <w:rFonts w:ascii="IRBadr" w:hAnsi="IRBadr" w:cs="IRBadr"/>
          <w:b/>
          <w:bCs/>
          <w:sz w:val="28"/>
        </w:rPr>
      </w:pPr>
      <w:r w:rsidRPr="00EA0D9F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EA0D9F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EA0D9F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D37E7">
        <w:rPr>
          <w:rFonts w:ascii="IRBadr" w:hAnsi="IRBadr" w:cs="IRBadr"/>
          <w:b/>
          <w:bCs/>
          <w:sz w:val="28"/>
          <w:rtl/>
        </w:rPr>
        <w:t xml:space="preserve"> اعوذ</w:t>
      </w:r>
      <w:r w:rsidRPr="00EA0D9F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</w:t>
      </w:r>
      <w:r w:rsidRPr="00EA0D9F">
        <w:rPr>
          <w:rFonts w:ascii="IRBadr" w:hAnsi="IRBadr" w:cs="IRBadr" w:hint="cs"/>
          <w:b/>
          <w:bCs/>
          <w:sz w:val="28"/>
          <w:rtl/>
        </w:rPr>
        <w:t xml:space="preserve"> «</w:t>
      </w:r>
      <w:r w:rsidRPr="00EA0D9F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EA0D9F">
        <w:rPr>
          <w:rFonts w:ascii="IRBadr" w:hAnsi="IRBadr" w:cs="IRBadr" w:hint="cs"/>
          <w:b/>
          <w:bCs/>
          <w:sz w:val="28"/>
          <w:rtl/>
        </w:rPr>
        <w:t>»</w:t>
      </w:r>
      <w:r w:rsidRPr="00EA0D9F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DD37E7">
        <w:rPr>
          <w:rFonts w:ascii="IRBadr" w:hAnsi="IRBadr" w:cs="IRBadr"/>
          <w:b/>
          <w:bCs/>
          <w:sz w:val="28"/>
          <w:rtl/>
        </w:rPr>
        <w:t xml:space="preserve"> </w:t>
      </w:r>
      <w:r w:rsidRPr="00EA0D9F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EA0D9F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EA0D9F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EA0D9F">
        <w:rPr>
          <w:rFonts w:ascii="IRBadr" w:hAnsi="IRBadr" w:cs="IRBadr" w:hint="cs"/>
          <w:b/>
          <w:bCs/>
          <w:sz w:val="28"/>
          <w:rtl/>
        </w:rPr>
        <w:t>َ</w:t>
      </w:r>
      <w:r w:rsidRPr="00EA0D9F">
        <w:rPr>
          <w:rFonts w:ascii="IRBadr" w:hAnsi="IRBadr" w:cs="IRBadr"/>
          <w:b/>
          <w:bCs/>
          <w:sz w:val="28"/>
          <w:rtl/>
        </w:rPr>
        <w:t>ح</w:t>
      </w:r>
      <w:r w:rsidRPr="00EA0D9F">
        <w:rPr>
          <w:rFonts w:ascii="IRBadr" w:hAnsi="IRBadr" w:cs="IRBadr" w:hint="cs"/>
          <w:b/>
          <w:bCs/>
          <w:sz w:val="28"/>
          <w:rtl/>
        </w:rPr>
        <w:t>ِ</w:t>
      </w:r>
      <w:r w:rsidRPr="00EA0D9F">
        <w:rPr>
          <w:rFonts w:ascii="IRBadr" w:hAnsi="IRBadr" w:cs="IRBadr"/>
          <w:b/>
          <w:bCs/>
          <w:sz w:val="28"/>
          <w:rtl/>
        </w:rPr>
        <w:t>م</w:t>
      </w:r>
      <w:r w:rsidRPr="00EA0D9F">
        <w:rPr>
          <w:rFonts w:ascii="IRBadr" w:hAnsi="IRBadr" w:cs="IRBadr" w:hint="cs"/>
          <w:b/>
          <w:bCs/>
          <w:sz w:val="28"/>
          <w:rtl/>
        </w:rPr>
        <w:t>َ</w:t>
      </w:r>
      <w:r w:rsidRPr="00EA0D9F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EA0D9F">
        <w:rPr>
          <w:rFonts w:ascii="IRBadr" w:hAnsi="IRBadr" w:cs="IRBadr" w:hint="cs"/>
          <w:b/>
          <w:bCs/>
          <w:sz w:val="28"/>
          <w:rtl/>
        </w:rPr>
        <w:t>ّ</w:t>
      </w:r>
      <w:r w:rsidRPr="00EA0D9F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EA0D9F">
        <w:rPr>
          <w:rFonts w:ascii="IRBadr" w:hAnsi="IRBadr" w:cs="IRBadr" w:hint="cs"/>
          <w:b/>
          <w:bCs/>
          <w:sz w:val="28"/>
          <w:rtl/>
        </w:rPr>
        <w:t>ّ</w:t>
      </w:r>
      <w:r w:rsidRPr="00EA0D9F">
        <w:rPr>
          <w:rFonts w:ascii="IRBadr" w:hAnsi="IRBadr" w:cs="IRBadr"/>
          <w:b/>
          <w:bCs/>
          <w:sz w:val="28"/>
          <w:rtl/>
        </w:rPr>
        <w:t>اد التقوی.</w:t>
      </w:r>
    </w:p>
    <w:p w:rsidR="00EA0D9F" w:rsidRPr="00EA0D9F" w:rsidRDefault="00EA0D9F" w:rsidP="00EA0D9F">
      <w:pPr>
        <w:bidi/>
        <w:jc w:val="both"/>
        <w:rPr>
          <w:b/>
          <w:bCs/>
          <w:rtl/>
        </w:rPr>
      </w:pPr>
    </w:p>
    <w:p w:rsidR="002F77DE" w:rsidRPr="00EA0D9F" w:rsidRDefault="00DD37E7" w:rsidP="00DA5F7F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همهٔ</w:t>
      </w:r>
      <w:r w:rsidR="001470A0" w:rsidRPr="00EA0D9F">
        <w:rPr>
          <w:rFonts w:ascii="IRBadr" w:hAnsi="IRBadr" w:cs="IRBadr"/>
          <w:b/>
          <w:sz w:val="28"/>
          <w:rtl/>
        </w:rPr>
        <w:t xml:space="preserve"> ش</w:t>
      </w:r>
      <w:r w:rsidR="00CF4B62" w:rsidRPr="00EA0D9F">
        <w:rPr>
          <w:rFonts w:ascii="IRBadr" w:hAnsi="IRBadr" w:cs="IRBadr"/>
          <w:b/>
          <w:sz w:val="28"/>
          <w:rtl/>
        </w:rPr>
        <w:t>ما نمازگزاران گرامی را به تقوا،</w:t>
      </w:r>
      <w:r w:rsidR="001470A0" w:rsidRPr="00EA0D9F">
        <w:rPr>
          <w:rFonts w:ascii="IRBadr" w:hAnsi="IRBadr" w:cs="IRBadr"/>
          <w:b/>
          <w:sz w:val="28"/>
          <w:rtl/>
        </w:rPr>
        <w:t xml:space="preserve"> پرهیزکاری،</w:t>
      </w:r>
      <w:r w:rsidR="009A7E1C" w:rsidRPr="00EA0D9F">
        <w:rPr>
          <w:rFonts w:ascii="IRBadr" w:hAnsi="IRBadr" w:cs="IRBadr"/>
          <w:b/>
          <w:sz w:val="28"/>
          <w:rtl/>
        </w:rPr>
        <w:t xml:space="preserve"> ذکر</w:t>
      </w:r>
      <w:r w:rsidR="001470A0" w:rsidRPr="00EA0D9F">
        <w:rPr>
          <w:rFonts w:ascii="IRBadr" w:hAnsi="IRBadr" w:cs="IRBadr"/>
          <w:b/>
          <w:sz w:val="28"/>
          <w:rtl/>
        </w:rPr>
        <w:t xml:space="preserve"> و یاد خداوند سفارش و دعوت </w:t>
      </w:r>
      <w:r w:rsidR="009A7E1C" w:rsidRPr="00EA0D9F">
        <w:rPr>
          <w:rFonts w:ascii="IRBadr" w:hAnsi="IRBadr" w:cs="IRBadr"/>
          <w:b/>
          <w:sz w:val="28"/>
          <w:rtl/>
        </w:rPr>
        <w:t>می‌کنم</w:t>
      </w:r>
      <w:r w:rsidR="001470A0" w:rsidRPr="00EA0D9F">
        <w:rPr>
          <w:rFonts w:ascii="IRBadr" w:hAnsi="IRBadr" w:cs="IRBadr"/>
          <w:b/>
          <w:sz w:val="28"/>
          <w:rtl/>
        </w:rPr>
        <w:t>.</w:t>
      </w:r>
    </w:p>
    <w:p w:rsidR="001470A0" w:rsidRPr="00EA0D9F" w:rsidRDefault="001470A0" w:rsidP="00DA5F7F">
      <w:pPr>
        <w:bidi/>
        <w:jc w:val="both"/>
        <w:rPr>
          <w:rFonts w:ascii="IRBadr" w:hAnsi="IRBadr" w:cs="IRBadr"/>
          <w:b/>
          <w:sz w:val="28"/>
          <w:rtl/>
        </w:rPr>
      </w:pPr>
      <w:r w:rsidRPr="00EA0D9F">
        <w:rPr>
          <w:rFonts w:ascii="IRBadr" w:hAnsi="IRBadr" w:cs="IRBadr"/>
          <w:b/>
          <w:sz w:val="28"/>
          <w:rtl/>
        </w:rPr>
        <w:t xml:space="preserve">امیدواریم خداوند به </w:t>
      </w:r>
      <w:r w:rsidR="00DD37E7">
        <w:rPr>
          <w:rFonts w:ascii="IRBadr" w:hAnsi="IRBadr" w:cs="IRBadr"/>
          <w:b/>
          <w:sz w:val="28"/>
          <w:rtl/>
        </w:rPr>
        <w:t>همهٔ</w:t>
      </w:r>
      <w:r w:rsidRPr="00EA0D9F">
        <w:rPr>
          <w:rFonts w:ascii="IRBadr" w:hAnsi="IRBadr" w:cs="IRBadr"/>
          <w:b/>
          <w:sz w:val="28"/>
          <w:rtl/>
        </w:rPr>
        <w:t xml:space="preserve"> ما توفیق شکر و عبادت و اطاعت الهی عنایت بفرماید.</w:t>
      </w:r>
    </w:p>
    <w:p w:rsidR="000937DE" w:rsidRPr="00EA0D9F" w:rsidRDefault="000937DE" w:rsidP="00EA0D9F">
      <w:pPr>
        <w:pStyle w:val="1"/>
        <w:rPr>
          <w:rtl/>
        </w:rPr>
      </w:pPr>
      <w:bookmarkStart w:id="2" w:name="_Toc427406301"/>
      <w:bookmarkStart w:id="3" w:name="_Toc427630418"/>
      <w:r w:rsidRPr="00EA0D9F">
        <w:rPr>
          <w:rtl/>
        </w:rPr>
        <w:t>عفو و گذشت</w:t>
      </w:r>
      <w:bookmarkEnd w:id="2"/>
      <w:bookmarkEnd w:id="3"/>
    </w:p>
    <w:p w:rsidR="000937DE" w:rsidRPr="00EA0D9F" w:rsidRDefault="0005458B" w:rsidP="00DA5F7F">
      <w:pPr>
        <w:bidi/>
        <w:jc w:val="both"/>
        <w:rPr>
          <w:rFonts w:ascii="IRBadr" w:hAnsi="IRBadr" w:cs="IRBadr"/>
          <w:b/>
          <w:sz w:val="28"/>
          <w:rtl/>
        </w:rPr>
      </w:pPr>
      <w:r w:rsidRPr="00EA0D9F">
        <w:rPr>
          <w:rFonts w:ascii="IRBadr" w:hAnsi="IRBadr" w:cs="IRBadr"/>
          <w:b/>
          <w:sz w:val="28"/>
          <w:rtl/>
        </w:rPr>
        <w:t>صفت عفو و</w:t>
      </w:r>
      <w:r w:rsidR="00CF4B62" w:rsidRPr="00EA0D9F">
        <w:rPr>
          <w:rFonts w:ascii="IRBadr" w:hAnsi="IRBadr" w:cs="IRBadr"/>
          <w:b/>
          <w:sz w:val="28"/>
          <w:rtl/>
        </w:rPr>
        <w:t xml:space="preserve"> </w:t>
      </w:r>
      <w:r w:rsidRPr="00EA0D9F">
        <w:rPr>
          <w:rFonts w:ascii="IRBadr" w:hAnsi="IRBadr" w:cs="IRBadr"/>
          <w:b/>
          <w:sz w:val="28"/>
          <w:rtl/>
        </w:rPr>
        <w:t>گذشت و بخشش از دیگران</w:t>
      </w:r>
      <w:r w:rsidR="00CF4B62" w:rsidRPr="00EA0D9F">
        <w:rPr>
          <w:rFonts w:ascii="IRBadr" w:hAnsi="IRBadr" w:cs="IRBadr"/>
          <w:b/>
          <w:sz w:val="28"/>
          <w:rtl/>
        </w:rPr>
        <w:t>،</w:t>
      </w:r>
      <w:r w:rsidRPr="00EA0D9F">
        <w:rPr>
          <w:rFonts w:ascii="IRBadr" w:hAnsi="IRBadr" w:cs="IRBadr"/>
          <w:b/>
          <w:sz w:val="28"/>
          <w:rtl/>
        </w:rPr>
        <w:t xml:space="preserve"> یک امر عامی است که خدا به آن توصیه کرده و یکی از اخلاقیات مهم اسلامی </w:t>
      </w:r>
      <w:r w:rsidR="00DD37E7">
        <w:rPr>
          <w:rFonts w:ascii="IRBadr" w:hAnsi="IRBadr" w:cs="IRBadr"/>
          <w:b/>
          <w:sz w:val="28"/>
          <w:rtl/>
        </w:rPr>
        <w:t>روح</w:t>
      </w:r>
      <w:r w:rsidR="00DD37E7">
        <w:rPr>
          <w:rFonts w:ascii="IRBadr" w:hAnsi="IRBadr" w:cs="IRBadr" w:hint="cs"/>
          <w:b/>
          <w:sz w:val="28"/>
          <w:rtl/>
        </w:rPr>
        <w:t>یهٔ</w:t>
      </w:r>
      <w:r w:rsidRPr="00EA0D9F">
        <w:rPr>
          <w:rFonts w:ascii="IRBadr" w:hAnsi="IRBadr" w:cs="IRBadr"/>
          <w:b/>
          <w:sz w:val="28"/>
          <w:rtl/>
        </w:rPr>
        <w:t xml:space="preserve"> گذشت و بخشش و عفو است.</w:t>
      </w:r>
    </w:p>
    <w:p w:rsidR="002A0037" w:rsidRPr="00EA0D9F" w:rsidRDefault="002A0037" w:rsidP="00DA5F7F">
      <w:pPr>
        <w:bidi/>
        <w:jc w:val="both"/>
        <w:rPr>
          <w:rFonts w:ascii="IRBadr" w:hAnsi="IRBadr" w:cs="IRBadr"/>
          <w:b/>
          <w:sz w:val="28"/>
          <w:rtl/>
        </w:rPr>
      </w:pPr>
      <w:r w:rsidRPr="00EA0D9F">
        <w:rPr>
          <w:rFonts w:ascii="IRBadr" w:hAnsi="IRBadr" w:cs="IRBadr"/>
          <w:b/>
          <w:sz w:val="28"/>
          <w:rtl/>
        </w:rPr>
        <w:t>قرآن تأکید زیادی دارد به اینکه انسان اهل عفو و بخشش باشد.</w:t>
      </w:r>
    </w:p>
    <w:p w:rsidR="002A0037" w:rsidRDefault="002A0037" w:rsidP="00DA5F7F">
      <w:pPr>
        <w:bidi/>
        <w:jc w:val="both"/>
        <w:rPr>
          <w:rFonts w:ascii="IRBadr" w:hAnsi="IRBadr" w:cs="IRBadr"/>
          <w:b/>
          <w:sz w:val="28"/>
          <w:rtl/>
        </w:rPr>
      </w:pPr>
      <w:r w:rsidRPr="00EA0D9F">
        <w:rPr>
          <w:rFonts w:ascii="IRBadr" w:hAnsi="IRBadr" w:cs="IRBadr"/>
          <w:bCs/>
          <w:sz w:val="28"/>
          <w:rtl/>
        </w:rPr>
        <w:t>«وَأَن تَعْفُواْ أَقْرَبُ لِلتَّقْوَ</w:t>
      </w:r>
      <w:r w:rsidR="009A7E1C" w:rsidRPr="00EA0D9F">
        <w:rPr>
          <w:rFonts w:ascii="IRBadr" w:hAnsi="IRBadr" w:cs="IRBadr"/>
          <w:bCs/>
          <w:sz w:val="28"/>
          <w:rtl/>
        </w:rPr>
        <w:t>ی</w:t>
      </w:r>
      <w:r w:rsidRPr="00EA0D9F">
        <w:rPr>
          <w:rFonts w:ascii="IRBadr" w:hAnsi="IRBadr" w:cs="IRBadr"/>
          <w:bCs/>
          <w:sz w:val="28"/>
          <w:rtl/>
        </w:rPr>
        <w:t>»</w:t>
      </w:r>
      <w:r w:rsidRPr="00EA0D9F">
        <w:rPr>
          <w:rStyle w:val="aff0"/>
          <w:rFonts w:ascii="IRBadr" w:hAnsi="IRBadr" w:cs="IRBadr"/>
          <w:bCs/>
          <w:sz w:val="28"/>
          <w:rtl/>
        </w:rPr>
        <w:footnoteReference w:id="3"/>
      </w:r>
      <w:r w:rsidRPr="00EA0D9F">
        <w:rPr>
          <w:rFonts w:ascii="IRBadr" w:hAnsi="IRBadr" w:cs="IRBadr"/>
          <w:b/>
          <w:sz w:val="28"/>
          <w:rtl/>
        </w:rPr>
        <w:t xml:space="preserve"> </w:t>
      </w:r>
      <w:r w:rsidR="004C5D82" w:rsidRPr="00EA0D9F">
        <w:rPr>
          <w:rFonts w:ascii="IRBadr" w:hAnsi="IRBadr" w:cs="IRBadr"/>
          <w:b/>
          <w:sz w:val="28"/>
          <w:rtl/>
        </w:rPr>
        <w:t xml:space="preserve">وقتی کسی مورد ظلمی قرار گرفت </w:t>
      </w:r>
      <w:r w:rsidR="009A7E1C" w:rsidRPr="00EA0D9F">
        <w:rPr>
          <w:rFonts w:ascii="IRBadr" w:hAnsi="IRBadr" w:cs="IRBadr"/>
          <w:b/>
          <w:sz w:val="28"/>
          <w:rtl/>
        </w:rPr>
        <w:t>می‌تواند</w:t>
      </w:r>
      <w:r w:rsidR="004C5D82" w:rsidRPr="00EA0D9F">
        <w:rPr>
          <w:rFonts w:ascii="IRBadr" w:hAnsi="IRBadr" w:cs="IRBadr"/>
          <w:b/>
          <w:sz w:val="28"/>
          <w:rtl/>
        </w:rPr>
        <w:t xml:space="preserve"> قصاص و </w:t>
      </w:r>
      <w:r w:rsidR="00373723" w:rsidRPr="00EA0D9F">
        <w:rPr>
          <w:rFonts w:ascii="IRBadr" w:hAnsi="IRBadr" w:cs="IRBadr"/>
          <w:b/>
          <w:sz w:val="28"/>
          <w:rtl/>
        </w:rPr>
        <w:t>مقابله‌به‌مثل</w:t>
      </w:r>
      <w:r w:rsidR="004C5D82" w:rsidRPr="00EA0D9F">
        <w:rPr>
          <w:rFonts w:ascii="IRBadr" w:hAnsi="IRBadr" w:cs="IRBadr"/>
          <w:b/>
          <w:sz w:val="28"/>
          <w:rtl/>
        </w:rPr>
        <w:t xml:space="preserve"> کند اما قرآن </w:t>
      </w:r>
      <w:r w:rsidR="009A7E1C" w:rsidRPr="00EA0D9F">
        <w:rPr>
          <w:rFonts w:ascii="IRBadr" w:hAnsi="IRBadr" w:cs="IRBadr"/>
          <w:b/>
          <w:sz w:val="28"/>
          <w:rtl/>
        </w:rPr>
        <w:t>می‌فرماید</w:t>
      </w:r>
      <w:r w:rsidR="004C5D82" w:rsidRPr="00EA0D9F">
        <w:rPr>
          <w:rFonts w:ascii="IRBadr" w:hAnsi="IRBadr" w:cs="IRBadr"/>
          <w:b/>
          <w:sz w:val="28"/>
          <w:rtl/>
        </w:rPr>
        <w:t xml:space="preserve"> اگر ببخشید به تقوا </w:t>
      </w:r>
      <w:r w:rsidR="00373723" w:rsidRPr="00EA0D9F">
        <w:rPr>
          <w:rFonts w:ascii="IRBadr" w:hAnsi="IRBadr" w:cs="IRBadr"/>
          <w:b/>
          <w:sz w:val="28"/>
          <w:rtl/>
        </w:rPr>
        <w:t>نزدیک‌تر</w:t>
      </w:r>
      <w:r w:rsidR="004C5D82" w:rsidRPr="00EA0D9F">
        <w:rPr>
          <w:rFonts w:ascii="IRBadr" w:hAnsi="IRBadr" w:cs="IRBadr"/>
          <w:b/>
          <w:sz w:val="28"/>
          <w:rtl/>
        </w:rPr>
        <w:t xml:space="preserve"> است.</w:t>
      </w:r>
    </w:p>
    <w:p w:rsidR="00DD37E7" w:rsidRPr="00DD37E7" w:rsidRDefault="00DD37E7" w:rsidP="00DD37E7">
      <w:pPr>
        <w:pStyle w:val="1"/>
        <w:rPr>
          <w:rtl/>
        </w:rPr>
      </w:pPr>
      <w:bookmarkStart w:id="4" w:name="_Toc427630419"/>
      <w:r w:rsidRPr="00DD37E7">
        <w:rPr>
          <w:rFonts w:hint="cs"/>
          <w:rtl/>
        </w:rPr>
        <w:t>عفو و گذشت در روایات</w:t>
      </w:r>
      <w:bookmarkEnd w:id="4"/>
    </w:p>
    <w:p w:rsidR="004C5D82" w:rsidRPr="00EA0D9F" w:rsidRDefault="004C5D82" w:rsidP="00DA5F7F">
      <w:pPr>
        <w:bidi/>
        <w:jc w:val="both"/>
        <w:rPr>
          <w:rFonts w:ascii="IRBadr" w:hAnsi="IRBadr" w:cs="IRBadr"/>
          <w:b/>
          <w:sz w:val="28"/>
          <w:rtl/>
        </w:rPr>
      </w:pPr>
      <w:r w:rsidRPr="00EA0D9F">
        <w:rPr>
          <w:rFonts w:ascii="IRBadr" w:hAnsi="IRBadr" w:cs="IRBadr"/>
          <w:b/>
          <w:sz w:val="28"/>
          <w:rtl/>
        </w:rPr>
        <w:t xml:space="preserve">عفو و گذشت در روایات هم </w:t>
      </w:r>
      <w:r w:rsidR="00373723" w:rsidRPr="00EA0D9F">
        <w:rPr>
          <w:rFonts w:ascii="IRBadr" w:hAnsi="IRBadr" w:cs="IRBadr"/>
          <w:b/>
          <w:sz w:val="28"/>
          <w:rtl/>
        </w:rPr>
        <w:t>فوق‌العاده</w:t>
      </w:r>
      <w:r w:rsidRPr="00EA0D9F">
        <w:rPr>
          <w:rFonts w:ascii="IRBadr" w:hAnsi="IRBadr" w:cs="IRBadr"/>
          <w:b/>
          <w:sz w:val="28"/>
          <w:rtl/>
        </w:rPr>
        <w:t xml:space="preserve"> تأکید و سفارش شده است.</w:t>
      </w:r>
    </w:p>
    <w:p w:rsidR="00B0682C" w:rsidRPr="00EA0D9F" w:rsidRDefault="00B0682C" w:rsidP="00DA5F7F">
      <w:pPr>
        <w:bidi/>
        <w:jc w:val="both"/>
        <w:rPr>
          <w:rFonts w:ascii="IRBadr" w:hAnsi="IRBadr" w:cs="IRBadr"/>
          <w:b/>
          <w:sz w:val="28"/>
          <w:rtl/>
        </w:rPr>
      </w:pPr>
      <w:r w:rsidRPr="00EA0D9F">
        <w:rPr>
          <w:rFonts w:ascii="IRBadr" w:hAnsi="IRBadr" w:cs="IRBadr"/>
          <w:b/>
          <w:sz w:val="28"/>
          <w:rtl/>
        </w:rPr>
        <w:t xml:space="preserve">در حدیثی از رسول گرامی اسلام (ص) نقل شده است: </w:t>
      </w:r>
      <w:r w:rsidRPr="00EA0D9F">
        <w:rPr>
          <w:rFonts w:ascii="IRBadr" w:hAnsi="IRBadr" w:cs="IRBadr"/>
          <w:bCs/>
          <w:sz w:val="28"/>
          <w:rtl/>
        </w:rPr>
        <w:t xml:space="preserve">«والعفو سر الله فی القلوب </w:t>
      </w:r>
      <w:r w:rsidR="0055547D" w:rsidRPr="00EA0D9F">
        <w:rPr>
          <w:rFonts w:ascii="IRBadr" w:hAnsi="IRBadr" w:cs="IRBadr"/>
          <w:bCs/>
          <w:sz w:val="28"/>
          <w:rtl/>
        </w:rPr>
        <w:t>قلوب خواصه ممن یسر له سره</w:t>
      </w:r>
      <w:r w:rsidRPr="00EA0D9F">
        <w:rPr>
          <w:rFonts w:ascii="IRBadr" w:hAnsi="IRBadr" w:cs="IRBadr"/>
          <w:bCs/>
          <w:sz w:val="28"/>
          <w:rtl/>
        </w:rPr>
        <w:t>»</w:t>
      </w:r>
      <w:r w:rsidRPr="00EA0D9F">
        <w:rPr>
          <w:rStyle w:val="aff0"/>
          <w:rFonts w:ascii="IRBadr" w:hAnsi="IRBadr" w:cs="IRBadr"/>
          <w:bCs/>
          <w:sz w:val="28"/>
          <w:rtl/>
        </w:rPr>
        <w:footnoteReference w:id="4"/>
      </w:r>
      <w:r w:rsidR="0055547D" w:rsidRPr="00EA0D9F">
        <w:rPr>
          <w:rFonts w:ascii="IRBadr" w:hAnsi="IRBadr" w:cs="IRBadr"/>
          <w:b/>
          <w:sz w:val="28"/>
          <w:rtl/>
        </w:rPr>
        <w:t xml:space="preserve"> عفو و گذشت سر خدا در </w:t>
      </w:r>
      <w:r w:rsidR="009A7E1C" w:rsidRPr="00EA0D9F">
        <w:rPr>
          <w:rFonts w:ascii="IRBadr" w:hAnsi="IRBadr" w:cs="IRBadr"/>
          <w:b/>
          <w:sz w:val="28"/>
          <w:rtl/>
        </w:rPr>
        <w:t>دل‌ها</w:t>
      </w:r>
      <w:r w:rsidR="0055547D" w:rsidRPr="00EA0D9F">
        <w:rPr>
          <w:rFonts w:ascii="IRBadr" w:hAnsi="IRBadr" w:cs="IRBadr"/>
          <w:b/>
          <w:sz w:val="28"/>
          <w:rtl/>
        </w:rPr>
        <w:t xml:space="preserve"> است</w:t>
      </w:r>
      <w:r w:rsidR="009A7E1C" w:rsidRPr="00EA0D9F">
        <w:rPr>
          <w:rFonts w:ascii="IRBadr" w:hAnsi="IRBadr" w:cs="IRBadr"/>
          <w:b/>
          <w:sz w:val="28"/>
          <w:rtl/>
        </w:rPr>
        <w:t>؛ که</w:t>
      </w:r>
      <w:r w:rsidR="0055547D" w:rsidRPr="00EA0D9F">
        <w:rPr>
          <w:rFonts w:ascii="IRBadr" w:hAnsi="IRBadr" w:cs="IRBadr"/>
          <w:b/>
          <w:sz w:val="28"/>
          <w:rtl/>
        </w:rPr>
        <w:t xml:space="preserve"> خدا در دل خواص از خودش و بندگان ممتاز و </w:t>
      </w:r>
      <w:r w:rsidR="00DD37E7">
        <w:rPr>
          <w:rFonts w:ascii="IRBadr" w:hAnsi="IRBadr" w:cs="IRBadr"/>
          <w:b/>
          <w:sz w:val="28"/>
          <w:rtl/>
        </w:rPr>
        <w:t>و</w:t>
      </w:r>
      <w:r w:rsidR="00DD37E7">
        <w:rPr>
          <w:rFonts w:ascii="IRBadr" w:hAnsi="IRBadr" w:cs="IRBadr" w:hint="cs"/>
          <w:b/>
          <w:sz w:val="28"/>
          <w:rtl/>
        </w:rPr>
        <w:t>یژهٔ</w:t>
      </w:r>
      <w:r w:rsidR="0055547D" w:rsidRPr="00EA0D9F">
        <w:rPr>
          <w:rFonts w:ascii="IRBadr" w:hAnsi="IRBadr" w:cs="IRBadr"/>
          <w:b/>
          <w:sz w:val="28"/>
          <w:rtl/>
        </w:rPr>
        <w:t xml:space="preserve"> خود قرار </w:t>
      </w:r>
      <w:r w:rsidR="009A7E1C" w:rsidRPr="00EA0D9F">
        <w:rPr>
          <w:rFonts w:ascii="IRBadr" w:hAnsi="IRBadr" w:cs="IRBadr"/>
          <w:b/>
          <w:sz w:val="28"/>
          <w:rtl/>
        </w:rPr>
        <w:t>می‌دهد</w:t>
      </w:r>
      <w:r w:rsidR="0055547D" w:rsidRPr="00EA0D9F">
        <w:rPr>
          <w:rFonts w:ascii="IRBadr" w:hAnsi="IRBadr" w:cs="IRBadr"/>
          <w:b/>
          <w:sz w:val="28"/>
          <w:rtl/>
        </w:rPr>
        <w:t>.</w:t>
      </w:r>
    </w:p>
    <w:p w:rsidR="0055547D" w:rsidRPr="00EA0D9F" w:rsidRDefault="009A7E1C" w:rsidP="00DA5F7F">
      <w:pPr>
        <w:bidi/>
        <w:jc w:val="both"/>
        <w:rPr>
          <w:rFonts w:ascii="IRBadr" w:hAnsi="IRBadr" w:cs="IRBadr"/>
          <w:b/>
          <w:sz w:val="28"/>
          <w:rtl/>
        </w:rPr>
      </w:pPr>
      <w:r w:rsidRPr="00EA0D9F">
        <w:rPr>
          <w:rFonts w:ascii="IRBadr" w:hAnsi="IRBadr" w:cs="IRBadr"/>
          <w:b/>
          <w:sz w:val="28"/>
          <w:rtl/>
        </w:rPr>
        <w:t>آدم‌های</w:t>
      </w:r>
      <w:r w:rsidR="0055547D" w:rsidRPr="00EA0D9F">
        <w:rPr>
          <w:rFonts w:ascii="IRBadr" w:hAnsi="IRBadr" w:cs="IRBadr"/>
          <w:b/>
          <w:sz w:val="28"/>
          <w:rtl/>
        </w:rPr>
        <w:t xml:space="preserve"> کوچک در ارتباط با مسائل شخصی خود </w:t>
      </w:r>
      <w:r w:rsidR="00373723" w:rsidRPr="00EA0D9F">
        <w:rPr>
          <w:rFonts w:ascii="IRBadr" w:hAnsi="IRBadr" w:cs="IRBadr"/>
          <w:b/>
          <w:sz w:val="28"/>
          <w:rtl/>
        </w:rPr>
        <w:t>سخت‌گیر</w:t>
      </w:r>
      <w:r w:rsidR="0055547D" w:rsidRPr="00EA0D9F">
        <w:rPr>
          <w:rFonts w:ascii="IRBadr" w:hAnsi="IRBadr" w:cs="IRBadr"/>
          <w:b/>
          <w:sz w:val="28"/>
          <w:rtl/>
        </w:rPr>
        <w:t xml:space="preserve"> هستند و اهل گذشت و </w:t>
      </w:r>
      <w:r w:rsidR="00373723" w:rsidRPr="00EA0D9F">
        <w:rPr>
          <w:rFonts w:ascii="IRBadr" w:hAnsi="IRBadr" w:cs="IRBadr"/>
          <w:b/>
          <w:sz w:val="28"/>
          <w:rtl/>
        </w:rPr>
        <w:t>اغماض</w:t>
      </w:r>
      <w:r w:rsidR="0055547D" w:rsidRPr="00EA0D9F">
        <w:rPr>
          <w:rFonts w:ascii="IRBadr" w:hAnsi="IRBadr" w:cs="IRBadr"/>
          <w:b/>
          <w:sz w:val="28"/>
          <w:rtl/>
        </w:rPr>
        <w:t xml:space="preserve"> نیستند. ولی </w:t>
      </w:r>
      <w:r w:rsidRPr="00EA0D9F">
        <w:rPr>
          <w:rFonts w:ascii="IRBadr" w:hAnsi="IRBadr" w:cs="IRBadr"/>
          <w:b/>
          <w:sz w:val="28"/>
          <w:rtl/>
        </w:rPr>
        <w:t>انسان‌های</w:t>
      </w:r>
      <w:r w:rsidR="0055547D" w:rsidRPr="00EA0D9F">
        <w:rPr>
          <w:rFonts w:ascii="IRBadr" w:hAnsi="IRBadr" w:cs="IRBadr"/>
          <w:b/>
          <w:sz w:val="28"/>
          <w:rtl/>
        </w:rPr>
        <w:t xml:space="preserve"> بزرگ اهل گذشت و عفو و بخشش هستند.</w:t>
      </w:r>
    </w:p>
    <w:p w:rsidR="00326CEB" w:rsidRPr="00EA0D9F" w:rsidRDefault="00373723" w:rsidP="00DA5F7F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EA0D9F">
        <w:rPr>
          <w:rFonts w:ascii="IRBadr" w:hAnsi="IRBadr" w:cs="IRBadr"/>
          <w:b/>
          <w:sz w:val="28"/>
          <w:szCs w:val="28"/>
          <w:rtl/>
        </w:rPr>
        <w:lastRenderedPageBreak/>
        <w:t>در حدیث</w:t>
      </w:r>
      <w:r w:rsidR="00326CEB" w:rsidRPr="00EA0D9F">
        <w:rPr>
          <w:rFonts w:ascii="IRBadr" w:hAnsi="IRBadr" w:cs="IRBadr"/>
          <w:b/>
          <w:sz w:val="28"/>
          <w:szCs w:val="28"/>
          <w:rtl/>
        </w:rPr>
        <w:t xml:space="preserve"> دیگری از امیرالمؤمنین (ع) نقل شده است: </w:t>
      </w:r>
      <w:r w:rsidR="00326CEB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«الْعَفْوُ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تَاجُ</w:t>
      </w:r>
      <w:r w:rsidR="00326CEB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الْمَکارِم</w:t>
      </w:r>
      <w:r w:rsidR="00326CEB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="00326CEB"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5"/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3A446C" w:rsidRPr="00EA0D9F">
        <w:rPr>
          <w:rFonts w:ascii="IRBadr" w:hAnsi="IRBadr" w:cs="IRBadr"/>
          <w:b/>
          <w:color w:val="000000"/>
          <w:sz w:val="28"/>
          <w:szCs w:val="28"/>
          <w:rtl/>
        </w:rPr>
        <w:t>عفو تاج فضائل اخلاقی است.</w:t>
      </w:r>
    </w:p>
    <w:p w:rsidR="003A446C" w:rsidRPr="00EA0D9F" w:rsidRDefault="003A446C" w:rsidP="00DA5F7F">
      <w:pPr>
        <w:pStyle w:val="aff2"/>
        <w:bidi/>
        <w:jc w:val="both"/>
        <w:rPr>
          <w:rFonts w:ascii="IRBadr" w:hAnsi="IRBadr" w:cs="IRBadr"/>
          <w:b/>
          <w:color w:val="000000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/>
          <w:sz w:val="28"/>
          <w:szCs w:val="28"/>
          <w:rtl/>
        </w:rPr>
        <w:t>«</w:t>
      </w:r>
      <w:r w:rsidRPr="00EA0D9F">
        <w:rPr>
          <w:rFonts w:ascii="IRBadr" w:eastAsiaTheme="minorHAnsi" w:hAnsi="IRBadr" w:cs="IRBadr"/>
          <w:bCs/>
          <w:sz w:val="28"/>
          <w:szCs w:val="28"/>
          <w:rtl/>
        </w:rPr>
        <w:t>من ال</w:t>
      </w:r>
      <w:r w:rsidR="009A7E1C" w:rsidRPr="00EA0D9F">
        <w:rPr>
          <w:rFonts w:ascii="IRBadr" w:eastAsiaTheme="minorHAnsi" w:hAnsi="IRBadr" w:cs="IRBadr"/>
          <w:bCs/>
          <w:sz w:val="28"/>
          <w:szCs w:val="28"/>
          <w:rtl/>
        </w:rPr>
        <w:t>ک</w:t>
      </w:r>
      <w:r w:rsidRPr="00EA0D9F">
        <w:rPr>
          <w:rFonts w:ascii="IRBadr" w:eastAsiaTheme="minorHAnsi" w:hAnsi="IRBadr" w:cs="IRBadr"/>
          <w:bCs/>
          <w:sz w:val="28"/>
          <w:szCs w:val="28"/>
          <w:rtl/>
        </w:rPr>
        <w:t>رم أن تتجاوز عن الاساءة ال</w:t>
      </w:r>
      <w:r w:rsidR="009A7E1C" w:rsidRPr="00EA0D9F">
        <w:rPr>
          <w:rFonts w:ascii="IRBadr" w:eastAsiaTheme="minorHAnsi" w:hAnsi="IRBadr" w:cs="IRBadr"/>
          <w:bCs/>
          <w:sz w:val="28"/>
          <w:szCs w:val="28"/>
          <w:rtl/>
        </w:rPr>
        <w:t>یک</w:t>
      </w:r>
      <w:r w:rsidRPr="00EA0D9F">
        <w:rPr>
          <w:rFonts w:ascii="IRBadr" w:hAnsi="IRBadr" w:cs="IRBadr"/>
          <w:bCs/>
          <w:color w:val="000000"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color w:val="000000"/>
          <w:sz w:val="28"/>
          <w:szCs w:val="28"/>
          <w:rtl/>
        </w:rPr>
        <w:footnoteReference w:id="6"/>
      </w:r>
      <w:r w:rsidR="00EC5722" w:rsidRPr="00EA0D9F">
        <w:rPr>
          <w:rFonts w:ascii="IRBadr" w:hAnsi="IRBadr" w:cs="IRBadr"/>
          <w:b/>
          <w:color w:val="000000"/>
          <w:sz w:val="28"/>
          <w:szCs w:val="28"/>
          <w:rtl/>
        </w:rPr>
        <w:t xml:space="preserve"> </w:t>
      </w:r>
      <w:r w:rsidR="00160A06" w:rsidRPr="00EA0D9F">
        <w:rPr>
          <w:rFonts w:ascii="IRBadr" w:hAnsi="IRBadr" w:cs="IRBadr"/>
          <w:b/>
          <w:color w:val="000000"/>
          <w:sz w:val="28"/>
          <w:szCs w:val="28"/>
          <w:rtl/>
        </w:rPr>
        <w:t xml:space="preserve">این از بزرگواری است که در مقابل </w:t>
      </w:r>
      <w:r w:rsidR="009A7E1C" w:rsidRPr="00EA0D9F">
        <w:rPr>
          <w:rFonts w:ascii="IRBadr" w:hAnsi="IRBadr" w:cs="IRBadr"/>
          <w:b/>
          <w:color w:val="000000"/>
          <w:sz w:val="28"/>
          <w:szCs w:val="28"/>
          <w:rtl/>
        </w:rPr>
        <w:t>بدی‌ها</w:t>
      </w:r>
      <w:r w:rsidR="00160A06" w:rsidRPr="00EA0D9F">
        <w:rPr>
          <w:rFonts w:ascii="IRBadr" w:hAnsi="IRBadr" w:cs="IRBadr"/>
          <w:b/>
          <w:color w:val="000000"/>
          <w:sz w:val="28"/>
          <w:szCs w:val="28"/>
          <w:rtl/>
        </w:rPr>
        <w:t xml:space="preserve"> ببخشی.</w:t>
      </w:r>
    </w:p>
    <w:p w:rsidR="008F7A5C" w:rsidRPr="00EA0D9F" w:rsidRDefault="008F7A5C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«الْعَفْوُ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أَحْسَنُ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الْإِحْسَانِ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7"/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بالاترین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احسان‌ها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عفو است.</w:t>
      </w:r>
    </w:p>
    <w:p w:rsidR="008F7A5C" w:rsidRPr="00EA0D9F" w:rsidRDefault="008F7A5C" w:rsidP="00DA5F7F">
      <w:pPr>
        <w:pStyle w:val="aff2"/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EA0D9F">
        <w:rPr>
          <w:rFonts w:ascii="IRBadr" w:hAnsi="IRBadr" w:cs="IRBadr"/>
          <w:bCs/>
          <w:sz w:val="28"/>
          <w:szCs w:val="28"/>
          <w:rtl/>
        </w:rPr>
        <w:t>«</w:t>
      </w:r>
      <w:r w:rsidR="009A7E1C" w:rsidRPr="00EA0D9F">
        <w:rPr>
          <w:rFonts w:ascii="IRBadr" w:hAnsi="IRBadr" w:cs="IRBadr"/>
          <w:bCs/>
          <w:sz w:val="28"/>
          <w:szCs w:val="28"/>
          <w:rtl/>
        </w:rPr>
        <w:t>أَشْرَفُ</w:t>
      </w:r>
      <w:r w:rsidRPr="00EA0D9F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Cs/>
          <w:sz w:val="28"/>
          <w:szCs w:val="28"/>
          <w:rtl/>
        </w:rPr>
        <w:t>خِصَالِ</w:t>
      </w:r>
      <w:r w:rsidRPr="00EA0D9F">
        <w:rPr>
          <w:rFonts w:ascii="IRBadr" w:hAnsi="IRBadr" w:cs="IRBadr"/>
          <w:bCs/>
          <w:sz w:val="28"/>
          <w:szCs w:val="28"/>
          <w:rtl/>
        </w:rPr>
        <w:t xml:space="preserve"> الْ</w:t>
      </w:r>
      <w:r w:rsidR="009A7E1C" w:rsidRPr="00EA0D9F">
        <w:rPr>
          <w:rFonts w:ascii="IRBadr" w:hAnsi="IRBadr" w:cs="IRBadr"/>
          <w:bCs/>
          <w:sz w:val="28"/>
          <w:szCs w:val="28"/>
          <w:rtl/>
        </w:rPr>
        <w:t>ک</w:t>
      </w:r>
      <w:r w:rsidRPr="00EA0D9F">
        <w:rPr>
          <w:rFonts w:ascii="IRBadr" w:hAnsi="IRBadr" w:cs="IRBadr"/>
          <w:bCs/>
          <w:sz w:val="28"/>
          <w:szCs w:val="28"/>
          <w:rtl/>
        </w:rPr>
        <w:t>رَمِ غَفْلَتُ</w:t>
      </w:r>
      <w:r w:rsidR="009A7E1C" w:rsidRPr="00EA0D9F">
        <w:rPr>
          <w:rFonts w:ascii="IRBadr" w:hAnsi="IRBadr" w:cs="IRBadr"/>
          <w:bCs/>
          <w:sz w:val="28"/>
          <w:szCs w:val="28"/>
          <w:rtl/>
        </w:rPr>
        <w:t>ک</w:t>
      </w:r>
      <w:r w:rsidRPr="00EA0D9F">
        <w:rPr>
          <w:rFonts w:ascii="IRBadr" w:hAnsi="IRBadr" w:cs="IRBadr"/>
          <w:bCs/>
          <w:sz w:val="28"/>
          <w:szCs w:val="28"/>
          <w:rtl/>
        </w:rPr>
        <w:t xml:space="preserve"> عَمَّا </w:t>
      </w:r>
      <w:r w:rsidR="009A7E1C" w:rsidRPr="00EA0D9F">
        <w:rPr>
          <w:rFonts w:ascii="IRBadr" w:hAnsi="IRBadr" w:cs="IRBadr"/>
          <w:bCs/>
          <w:sz w:val="28"/>
          <w:szCs w:val="28"/>
          <w:rtl/>
        </w:rPr>
        <w:t>تَعْلَم</w:t>
      </w:r>
      <w:r w:rsidRPr="00EA0D9F">
        <w:rPr>
          <w:rFonts w:ascii="IRBadr" w:hAnsi="IRBadr" w:cs="IRBadr"/>
          <w:bCs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sz w:val="28"/>
          <w:szCs w:val="28"/>
          <w:rtl/>
        </w:rPr>
        <w:footnoteReference w:id="8"/>
      </w:r>
      <w:r w:rsidRPr="00EA0D9F">
        <w:rPr>
          <w:rFonts w:ascii="IRBadr" w:hAnsi="IRBadr" w:cs="IRBadr"/>
          <w:b/>
          <w:sz w:val="28"/>
          <w:szCs w:val="28"/>
          <w:rtl/>
        </w:rPr>
        <w:t xml:space="preserve"> بالاترین </w:t>
      </w:r>
      <w:r w:rsidR="009A7E1C" w:rsidRPr="00EA0D9F">
        <w:rPr>
          <w:rFonts w:ascii="IRBadr" w:hAnsi="IRBadr" w:cs="IRBadr"/>
          <w:b/>
          <w:sz w:val="28"/>
          <w:szCs w:val="28"/>
          <w:rtl/>
        </w:rPr>
        <w:t>ویژگی‌ها</w:t>
      </w:r>
      <w:r w:rsidRPr="00EA0D9F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DD37E7">
        <w:rPr>
          <w:rFonts w:ascii="IRBadr" w:hAnsi="IRBadr" w:cs="IRBadr"/>
          <w:b/>
          <w:sz w:val="28"/>
          <w:szCs w:val="28"/>
          <w:rtl/>
        </w:rPr>
        <w:t>نشانهٔ</w:t>
      </w:r>
      <w:r w:rsidRPr="00EA0D9F">
        <w:rPr>
          <w:rFonts w:ascii="IRBadr" w:hAnsi="IRBadr" w:cs="IRBadr"/>
          <w:b/>
          <w:sz w:val="28"/>
          <w:szCs w:val="28"/>
          <w:rtl/>
        </w:rPr>
        <w:t xml:space="preserve"> بزرگواری این است که انسان از چیزهایی که </w:t>
      </w:r>
      <w:r w:rsidR="009A7E1C" w:rsidRPr="00EA0D9F">
        <w:rPr>
          <w:rFonts w:ascii="IRBadr" w:hAnsi="IRBadr" w:cs="IRBadr"/>
          <w:b/>
          <w:sz w:val="28"/>
          <w:szCs w:val="28"/>
          <w:rtl/>
        </w:rPr>
        <w:t>می‌داند</w:t>
      </w:r>
      <w:r w:rsidRPr="00EA0D9F">
        <w:rPr>
          <w:rFonts w:ascii="IRBadr" w:hAnsi="IRBadr" w:cs="IRBadr"/>
          <w:b/>
          <w:sz w:val="28"/>
          <w:szCs w:val="28"/>
          <w:rtl/>
        </w:rPr>
        <w:t xml:space="preserve"> چشم بپوشد و عفو کند </w:t>
      </w:r>
      <w:r w:rsidR="00373723" w:rsidRPr="00EA0D9F">
        <w:rPr>
          <w:rFonts w:ascii="IRBadr" w:hAnsi="IRBadr" w:cs="IRBadr"/>
          <w:b/>
          <w:sz w:val="28"/>
          <w:szCs w:val="28"/>
          <w:rtl/>
        </w:rPr>
        <w:t>به‌گونه‌ای</w:t>
      </w:r>
      <w:r w:rsidRPr="00EA0D9F">
        <w:rPr>
          <w:rFonts w:ascii="IRBadr" w:hAnsi="IRBadr" w:cs="IRBadr"/>
          <w:b/>
          <w:sz w:val="28"/>
          <w:szCs w:val="28"/>
          <w:rtl/>
        </w:rPr>
        <w:t xml:space="preserve"> که گویا نفهمیده است.</w:t>
      </w:r>
    </w:p>
    <w:p w:rsidR="008F7A5C" w:rsidRPr="00EA0D9F" w:rsidRDefault="00CF71F0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«إنّ اللَّه تعال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عفوّ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یحبّ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العفو»</w:t>
      </w:r>
      <w:r w:rsidR="00040A54"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9"/>
      </w:r>
      <w:r w:rsidR="00040A54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خداوند اهل عفو و بخشش است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؛ و</w:t>
      </w:r>
      <w:r w:rsidR="00922290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به همین دلیل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انسان‌های</w:t>
      </w:r>
      <w:r w:rsidR="00922290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مهربان و بخشنده را هم دوست </w:t>
      </w:r>
      <w:r w:rsidR="00373723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می‌دارد</w:t>
      </w:r>
      <w:r w:rsidR="00922290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922290" w:rsidRPr="00EA0D9F" w:rsidRDefault="00922290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در حدیثی آمده که در روز قیامت خداوند </w:t>
      </w:r>
      <w:r w:rsidR="00373723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آن‌قدر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می‌بخشد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که گاهی افراد تصور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می‌کنند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که </w:t>
      </w:r>
      <w:r w:rsidR="00373723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هیچ‌کسی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باقی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نمی‌ماند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مگر آنکه مورد عفو خدا قرار گرفته باشد.</w:t>
      </w:r>
    </w:p>
    <w:p w:rsidR="005A2F7E" w:rsidRPr="00EA0D9F" w:rsidRDefault="005A2F7E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Pr="00EA0D9F">
        <w:rPr>
          <w:rFonts w:ascii="IRBadr" w:hAnsi="IRBadr" w:cs="IRBadr"/>
          <w:bCs/>
          <w:sz w:val="28"/>
          <w:szCs w:val="28"/>
          <w:rtl/>
        </w:rPr>
        <w:t>العَفْوُ زَ</w:t>
      </w:r>
      <w:r w:rsidR="009A7E1C" w:rsidRPr="00EA0D9F">
        <w:rPr>
          <w:rFonts w:ascii="IRBadr" w:hAnsi="IRBadr" w:cs="IRBadr"/>
          <w:bCs/>
          <w:sz w:val="28"/>
          <w:szCs w:val="28"/>
          <w:rtl/>
        </w:rPr>
        <w:t>ی</w:t>
      </w:r>
      <w:r w:rsidRPr="00EA0D9F">
        <w:rPr>
          <w:rFonts w:ascii="IRBadr" w:hAnsi="IRBadr" w:cs="IRBadr"/>
          <w:bCs/>
          <w:sz w:val="28"/>
          <w:szCs w:val="28"/>
          <w:rtl/>
        </w:rPr>
        <w:t>نُ القُدرَةِ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0"/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BC39E7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عفو زمان </w:t>
      </w:r>
      <w:r w:rsidR="0032019D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قدرت</w:t>
      </w:r>
      <w:r w:rsidR="00BC39E7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،</w:t>
      </w:r>
      <w:r w:rsidR="0032019D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دارای ارزش است.</w:t>
      </w:r>
      <w:r w:rsidR="00BC39E7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اگر توانمند ببخشاید کار او خیلی ارزش دارد.</w:t>
      </w:r>
    </w:p>
    <w:p w:rsidR="00E76A36" w:rsidRPr="00EA0D9F" w:rsidRDefault="00E76A36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«قِلَّةُ الْعَفْوِ أَقْبَحُ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الْعُیوب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1"/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زشت‌ترین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عیب‌ها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این است که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آدم‌ها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اهل بخشش نباشند.</w:t>
      </w:r>
    </w:p>
    <w:p w:rsidR="005B088F" w:rsidRPr="00EA0D9F" w:rsidRDefault="009A7E1C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="005B088F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وَ التَّسَرُّعُ إِلَ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="005B088F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الِانْتِقَامِ أَعْظَمُ الذُّنُوبِ»</w:t>
      </w:r>
      <w:r w:rsidR="005B088F"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2"/>
      </w:r>
      <w:r w:rsidR="005B088F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5B088F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بالاترین گناهان </w:t>
      </w:r>
      <w:r w:rsidR="00CF4B62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این </w:t>
      </w:r>
      <w:r w:rsidR="005B088F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است که سریع به سمت انتقام بروند. 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آدم‌های</w:t>
      </w:r>
      <w:r w:rsidR="005B088F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بزرگ و دارای صفت اخلاقی کسانی هستند که اگر هم 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می‌خواهند</w:t>
      </w:r>
      <w:r w:rsidR="005B088F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انتقام بگیر</w:t>
      </w:r>
      <w:r w:rsidR="00CF4B62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ن</w:t>
      </w:r>
      <w:r w:rsidR="005B088F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د، با صبر و درایت است و در آن </w:t>
      </w:r>
      <w:r w:rsidR="00373723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تسریعی</w:t>
      </w:r>
      <w:r w:rsidR="005B088F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ندار</w:t>
      </w:r>
      <w:r w:rsidR="00CF4B62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ن</w:t>
      </w:r>
      <w:r w:rsidR="005B088F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د.</w:t>
      </w:r>
    </w:p>
    <w:p w:rsidR="005B088F" w:rsidRPr="00EA0D9F" w:rsidRDefault="006E07FE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«ظَفَرُ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الْکرَامِ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عَفْوٌ وَ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إِحْسَان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3"/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پیروزی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آدم‌های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بزرگ این است که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می‌بخشند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 بزرگواری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می‌کنند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9500BE" w:rsidRPr="00EA0D9F" w:rsidRDefault="009500BE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lastRenderedPageBreak/>
        <w:t xml:space="preserve">از پیامبر گرامی اسلام (ص) نقل شده است: در </w:t>
      </w:r>
      <w:r w:rsidR="00373723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هیچ‌چیزی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قصاص قرار داده نشده مگر اینکه پیامبر خدا (ص) </w:t>
      </w:r>
      <w:r w:rsidR="00DD37E7">
        <w:rPr>
          <w:rFonts w:ascii="IRBadr" w:hAnsi="IRBadr" w:cs="IRBadr"/>
          <w:b/>
          <w:color w:val="000000" w:themeColor="text1"/>
          <w:sz w:val="28"/>
          <w:szCs w:val="28"/>
          <w:rtl/>
        </w:rPr>
        <w:t>توص</w:t>
      </w:r>
      <w:r w:rsidR="00DD37E7">
        <w:rPr>
          <w:rFonts w:ascii="IRBadr" w:hAnsi="IRBadr" w:cs="IRBadr" w:hint="cs"/>
          <w:b/>
          <w:color w:val="000000" w:themeColor="text1"/>
          <w:sz w:val="28"/>
          <w:szCs w:val="28"/>
          <w:rtl/>
        </w:rPr>
        <w:t>ی</w:t>
      </w:r>
      <w:r w:rsidR="00DD37E7">
        <w:rPr>
          <w:rFonts w:ascii="IRBadr" w:hAnsi="IRBadr" w:cs="IRBadr" w:hint="eastAsia"/>
          <w:b/>
          <w:color w:val="000000" w:themeColor="text1"/>
          <w:sz w:val="28"/>
          <w:szCs w:val="28"/>
          <w:rtl/>
        </w:rPr>
        <w:t>هٔ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به عفو کرد.</w:t>
      </w:r>
    </w:p>
    <w:p w:rsidR="00020659" w:rsidRPr="00EA0D9F" w:rsidRDefault="00020659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«شَرُّ النَّاسِ مَنْ لَا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عْفُو عَنِ الزَّلَّةِ وَ لَا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سْتُرُ الْعَوْرَة»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4"/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پست‌ترین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آدم‌ها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کسانی هستند که حاضر نیستند از لغزش دیگران بگذرند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؛ و</w:t>
      </w:r>
      <w:r w:rsidR="00E53835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اسرار دیگران را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نمی‌پوشانند</w:t>
      </w:r>
      <w:r w:rsidR="00E53835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7761E2" w:rsidRPr="00EA0D9F" w:rsidRDefault="007761E2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«مَنْ عَفَا عَنْ الْجَرَائِمِ فَقَدْ أَخَذَ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بِجَوَامِعِ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الْفَضْل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5"/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کسی که اشتباهات دیگران را ببخشد </w:t>
      </w:r>
      <w:r w:rsidR="00DD37E7">
        <w:rPr>
          <w:rFonts w:ascii="IRBadr" w:hAnsi="IRBadr" w:cs="IRBadr"/>
          <w:b/>
          <w:color w:val="000000" w:themeColor="text1"/>
          <w:sz w:val="28"/>
          <w:szCs w:val="28"/>
          <w:rtl/>
        </w:rPr>
        <w:t>همهٔ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فضیلت‌های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اخلاقی را در خود جمع کرده است.</w:t>
      </w:r>
    </w:p>
    <w:p w:rsidR="007761E2" w:rsidRPr="00EA0D9F" w:rsidRDefault="00807F8B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«َالْ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ک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اظِمِ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نَ الْغَ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ظَ وَالْعَافِ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نَ عَنِ النَّاسِ»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6"/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</w:t>
      </w:r>
      <w:r w:rsidR="00C217BD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کسانی که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خشم‌ها</w:t>
      </w:r>
      <w:r w:rsidR="00C217BD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را در خود </w:t>
      </w:r>
      <w:r w:rsidR="00373723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فرومی‌برند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و</w:t>
      </w:r>
      <w:r w:rsidR="00C217BD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با بزرگواری از دیگران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می‌گذرند</w:t>
      </w:r>
      <w:r w:rsidR="00C217BD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8C2CD9" w:rsidRPr="00EA0D9F" w:rsidRDefault="008C2CD9" w:rsidP="00DA5F7F">
      <w:pPr>
        <w:pStyle w:val="aff2"/>
        <w:bidi/>
        <w:jc w:val="both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«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شَیئَانِ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لَا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یوزَنُ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ثَوَابُهُمَا الْعَفْوُ وَ </w:t>
      </w:r>
      <w:r w:rsidR="009A7E1C"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الْعَدْل</w:t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>»</w:t>
      </w:r>
      <w:r w:rsidRPr="00EA0D9F">
        <w:rPr>
          <w:rStyle w:val="aff0"/>
          <w:rFonts w:ascii="IRBadr" w:hAnsi="IRBadr" w:cs="IRBadr"/>
          <w:bCs/>
          <w:color w:val="000000" w:themeColor="text1"/>
          <w:sz w:val="28"/>
          <w:szCs w:val="28"/>
          <w:rtl/>
        </w:rPr>
        <w:footnoteReference w:id="17"/>
      </w:r>
      <w:r w:rsidRPr="00EA0D9F">
        <w:rPr>
          <w:rFonts w:ascii="IRBadr" w:hAnsi="IRBadr" w:cs="IRBadr"/>
          <w:bCs/>
          <w:color w:val="000000" w:themeColor="text1"/>
          <w:sz w:val="28"/>
          <w:szCs w:val="28"/>
          <w:rtl/>
        </w:rPr>
        <w:t xml:space="preserve"> 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دو چیز است که ثواب </w:t>
      </w:r>
      <w:r w:rsidR="00373723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هیچ‌چیزی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 به آن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نمی‌رسد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 xml:space="preserve">، یکی گذشت و دیگری عدالت که این دو همدیگر را تکمیل </w:t>
      </w:r>
      <w:r w:rsidR="009A7E1C"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می‌کنند</w:t>
      </w:r>
      <w:r w:rsidRPr="00EA0D9F">
        <w:rPr>
          <w:rFonts w:ascii="IRBadr" w:hAnsi="IRBadr" w:cs="IRBadr"/>
          <w:b/>
          <w:color w:val="000000" w:themeColor="text1"/>
          <w:sz w:val="28"/>
          <w:szCs w:val="28"/>
          <w:rtl/>
        </w:rPr>
        <w:t>.</w:t>
      </w:r>
    </w:p>
    <w:p w:rsidR="002F77DE" w:rsidRPr="00EA0D9F" w:rsidRDefault="00A27E04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در حقوق عمومی و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ارزش‌های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اخلاقی عام جامعه و تکالیف الهی جای گذشت نیست، اما چیزی که به خود ما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برمی‌گردد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>،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هنر</w:t>
      </w:r>
      <w:r w:rsidR="00F7756A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انسان است که ببخشد.</w:t>
      </w:r>
    </w:p>
    <w:p w:rsidR="00F95DF5" w:rsidRPr="00EA0D9F" w:rsidRDefault="00F95DF5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بلندترین تعبیر درباره عفو و گذشت تعبیری است که پیامبر (ص) فرمود: عفو راز خداوند در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دل‌ها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است.</w:t>
      </w:r>
    </w:p>
    <w:p w:rsidR="009571FE" w:rsidRPr="00EA0D9F" w:rsidRDefault="009571FE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عفو از غضب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برمی‌خیزد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>و این غضب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نمی‌گذارد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که انسان سمت گذشت و ایثار برود.</w:t>
      </w:r>
    </w:p>
    <w:p w:rsidR="00AA38CB" w:rsidRPr="00EA0D9F" w:rsidRDefault="0074393F" w:rsidP="00EA0D9F">
      <w:pPr>
        <w:pStyle w:val="1"/>
        <w:rPr>
          <w:rtl/>
        </w:rPr>
      </w:pPr>
      <w:bookmarkStart w:id="5" w:name="_Toc427406302"/>
      <w:bookmarkStart w:id="6" w:name="_Toc427630420"/>
      <w:r w:rsidRPr="00EA0D9F">
        <w:rPr>
          <w:rtl/>
        </w:rPr>
        <w:t xml:space="preserve">تفاوت </w:t>
      </w:r>
      <w:r w:rsidR="00373723" w:rsidRPr="00EA0D9F">
        <w:rPr>
          <w:rtl/>
        </w:rPr>
        <w:t>انتقام‌گیری</w:t>
      </w:r>
      <w:r w:rsidRPr="00EA0D9F">
        <w:rPr>
          <w:rtl/>
        </w:rPr>
        <w:t xml:space="preserve"> با عفو و گذشت</w:t>
      </w:r>
      <w:bookmarkEnd w:id="5"/>
      <w:bookmarkEnd w:id="6"/>
    </w:p>
    <w:p w:rsidR="009C39D7" w:rsidRPr="00EA0D9F" w:rsidRDefault="009C39D7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نگذشتن ابتدا جالب و خوشایند است ولی بعد انسان احساس ناخوشایندی پیدا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می‌کند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و گاهی از کاری که انجام داده ناراحت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می‌شود؛ 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>اما بخشش و بزرگواری مقابله با آتش درون است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که ابتدا خیلی سخت است ولی بعد دنیای زیبایی به روی او باز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می‌شود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و احساس آرامش و خوشایندی به او دست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می‌دهد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>.</w:t>
      </w:r>
    </w:p>
    <w:p w:rsidR="00741E44" w:rsidRPr="00EA0D9F" w:rsidRDefault="00DD37E7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>
        <w:rPr>
          <w:rFonts w:ascii="IRBadr" w:hAnsi="IRBadr" w:cs="IRBadr"/>
          <w:b/>
          <w:color w:val="000000" w:themeColor="text1"/>
          <w:sz w:val="28"/>
          <w:rtl/>
        </w:rPr>
        <w:t>روح</w:t>
      </w:r>
      <w:r>
        <w:rPr>
          <w:rFonts w:ascii="IRBadr" w:hAnsi="IRBadr" w:cs="IRBadr" w:hint="cs"/>
          <w:b/>
          <w:color w:val="000000" w:themeColor="text1"/>
          <w:sz w:val="28"/>
          <w:rtl/>
        </w:rPr>
        <w:t>یهٔ</w:t>
      </w:r>
      <w:r w:rsidR="00750088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عفو و گذشت از حقوق شخصی </w:t>
      </w:r>
      <w:r w:rsidR="00DA2F7D">
        <w:rPr>
          <w:rFonts w:ascii="IRBadr" w:hAnsi="IRBadr" w:cs="IRBadr" w:hint="cs"/>
          <w:b/>
          <w:color w:val="000000" w:themeColor="text1"/>
          <w:sz w:val="28"/>
          <w:rtl/>
        </w:rPr>
        <w:t xml:space="preserve">و </w:t>
      </w:r>
      <w:r w:rsidR="00750088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از بالاترین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ارزش‌های</w:t>
      </w:r>
      <w:r w:rsidR="00750088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اجتماعی اسلام است که در خانه و محیط جامعه به آن تأکید شده است.</w:t>
      </w:r>
    </w:p>
    <w:p w:rsidR="00096777" w:rsidRDefault="00096777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خدایا به ما توفیق رعایت اخلاق اسلامی در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همهٔ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شئون زندگی کرامت بفرما.</w:t>
      </w:r>
    </w:p>
    <w:p w:rsidR="00CB6EB0" w:rsidRPr="00962ECF" w:rsidRDefault="00CB6EB0" w:rsidP="00CB6EB0">
      <w:pPr>
        <w:bidi/>
        <w:spacing w:before="100" w:beforeAutospacing="1" w:after="100" w:afterAutospacing="1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962ECF">
        <w:rPr>
          <w:rFonts w:ascii="Traditional Arabic" w:eastAsia="Times New Roman" w:hAnsi="Traditional Arabic" w:cs="Traditional Arabic" w:hint="cs"/>
          <w:color w:val="000000"/>
          <w:sz w:val="30"/>
          <w:szCs w:val="30"/>
          <w:rtl/>
        </w:rPr>
        <w:t>بِسْمِ اللَّهِ الرَّحْمنِ الرَّحيمِ‏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0"/>
          <w:szCs w:val="30"/>
          <w:rtl/>
        </w:rPr>
        <w:t>قُلْ هُوَ اللَّهُ أَحَدٌ اللَّهُ الصَّمَدُلَمْ يَلِدْ وَ لَمْ يُولَدْ</w:t>
      </w:r>
      <w:r>
        <w:rPr>
          <w:rStyle w:val="aff0"/>
          <w:rFonts w:ascii="Traditional Arabic" w:eastAsia="Times New Roman" w:hAnsi="Traditional Arabic" w:cs="Traditional Arabic"/>
          <w:color w:val="000000"/>
          <w:sz w:val="30"/>
          <w:szCs w:val="30"/>
          <w:rtl/>
        </w:rPr>
        <w:footnoteReference w:id="18"/>
      </w:r>
    </w:p>
    <w:p w:rsidR="00CB6EB0" w:rsidRPr="00EA0D9F" w:rsidRDefault="00CB6EB0" w:rsidP="00CB6EB0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bookmarkStart w:id="7" w:name="_GoBack"/>
      <w:bookmarkEnd w:id="7"/>
    </w:p>
    <w:p w:rsidR="00A73976" w:rsidRDefault="00A73976" w:rsidP="00EA0D9F">
      <w:pPr>
        <w:pStyle w:val="1"/>
        <w:rPr>
          <w:rtl/>
        </w:rPr>
      </w:pPr>
      <w:bookmarkStart w:id="8" w:name="_Toc427406303"/>
      <w:bookmarkStart w:id="9" w:name="_Toc427630421"/>
      <w:r w:rsidRPr="00EA0D9F">
        <w:rPr>
          <w:rtl/>
        </w:rPr>
        <w:t>خطبه دوم</w:t>
      </w:r>
      <w:bookmarkEnd w:id="8"/>
      <w:bookmarkEnd w:id="9"/>
    </w:p>
    <w:p w:rsidR="00DD37E7" w:rsidRPr="00455965" w:rsidRDefault="00DD37E7" w:rsidP="00DD37E7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/>
          <w:b/>
          <w:bCs/>
          <w:sz w:val="28"/>
          <w:rtl/>
        </w:rPr>
        <w:t>«</w:t>
      </w:r>
      <w:r w:rsidRPr="00DD37E7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وَقُولُوا قَوْلًا سَدِیدًا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EA0D9F">
        <w:rPr>
          <w:rStyle w:val="aff0"/>
          <w:rFonts w:ascii="IRBadr" w:hAnsi="IRBadr" w:cs="IRBadr"/>
          <w:b/>
          <w:sz w:val="28"/>
          <w:rtl/>
        </w:rPr>
        <w:footnoteReference w:id="19"/>
      </w:r>
      <w:r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D37E7" w:rsidRPr="00DD37E7" w:rsidRDefault="00DD37E7" w:rsidP="00DD37E7">
      <w:pPr>
        <w:bidi/>
        <w:jc w:val="both"/>
        <w:rPr>
          <w:rtl/>
        </w:rPr>
      </w:pPr>
    </w:p>
    <w:p w:rsidR="007E6D17" w:rsidRPr="00EA0D9F" w:rsidRDefault="00DD37E7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>
        <w:rPr>
          <w:rFonts w:ascii="IRBadr" w:hAnsi="IRBadr" w:cs="IRBadr"/>
          <w:b/>
          <w:color w:val="000000" w:themeColor="text1"/>
          <w:sz w:val="28"/>
          <w:rtl/>
        </w:rPr>
        <w:t>همهٔ</w:t>
      </w:r>
      <w:r w:rsidR="00CB7F25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شما برادران و خواهران نمازگزار را به پارسایی و پرهیزکاری، تهذیب نفس و اصلاح اخلاق سفارش و دعوت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می‌کنم</w:t>
      </w:r>
      <w:r w:rsidR="00CB7F25" w:rsidRPr="00EA0D9F">
        <w:rPr>
          <w:rFonts w:ascii="IRBadr" w:hAnsi="IRBadr" w:cs="IRBadr"/>
          <w:b/>
          <w:color w:val="000000" w:themeColor="text1"/>
          <w:sz w:val="28"/>
          <w:rtl/>
        </w:rPr>
        <w:t>.</w:t>
      </w:r>
    </w:p>
    <w:p w:rsidR="00CB7F25" w:rsidRPr="00EA0D9F" w:rsidRDefault="00CB7F25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امیدواریم خداوند به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همهٔ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ما توفیق وارستگی کامل کرامت بفرماید.</w:t>
      </w:r>
    </w:p>
    <w:p w:rsidR="00CB7F25" w:rsidRPr="00EA0D9F" w:rsidRDefault="00BA2A0D" w:rsidP="00EA0D9F">
      <w:pPr>
        <w:pStyle w:val="1"/>
        <w:rPr>
          <w:rtl/>
        </w:rPr>
      </w:pPr>
      <w:bookmarkStart w:id="10" w:name="_Toc427406304"/>
      <w:bookmarkStart w:id="11" w:name="_Toc427630422"/>
      <w:r w:rsidRPr="00EA0D9F">
        <w:rPr>
          <w:rtl/>
        </w:rPr>
        <w:t xml:space="preserve">شهادت </w:t>
      </w:r>
      <w:r w:rsidR="00CB7F25" w:rsidRPr="00EA0D9F">
        <w:rPr>
          <w:rtl/>
        </w:rPr>
        <w:t>امام جعفر صادق (ع)</w:t>
      </w:r>
      <w:bookmarkEnd w:id="10"/>
      <w:bookmarkEnd w:id="11"/>
    </w:p>
    <w:p w:rsidR="00CB7F25" w:rsidRPr="00EA0D9F" w:rsidRDefault="004B6E0F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25 شوال سالروز شهادت امام ششم حضرت امام صادق (ع) را به شما عاشقان ولایت و مشتاقان امامت تسلیت عرض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می‌کنم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>.</w:t>
      </w:r>
    </w:p>
    <w:p w:rsidR="004B6E0F" w:rsidRPr="00EA0D9F" w:rsidRDefault="004B6E0F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امام صادق (ع)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در میان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ائمه (ع) از یک جایگاه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ویژه‌ای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به لحاظ گسترش مذهب و نشر معارف الهی و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اهل‌بیت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برخوردار هستند.</w:t>
      </w:r>
    </w:p>
    <w:p w:rsidR="004B6E0F" w:rsidRPr="00EA0D9F" w:rsidRDefault="004B6E0F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شرایط و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اوضاع‌واحوال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اجتماعی در مقطعی از عمر شریف امام صادق (ع) اقتضای یک آزادی بیشتری کرد تا آن حضرت در نشر معارف الهی و پرورش شاگردان بزرگ تلاش بیشتری بورزند.</w:t>
      </w:r>
    </w:p>
    <w:p w:rsidR="004B6E0F" w:rsidRPr="00EA0D9F" w:rsidRDefault="00DD37E7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>
        <w:rPr>
          <w:rFonts w:ascii="IRBadr" w:hAnsi="IRBadr" w:cs="IRBadr"/>
          <w:b/>
          <w:color w:val="000000" w:themeColor="text1"/>
          <w:sz w:val="28"/>
          <w:rtl/>
        </w:rPr>
        <w:t>دورهٔ</w:t>
      </w:r>
      <w:r w:rsidR="004B6E0F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امامت امام صادق (ع) یک </w:t>
      </w:r>
      <w:r>
        <w:rPr>
          <w:rFonts w:ascii="IRBadr" w:hAnsi="IRBadr" w:cs="IRBadr"/>
          <w:b/>
          <w:color w:val="000000" w:themeColor="text1"/>
          <w:sz w:val="28"/>
          <w:rtl/>
        </w:rPr>
        <w:t>دورهٔ</w:t>
      </w:r>
      <w:r w:rsidR="004B6E0F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بیش از سی سال است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؛ که</w:t>
      </w:r>
      <w:r w:rsidR="00B317A7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عمدتاً در مدینه بودند.</w:t>
      </w:r>
    </w:p>
    <w:p w:rsidR="002376BD" w:rsidRPr="00EA0D9F" w:rsidRDefault="002376BD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امام صادق (ع) انواع مشکلات و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سختی‌ها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را تحمل کردند و منصور عباسی که در یک مقطع طولانی از عمر امامت ایشان معاصر امام (ع) بود،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خل</w:t>
      </w:r>
      <w:r w:rsidR="00DD37E7">
        <w:rPr>
          <w:rFonts w:ascii="IRBadr" w:hAnsi="IRBadr" w:cs="IRBadr" w:hint="cs"/>
          <w:b/>
          <w:color w:val="000000" w:themeColor="text1"/>
          <w:sz w:val="28"/>
          <w:rtl/>
        </w:rPr>
        <w:t>یفهٔ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جسوری بود و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جسارت‌های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مختلفی از این خلیفه نسبت به مقام والای امام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صادق (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ع)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نقل‌شده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که بسیار دردآور است.</w:t>
      </w:r>
    </w:p>
    <w:p w:rsidR="002376BD" w:rsidRPr="00EA0D9F" w:rsidRDefault="002376BD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lastRenderedPageBreak/>
        <w:t xml:space="preserve">امام صادق (ع) در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دورهٔ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عمر شریفشان معارف اسلام و حقایق دین را به احسن وجه تبیین و نشر دادند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؛ و</w:t>
      </w:r>
      <w:r w:rsidR="0043390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تعداد شاگردانی که امام صادق (ع) تربیت کرده است تا 4000 هم برشمرده شده است.</w:t>
      </w:r>
    </w:p>
    <w:p w:rsidR="00273AE6" w:rsidRPr="00EA0D9F" w:rsidRDefault="00273AE6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امام صادق (ع) از نظر عمق معارف الهی و تبیین و نشر آن جایگاه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ویژه‌ای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دارند که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رتبهٔ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بعد از آن امام باقر (ع) قرار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می‌گیرد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و این مجال برای سایر ائمه پیدا نشد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؛ و</w:t>
      </w:r>
      <w:r w:rsidR="00351E0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از نظر میراثی که از ائمه (ع) </w:t>
      </w:r>
      <w:r w:rsidR="008475A8">
        <w:rPr>
          <w:rFonts w:ascii="IRBadr" w:hAnsi="IRBadr" w:cs="IRBadr"/>
          <w:b/>
          <w:color w:val="000000" w:themeColor="text1"/>
          <w:sz w:val="28"/>
          <w:rtl/>
        </w:rPr>
        <w:t>باق</w:t>
      </w:r>
      <w:r w:rsidR="008475A8">
        <w:rPr>
          <w:rFonts w:ascii="IRBadr" w:hAnsi="IRBadr" w:cs="IRBadr" w:hint="cs"/>
          <w:b/>
          <w:color w:val="000000" w:themeColor="text1"/>
          <w:sz w:val="28"/>
          <w:rtl/>
        </w:rPr>
        <w:t>ی‌مانده</w:t>
      </w:r>
      <w:r w:rsidR="00351E0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است بالاترین ارث و تعداد حدیث و اخبار و بیشترین توفیق در پرورش شاگردان بزرگ برای نشر معارف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اهل‌بیت</w:t>
      </w:r>
      <w:r w:rsidR="00351E0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از آن امام صادق (ع) است.</w:t>
      </w:r>
    </w:p>
    <w:p w:rsidR="002B4A87" w:rsidRPr="00EA0D9F" w:rsidRDefault="00CB2902" w:rsidP="00EA0D9F">
      <w:pPr>
        <w:pStyle w:val="1"/>
        <w:rPr>
          <w:rtl/>
        </w:rPr>
      </w:pPr>
      <w:bookmarkStart w:id="12" w:name="_Toc427406305"/>
      <w:bookmarkStart w:id="13" w:name="_Toc427630423"/>
      <w:r w:rsidRPr="00EA0D9F">
        <w:rPr>
          <w:rtl/>
        </w:rPr>
        <w:t>روز 13 آبان</w:t>
      </w:r>
      <w:bookmarkEnd w:id="12"/>
      <w:bookmarkEnd w:id="13"/>
    </w:p>
    <w:p w:rsidR="00CB2902" w:rsidRPr="00EA0D9F" w:rsidRDefault="0057110E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13 آبان </w:t>
      </w:r>
      <w:r w:rsidR="00607929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روز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تسخیر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لانهٔ</w:t>
      </w:r>
      <w:r w:rsidR="00607929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جاسوسی، روز تبعید امام (ره) به ترکیه و هم روز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دانش‌آموز</w:t>
      </w:r>
      <w:r w:rsidR="00607929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است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؛ و</w:t>
      </w:r>
      <w:r w:rsidR="007A4A46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این روز یادآور زمانی است که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همهٔ</w:t>
      </w:r>
      <w:r w:rsidR="007A4A46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قدرت‌های</w:t>
      </w:r>
      <w:r w:rsidR="007A4A46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عالم تصمیم گرفتند صدای مرجعیت شیعه، صدای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حوزهٔ</w:t>
      </w:r>
      <w:r w:rsidR="007A4A46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قم و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7A4A46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عالم بزرگی مانند امام (ره) را به خیال خودشان خفه کنند. </w:t>
      </w:r>
      <w:r w:rsidR="00264907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اسناد نشان داده است که تصمیم به تبعید و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محاصرهٔ</w:t>
      </w:r>
      <w:r w:rsidR="00264907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امام (ره) از آمریکا طراحی شد و شاه آن را اجرا کرد.</w:t>
      </w:r>
    </w:p>
    <w:p w:rsidR="00A15710" w:rsidRPr="00EA0D9F" w:rsidRDefault="00A15710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>13 آبان روز شر</w:t>
      </w:r>
      <w:r w:rsidR="00797C31" w:rsidRPr="00EA0D9F">
        <w:rPr>
          <w:rFonts w:ascii="IRBadr" w:hAnsi="IRBadr" w:cs="IRBadr"/>
          <w:b/>
          <w:color w:val="000000" w:themeColor="text1"/>
          <w:sz w:val="28"/>
          <w:rtl/>
        </w:rPr>
        <w:t>وع تبعید امام (ره) از ایران،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مدتی</w:t>
      </w:r>
      <w:r w:rsidR="0081658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در ترکیه و بعد هم به نجف بود.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ازاین‌جهت</w:t>
      </w:r>
      <w:r w:rsidR="0081658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روز 13 آبان یادآور این شخصیت بزرگ و جور و جفا و ستمی </w:t>
      </w:r>
      <w:r w:rsidR="00BE3E0A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است </w:t>
      </w:r>
      <w:r w:rsidR="0081658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که بر ملت ایران و ایشان روا داشتند. از طرف دیگر روز 13 آبان یادآور تسخیر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لانهٔ</w:t>
      </w:r>
      <w:r w:rsidR="0081658B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جاسوسی است که از وقایع مهم تاریخ معاصر ایران است.</w:t>
      </w:r>
    </w:p>
    <w:p w:rsidR="00AE6E83" w:rsidRPr="00EA0D9F" w:rsidRDefault="00AE6E83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تسخیر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لانهٔ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جاسوسی اصولاً روابط دنیای اسلام را با آمریکا وارد یک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مرحلهٔ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جدیدی کرد. برای اینکه اسناد آنجا نشان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می‌داد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که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علی‌رغم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عظمت انقلاب اسلامی و میل و آرای مردم به </w:t>
      </w:r>
      <w:r w:rsidR="00323BC0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فکر 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>کودتا و نفوذ بودند.</w:t>
      </w:r>
    </w:p>
    <w:p w:rsidR="00A660E5" w:rsidRPr="00EA0D9F" w:rsidRDefault="00A660E5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تسخیر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لانهٔ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جاسوسی اقتدار ملت ایران بود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؛ و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روز مبارزه با استکبار نامیده شده است.</w:t>
      </w:r>
    </w:p>
    <w:p w:rsidR="0067456D" w:rsidRPr="00EA0D9F" w:rsidRDefault="0067456D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روز 13 آبان روز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دانش‌آموز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هم است و این روز را گرامی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می‌داریم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. حضور دانش آموزان عزیز در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صحنه‌های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مختلف انقلاب را باید قدر دانست.</w:t>
      </w:r>
    </w:p>
    <w:p w:rsidR="0067456D" w:rsidRPr="00EA0D9F" w:rsidRDefault="0067456D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امیدواریم دانش آموزان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به‌عنوان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گوهرهای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گران‌بها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موردتوجه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جامعه،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خانواده‌ها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و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آموزش‌وپرورش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قرار بگیرد.</w:t>
      </w:r>
    </w:p>
    <w:p w:rsidR="0067456D" w:rsidRPr="00EA0D9F" w:rsidRDefault="0067456D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قدرت دانش آموزان و دانشجویان ما قدرت بزرگی بوده و کارهای بزرگی در این انقلاب انجام داده و امروز باید نسل نوجوان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و جوان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ما در مسیر پیشرفت علمی کشور، استقلال،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آزادی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و عظمت کشور به کار گرفته شود.</w:t>
      </w:r>
    </w:p>
    <w:p w:rsidR="008A15CF" w:rsidRPr="00EA0D9F" w:rsidRDefault="008A15CF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انتظاری که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جامعهٔ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ما از مراکز دانشگاهی و علمی و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همهٔ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کسانی که در جامعه حضور دارند حفظ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ارزش‌های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اسلامی است.</w:t>
      </w:r>
    </w:p>
    <w:p w:rsidR="00E53933" w:rsidRPr="00EA0D9F" w:rsidRDefault="00E53933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اگر فرهنگ </w:t>
      </w:r>
      <w:r w:rsidR="00DD37E7">
        <w:rPr>
          <w:rFonts w:ascii="IRBadr" w:hAnsi="IRBadr" w:cs="IRBadr"/>
          <w:b/>
          <w:color w:val="000000" w:themeColor="text1"/>
          <w:sz w:val="28"/>
          <w:rtl/>
        </w:rPr>
        <w:t>جامعهٔ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ما </w:t>
      </w:r>
      <w:r w:rsidR="00373723" w:rsidRPr="00EA0D9F">
        <w:rPr>
          <w:rFonts w:ascii="IRBadr" w:hAnsi="IRBadr" w:cs="IRBadr"/>
          <w:b/>
          <w:color w:val="000000" w:themeColor="text1"/>
          <w:sz w:val="28"/>
          <w:rtl/>
        </w:rPr>
        <w:t>امربه‌معروف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 xml:space="preserve"> و نهی منکر باشد و با زبان و رفتار خوش و توجیه درست تلاش کنند. جلوی خیلی از مشکلات گرفته </w:t>
      </w:r>
      <w:r w:rsidR="009A7E1C" w:rsidRPr="00EA0D9F">
        <w:rPr>
          <w:rFonts w:ascii="IRBadr" w:hAnsi="IRBadr" w:cs="IRBadr"/>
          <w:b/>
          <w:color w:val="000000" w:themeColor="text1"/>
          <w:sz w:val="28"/>
          <w:rtl/>
        </w:rPr>
        <w:t>می‌شود</w:t>
      </w:r>
      <w:r w:rsidRPr="00EA0D9F">
        <w:rPr>
          <w:rFonts w:ascii="IRBadr" w:hAnsi="IRBadr" w:cs="IRBadr"/>
          <w:b/>
          <w:color w:val="000000" w:themeColor="text1"/>
          <w:sz w:val="28"/>
          <w:rtl/>
        </w:rPr>
        <w:t>.</w:t>
      </w:r>
    </w:p>
    <w:p w:rsidR="00DD37E7" w:rsidRPr="00455965" w:rsidRDefault="00DD37E7" w:rsidP="00DD37E7">
      <w:pPr>
        <w:jc w:val="right"/>
        <w:rPr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</w:t>
      </w:r>
      <w:r w:rsidR="000241E1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اهله.</w:t>
      </w:r>
    </w:p>
    <w:p w:rsidR="00CB6EB0" w:rsidRPr="0034434F" w:rsidRDefault="00CB6EB0" w:rsidP="00CB6EB0">
      <w:pPr>
        <w:pStyle w:val="aff3"/>
        <w:rPr>
          <w:rFonts w:ascii="IRBadr" w:hAnsi="IRBadr" w:cs="IRBadr"/>
          <w:b/>
          <w:bCs/>
          <w:szCs w:val="28"/>
        </w:rPr>
      </w:pPr>
      <w:r w:rsidRPr="0034434F">
        <w:rPr>
          <w:rFonts w:ascii="IRBadr" w:hAnsi="IRBadr" w:cs="IRBadr"/>
          <w:b/>
          <w:bCs/>
          <w:szCs w:val="28"/>
          <w:rtl/>
        </w:rPr>
        <w:t>«بِسْمِ اللّهِ الرَّحْمَنِ الرَّحِیمِ، إِنَّا أَعْطَینَاک الْکوْثَرَ، فَصَلِّ لِرَبِّک وَانْحَرْ، إِنَّ شَانِئَک هُوَ الْأَبْتَرُ».</w:t>
      </w:r>
      <w:r w:rsidRPr="0034434F">
        <w:rPr>
          <w:rStyle w:val="aff0"/>
          <w:rFonts w:ascii="IRBadr" w:hAnsi="IRBadr" w:cs="IRBadr"/>
          <w:b/>
          <w:bCs/>
          <w:szCs w:val="28"/>
          <w:rtl/>
        </w:rPr>
        <w:footnoteReference w:id="20"/>
      </w:r>
    </w:p>
    <w:p w:rsidR="00235205" w:rsidRPr="00EA0D9F" w:rsidRDefault="00235205" w:rsidP="00DA5F7F">
      <w:pPr>
        <w:bidi/>
        <w:jc w:val="both"/>
        <w:rPr>
          <w:rFonts w:ascii="IRBadr" w:hAnsi="IRBadr" w:cs="IRBadr"/>
          <w:b/>
          <w:color w:val="000000" w:themeColor="text1"/>
          <w:sz w:val="28"/>
          <w:rtl/>
        </w:rPr>
      </w:pPr>
    </w:p>
    <w:sectPr w:rsidR="00235205" w:rsidRPr="00EA0D9F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20" w:rsidRDefault="00937820" w:rsidP="000D5800">
      <w:r>
        <w:separator/>
      </w:r>
    </w:p>
  </w:endnote>
  <w:endnote w:type="continuationSeparator" w:id="0">
    <w:p w:rsidR="00937820" w:rsidRDefault="0093782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7" w:rsidRDefault="00DD37E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7" w:rsidRDefault="00DD37E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20" w:rsidRDefault="00937820" w:rsidP="00181AA3">
      <w:pPr>
        <w:bidi/>
      </w:pPr>
      <w:r>
        <w:separator/>
      </w:r>
    </w:p>
  </w:footnote>
  <w:footnote w:type="continuationSeparator" w:id="0">
    <w:p w:rsidR="00937820" w:rsidRDefault="00937820" w:rsidP="000D5800">
      <w:r>
        <w:continuationSeparator/>
      </w:r>
    </w:p>
  </w:footnote>
  <w:footnote w:id="1">
    <w:p w:rsidR="00EA0D9F" w:rsidRPr="00EA0D9F" w:rsidRDefault="00EA0D9F" w:rsidP="00EA0D9F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EA0D9F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EA0D9F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EA0D9F" w:rsidRPr="00EA0D9F" w:rsidRDefault="00EA0D9F" w:rsidP="00EA0D9F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EA0D9F">
        <w:rPr>
          <w:rFonts w:ascii="IRBadr" w:hAnsi="IRBadr" w:cs="IRBadr"/>
          <w:b/>
          <w:sz w:val="22"/>
          <w:szCs w:val="22"/>
          <w:rtl/>
        </w:rPr>
        <w:t>آل‌عمران، آیه 102</w:t>
      </w:r>
    </w:p>
  </w:footnote>
  <w:footnote w:id="3">
    <w:p w:rsidR="002A0037" w:rsidRPr="00EA0D9F" w:rsidRDefault="002A0037" w:rsidP="00EA0D9F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DD37E7">
        <w:rPr>
          <w:rFonts w:ascii="IRBadr" w:hAnsi="IRBadr" w:cs="IRBadr"/>
          <w:b/>
          <w:sz w:val="22"/>
          <w:szCs w:val="22"/>
        </w:rPr>
        <w:t xml:space="preserve"> </w:t>
      </w:r>
      <w:r w:rsidR="00EA0D9F">
        <w:rPr>
          <w:rFonts w:ascii="IRBadr" w:hAnsi="IRBadr" w:cs="IRBadr"/>
          <w:b/>
          <w:sz w:val="22"/>
          <w:szCs w:val="22"/>
          <w:rtl/>
        </w:rPr>
        <w:t>سو</w:t>
      </w:r>
      <w:r w:rsidR="00EA0D9F">
        <w:rPr>
          <w:rFonts w:ascii="IRBadr" w:hAnsi="IRBadr" w:cs="IRBadr" w:hint="cs"/>
          <w:b/>
          <w:sz w:val="22"/>
          <w:szCs w:val="22"/>
          <w:rtl/>
        </w:rPr>
        <w:t>ر</w:t>
      </w:r>
      <w:r w:rsidRPr="00EA0D9F">
        <w:rPr>
          <w:rFonts w:ascii="IRBadr" w:hAnsi="IRBadr" w:cs="IRBadr"/>
          <w:b/>
          <w:sz w:val="22"/>
          <w:szCs w:val="22"/>
          <w:rtl/>
        </w:rPr>
        <w:t>ه بقره</w:t>
      </w:r>
      <w:r w:rsidR="00EA0D9F">
        <w:rPr>
          <w:rFonts w:ascii="IRBadr" w:hAnsi="IRBadr" w:cs="IRBadr" w:hint="cs"/>
          <w:b/>
          <w:sz w:val="22"/>
          <w:szCs w:val="22"/>
          <w:rtl/>
        </w:rPr>
        <w:t>،</w:t>
      </w:r>
      <w:r w:rsidRPr="00EA0D9F">
        <w:rPr>
          <w:rFonts w:ascii="IRBadr" w:hAnsi="IRBadr" w:cs="IRBadr"/>
          <w:b/>
          <w:sz w:val="22"/>
          <w:szCs w:val="22"/>
          <w:rtl/>
        </w:rPr>
        <w:t xml:space="preserve"> آیه 237</w:t>
      </w:r>
    </w:p>
  </w:footnote>
  <w:footnote w:id="4">
    <w:p w:rsidR="00B0682C" w:rsidRPr="00EA0D9F" w:rsidRDefault="00B0682C" w:rsidP="00DA2F7D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="009A7E1C" w:rsidRPr="00EA0D9F">
        <w:rPr>
          <w:rFonts w:ascii="IRBadr" w:hAnsi="IRBadr" w:cs="IRBadr"/>
          <w:b/>
          <w:sz w:val="22"/>
          <w:szCs w:val="22"/>
          <w:rtl/>
        </w:rPr>
        <w:t>سفینة‌البحار</w:t>
      </w:r>
      <w:r w:rsidR="00EA0D9F">
        <w:rPr>
          <w:rFonts w:ascii="IRBadr" w:hAnsi="IRBadr" w:cs="IRBadr" w:hint="cs"/>
          <w:b/>
          <w:sz w:val="22"/>
          <w:szCs w:val="22"/>
          <w:rtl/>
        </w:rPr>
        <w:t xml:space="preserve">، </w:t>
      </w:r>
      <w:r w:rsidR="00DA2F7D">
        <w:rPr>
          <w:rFonts w:ascii="IRBadr" w:hAnsi="IRBadr" w:cs="IRBadr" w:hint="cs"/>
          <w:b/>
          <w:sz w:val="22"/>
          <w:szCs w:val="22"/>
          <w:rtl/>
        </w:rPr>
        <w:t xml:space="preserve">ج6، </w:t>
      </w:r>
      <w:r w:rsidR="00B212A7" w:rsidRPr="00EA0D9F">
        <w:rPr>
          <w:rFonts w:ascii="IRBadr" w:hAnsi="IRBadr" w:cs="IRBadr"/>
          <w:b/>
          <w:sz w:val="22"/>
          <w:szCs w:val="22"/>
          <w:rtl/>
        </w:rPr>
        <w:t xml:space="preserve">ص </w:t>
      </w:r>
      <w:r w:rsidR="00DA2F7D">
        <w:rPr>
          <w:rFonts w:ascii="IRBadr" w:hAnsi="IRBadr" w:cs="IRBadr" w:hint="cs"/>
          <w:b/>
          <w:sz w:val="22"/>
          <w:szCs w:val="22"/>
          <w:rtl/>
        </w:rPr>
        <w:t>305</w:t>
      </w:r>
    </w:p>
  </w:footnote>
  <w:footnote w:id="5">
    <w:p w:rsidR="00326CEB" w:rsidRPr="00EA0D9F" w:rsidRDefault="00326CEB" w:rsidP="00BA2A0D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Pr="00EA0D9F">
        <w:rPr>
          <w:rFonts w:ascii="IRBadr" w:hAnsi="IRBadr" w:cs="IRBadr"/>
          <w:b/>
          <w:sz w:val="22"/>
          <w:szCs w:val="22"/>
        </w:rPr>
        <w:t xml:space="preserve"> </w:t>
      </w:r>
      <w:r w:rsidR="00373723" w:rsidRPr="00EA0D9F">
        <w:rPr>
          <w:rFonts w:ascii="IRBadr" w:hAnsi="IRBadr" w:cs="IRBadr"/>
          <w:b/>
          <w:sz w:val="22"/>
          <w:szCs w:val="22"/>
          <w:rtl/>
        </w:rPr>
        <w:t>غررالحکم</w:t>
      </w:r>
      <w:r w:rsidRPr="00EA0D9F">
        <w:rPr>
          <w:rFonts w:ascii="IRBadr" w:hAnsi="IRBadr" w:cs="IRBadr"/>
          <w:b/>
          <w:sz w:val="22"/>
          <w:szCs w:val="22"/>
          <w:rtl/>
        </w:rPr>
        <w:t xml:space="preserve"> و </w:t>
      </w:r>
      <w:r w:rsidR="00165C67" w:rsidRPr="00EA0D9F">
        <w:rPr>
          <w:rFonts w:ascii="IRBadr" w:hAnsi="IRBadr" w:cs="IRBadr"/>
          <w:b/>
          <w:sz w:val="22"/>
          <w:szCs w:val="22"/>
          <w:rtl/>
        </w:rPr>
        <w:t>درر</w:t>
      </w:r>
      <w:r w:rsidRPr="00EA0D9F">
        <w:rPr>
          <w:rFonts w:ascii="IRBadr" w:hAnsi="IRBadr" w:cs="IRBadr"/>
          <w:b/>
          <w:sz w:val="22"/>
          <w:szCs w:val="22"/>
          <w:rtl/>
        </w:rPr>
        <w:t>ال</w:t>
      </w:r>
      <w:r w:rsidR="009A7E1C" w:rsidRPr="00EA0D9F">
        <w:rPr>
          <w:rFonts w:ascii="IRBadr" w:hAnsi="IRBadr" w:cs="IRBadr"/>
          <w:b/>
          <w:sz w:val="22"/>
          <w:szCs w:val="22"/>
          <w:rtl/>
        </w:rPr>
        <w:t>ک</w:t>
      </w:r>
      <w:r w:rsidRPr="00EA0D9F">
        <w:rPr>
          <w:rFonts w:ascii="IRBadr" w:hAnsi="IRBadr" w:cs="IRBadr"/>
          <w:b/>
          <w:sz w:val="22"/>
          <w:szCs w:val="22"/>
          <w:rtl/>
        </w:rPr>
        <w:t>لم،</w:t>
      </w:r>
      <w:r w:rsidR="009A7E1C" w:rsidRPr="00EA0D9F">
        <w:rPr>
          <w:rFonts w:ascii="IRBadr" w:hAnsi="IRBadr" w:cs="IRBadr"/>
          <w:b/>
          <w:sz w:val="22"/>
          <w:szCs w:val="22"/>
          <w:rtl/>
        </w:rPr>
        <w:t xml:space="preserve"> ص</w:t>
      </w:r>
      <w:r w:rsidRPr="00EA0D9F">
        <w:rPr>
          <w:rFonts w:ascii="IRBadr" w:hAnsi="IRBadr" w:cs="IRBadr"/>
          <w:b/>
          <w:sz w:val="22"/>
          <w:szCs w:val="22"/>
          <w:rtl/>
        </w:rPr>
        <w:t xml:space="preserve"> 36</w:t>
      </w:r>
    </w:p>
  </w:footnote>
  <w:footnote w:id="6">
    <w:p w:rsidR="003A446C" w:rsidRPr="00EA0D9F" w:rsidRDefault="003A446C" w:rsidP="00BA2A0D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Pr="00EA0D9F">
        <w:rPr>
          <w:rFonts w:ascii="IRBadr" w:hAnsi="IRBadr" w:cs="IRBadr"/>
          <w:b/>
          <w:sz w:val="22"/>
          <w:szCs w:val="22"/>
        </w:rPr>
        <w:t xml:space="preserve"> </w:t>
      </w:r>
      <w:r w:rsidR="00373723" w:rsidRPr="00EA0D9F">
        <w:rPr>
          <w:rFonts w:ascii="IRBadr" w:hAnsi="IRBadr" w:cs="IRBadr"/>
          <w:b/>
          <w:sz w:val="22"/>
          <w:szCs w:val="22"/>
          <w:rtl/>
        </w:rPr>
        <w:t>غررالحکم</w:t>
      </w:r>
      <w:r w:rsidR="00165C67" w:rsidRPr="00EA0D9F">
        <w:rPr>
          <w:rFonts w:ascii="IRBadr" w:hAnsi="IRBadr" w:cs="IRBadr"/>
          <w:b/>
          <w:sz w:val="22"/>
          <w:szCs w:val="22"/>
          <w:rtl/>
        </w:rPr>
        <w:t xml:space="preserve"> و درر</w:t>
      </w:r>
      <w:r w:rsidR="00EC5722" w:rsidRPr="00EA0D9F">
        <w:rPr>
          <w:rFonts w:ascii="IRBadr" w:hAnsi="IRBadr" w:cs="IRBadr"/>
          <w:b/>
          <w:sz w:val="22"/>
          <w:szCs w:val="22"/>
          <w:rtl/>
        </w:rPr>
        <w:t>الکلم</w:t>
      </w:r>
      <w:r w:rsidR="00EA0D9F">
        <w:rPr>
          <w:rFonts w:ascii="IRBadr" w:hAnsi="IRBadr" w:cs="IRBadr" w:hint="cs"/>
          <w:b/>
          <w:sz w:val="22"/>
          <w:szCs w:val="22"/>
          <w:rtl/>
        </w:rPr>
        <w:t xml:space="preserve">، </w:t>
      </w:r>
      <w:r w:rsidR="00EC5722" w:rsidRPr="00EA0D9F">
        <w:rPr>
          <w:rFonts w:ascii="IRBadr" w:hAnsi="IRBadr" w:cs="IRBadr"/>
          <w:b/>
          <w:sz w:val="22"/>
          <w:szCs w:val="22"/>
          <w:rtl/>
        </w:rPr>
        <w:t>ج 6</w:t>
      </w:r>
    </w:p>
  </w:footnote>
  <w:footnote w:id="7">
    <w:p w:rsidR="008F7A5C" w:rsidRPr="00EA0D9F" w:rsidRDefault="008F7A5C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hint="cs"/>
          <w:rtl/>
        </w:rPr>
        <w:t>.</w:t>
      </w:r>
      <w:r w:rsidRPr="00BA2A0D">
        <w:t xml:space="preserve"> </w:t>
      </w:r>
      <w:r w:rsidRPr="00EA0D9F">
        <w:rPr>
          <w:rFonts w:ascii="IRBadr" w:hAnsi="IRBadr" w:cs="IRBadr"/>
          <w:sz w:val="22"/>
          <w:szCs w:val="22"/>
          <w:rtl/>
        </w:rPr>
        <w:t>ع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ون الح</w:t>
      </w:r>
      <w:r w:rsidR="009A7E1C" w:rsidRPr="00EA0D9F">
        <w:rPr>
          <w:rFonts w:ascii="IRBadr" w:hAnsi="IRBadr" w:cs="IRBadr"/>
          <w:sz w:val="22"/>
          <w:szCs w:val="22"/>
          <w:rtl/>
        </w:rPr>
        <w:t>ک</w:t>
      </w:r>
      <w:r w:rsidRPr="00EA0D9F">
        <w:rPr>
          <w:rFonts w:ascii="IRBadr" w:hAnsi="IRBadr" w:cs="IRBadr"/>
          <w:sz w:val="22"/>
          <w:szCs w:val="22"/>
          <w:rtl/>
        </w:rPr>
        <w:t>م و المواعظ (لل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ث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)،</w:t>
      </w:r>
      <w:r w:rsidR="009A7E1C" w:rsidRPr="00EA0D9F">
        <w:rPr>
          <w:rFonts w:ascii="IRBadr" w:hAnsi="IRBadr" w:cs="IRBadr"/>
          <w:sz w:val="22"/>
          <w:szCs w:val="22"/>
          <w:rtl/>
        </w:rPr>
        <w:t xml:space="preserve"> ص</w:t>
      </w:r>
      <w:r w:rsidRPr="00EA0D9F">
        <w:rPr>
          <w:rFonts w:ascii="IRBadr" w:hAnsi="IRBadr" w:cs="IRBadr"/>
          <w:sz w:val="22"/>
          <w:szCs w:val="22"/>
          <w:rtl/>
        </w:rPr>
        <w:t xml:space="preserve"> 27</w:t>
      </w:r>
    </w:p>
  </w:footnote>
  <w:footnote w:id="8">
    <w:p w:rsidR="008F7A5C" w:rsidRPr="00EA0D9F" w:rsidRDefault="008F7A5C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sz w:val="22"/>
          <w:szCs w:val="22"/>
          <w:rtl/>
        </w:rPr>
        <w:t xml:space="preserve">. </w:t>
      </w:r>
      <w:r w:rsidR="00DD37E7">
        <w:rPr>
          <w:rFonts w:ascii="IRBadr" w:hAnsi="IRBadr" w:cs="IRBadr"/>
          <w:sz w:val="22"/>
          <w:szCs w:val="22"/>
          <w:rtl/>
        </w:rPr>
        <w:t>بحارالأنوار</w:t>
      </w:r>
      <w:r w:rsidRPr="00EA0D9F">
        <w:rPr>
          <w:rFonts w:ascii="IRBadr" w:hAnsi="IRBadr" w:cs="IRBadr"/>
          <w:sz w:val="22"/>
          <w:szCs w:val="22"/>
          <w:rtl/>
        </w:rPr>
        <w:t xml:space="preserve"> (ط - ب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 xml:space="preserve">روت)، </w:t>
      </w:r>
      <w:r w:rsidR="009A7E1C" w:rsidRPr="00EA0D9F">
        <w:rPr>
          <w:rFonts w:ascii="IRBadr" w:hAnsi="IRBadr" w:cs="IRBadr"/>
          <w:sz w:val="22"/>
          <w:szCs w:val="22"/>
          <w:rtl/>
        </w:rPr>
        <w:t>ج 68</w:t>
      </w:r>
      <w:r w:rsidRPr="00EA0D9F">
        <w:rPr>
          <w:rFonts w:ascii="IRBadr" w:hAnsi="IRBadr" w:cs="IRBadr"/>
          <w:sz w:val="22"/>
          <w:szCs w:val="22"/>
          <w:rtl/>
        </w:rPr>
        <w:t>،</w:t>
      </w:r>
      <w:r w:rsidR="009A7E1C" w:rsidRPr="00EA0D9F">
        <w:rPr>
          <w:rFonts w:ascii="IRBadr" w:hAnsi="IRBadr" w:cs="IRBadr"/>
          <w:sz w:val="22"/>
          <w:szCs w:val="22"/>
          <w:rtl/>
        </w:rPr>
        <w:t xml:space="preserve"> ص</w:t>
      </w:r>
      <w:r w:rsidRPr="00EA0D9F">
        <w:rPr>
          <w:rFonts w:ascii="IRBadr" w:hAnsi="IRBadr" w:cs="IRBadr"/>
          <w:sz w:val="22"/>
          <w:szCs w:val="22"/>
          <w:rtl/>
        </w:rPr>
        <w:t xml:space="preserve"> 427</w:t>
      </w:r>
    </w:p>
  </w:footnote>
  <w:footnote w:id="9">
    <w:p w:rsidR="00040A54" w:rsidRPr="00EA0D9F" w:rsidRDefault="00040A54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sz w:val="22"/>
          <w:szCs w:val="22"/>
          <w:rtl/>
        </w:rPr>
        <w:t xml:space="preserve">. </w:t>
      </w:r>
      <w:r w:rsidR="00DD37E7">
        <w:rPr>
          <w:rFonts w:ascii="IRBadr" w:hAnsi="IRBadr" w:cs="IRBadr"/>
          <w:sz w:val="22"/>
          <w:szCs w:val="22"/>
          <w:rtl/>
        </w:rPr>
        <w:t>نهج‌الفصاحة</w:t>
      </w:r>
      <w:r w:rsidRPr="00EA0D9F">
        <w:rPr>
          <w:rFonts w:ascii="IRBadr" w:hAnsi="IRBadr" w:cs="IRBadr"/>
          <w:sz w:val="22"/>
          <w:szCs w:val="22"/>
          <w:rtl/>
        </w:rPr>
        <w:t xml:space="preserve"> ص 297</w:t>
      </w:r>
    </w:p>
  </w:footnote>
  <w:footnote w:id="10">
    <w:p w:rsidR="005A2F7E" w:rsidRPr="00EA0D9F" w:rsidRDefault="005A2F7E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sz w:val="22"/>
          <w:szCs w:val="22"/>
          <w:rtl/>
        </w:rPr>
        <w:t xml:space="preserve">. </w:t>
      </w:r>
      <w:r w:rsidR="00DD37E7">
        <w:rPr>
          <w:rFonts w:ascii="IRBadr" w:hAnsi="IRBadr" w:cs="IRBadr"/>
          <w:sz w:val="22"/>
          <w:szCs w:val="22"/>
          <w:rtl/>
        </w:rPr>
        <w:t>ع</w:t>
      </w:r>
      <w:r w:rsidR="00DD37E7">
        <w:rPr>
          <w:rFonts w:ascii="IRBadr" w:hAnsi="IRBadr" w:cs="IRBadr" w:hint="cs"/>
          <w:sz w:val="22"/>
          <w:szCs w:val="22"/>
          <w:rtl/>
        </w:rPr>
        <w:t>ی</w:t>
      </w:r>
      <w:r w:rsidR="00DD37E7">
        <w:rPr>
          <w:rFonts w:ascii="IRBadr" w:hAnsi="IRBadr" w:cs="IRBadr" w:hint="eastAsia"/>
          <w:sz w:val="22"/>
          <w:szCs w:val="22"/>
          <w:rtl/>
        </w:rPr>
        <w:t>ون‌الحکم</w:t>
      </w:r>
      <w:r w:rsidRPr="00EA0D9F">
        <w:rPr>
          <w:rFonts w:ascii="IRBadr" w:hAnsi="IRBadr" w:cs="IRBadr"/>
          <w:sz w:val="22"/>
          <w:szCs w:val="22"/>
          <w:rtl/>
        </w:rPr>
        <w:t xml:space="preserve"> و المواعظ (لل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ث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)،</w:t>
      </w:r>
      <w:r w:rsidR="009A7E1C" w:rsidRPr="00EA0D9F">
        <w:rPr>
          <w:rFonts w:ascii="IRBadr" w:hAnsi="IRBadr" w:cs="IRBadr"/>
          <w:sz w:val="22"/>
          <w:szCs w:val="22"/>
          <w:rtl/>
        </w:rPr>
        <w:t xml:space="preserve"> ص 42</w:t>
      </w:r>
    </w:p>
  </w:footnote>
  <w:footnote w:id="11">
    <w:p w:rsidR="00E76A36" w:rsidRPr="00EA0D9F" w:rsidRDefault="00E76A36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sz w:val="22"/>
          <w:szCs w:val="22"/>
          <w:rtl/>
        </w:rPr>
        <w:t xml:space="preserve">. </w:t>
      </w:r>
      <w:r w:rsidR="00DD37E7">
        <w:rPr>
          <w:rFonts w:ascii="IRBadr" w:hAnsi="IRBadr" w:cs="IRBadr"/>
          <w:sz w:val="22"/>
          <w:szCs w:val="22"/>
          <w:rtl/>
        </w:rPr>
        <w:t>ع</w:t>
      </w:r>
      <w:r w:rsidR="00DD37E7">
        <w:rPr>
          <w:rFonts w:ascii="IRBadr" w:hAnsi="IRBadr" w:cs="IRBadr" w:hint="cs"/>
          <w:sz w:val="22"/>
          <w:szCs w:val="22"/>
          <w:rtl/>
        </w:rPr>
        <w:t>ی</w:t>
      </w:r>
      <w:r w:rsidR="00DD37E7">
        <w:rPr>
          <w:rFonts w:ascii="IRBadr" w:hAnsi="IRBadr" w:cs="IRBadr" w:hint="eastAsia"/>
          <w:sz w:val="22"/>
          <w:szCs w:val="22"/>
          <w:rtl/>
        </w:rPr>
        <w:t>ون‌الحکم</w:t>
      </w:r>
      <w:r w:rsidRPr="00EA0D9F">
        <w:rPr>
          <w:rFonts w:ascii="IRBadr" w:hAnsi="IRBadr" w:cs="IRBadr"/>
          <w:sz w:val="22"/>
          <w:szCs w:val="22"/>
          <w:rtl/>
        </w:rPr>
        <w:t xml:space="preserve"> و المواعظ (لل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ث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)،</w:t>
      </w:r>
      <w:r w:rsidR="009A7E1C" w:rsidRPr="00EA0D9F">
        <w:rPr>
          <w:rFonts w:ascii="IRBadr" w:hAnsi="IRBadr" w:cs="IRBadr"/>
          <w:sz w:val="22"/>
          <w:szCs w:val="22"/>
          <w:rtl/>
        </w:rPr>
        <w:t xml:space="preserve"> ص</w:t>
      </w:r>
      <w:r w:rsidRPr="00EA0D9F">
        <w:rPr>
          <w:rFonts w:ascii="IRBadr" w:hAnsi="IRBadr" w:cs="IRBadr"/>
          <w:sz w:val="22"/>
          <w:szCs w:val="22"/>
          <w:rtl/>
        </w:rPr>
        <w:t xml:space="preserve"> 371</w:t>
      </w:r>
    </w:p>
  </w:footnote>
  <w:footnote w:id="12">
    <w:p w:rsidR="005B088F" w:rsidRPr="00EA0D9F" w:rsidRDefault="005B088F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sz w:val="22"/>
          <w:szCs w:val="22"/>
          <w:rtl/>
        </w:rPr>
        <w:t xml:space="preserve">. </w:t>
      </w:r>
      <w:r w:rsidR="00DD37E7">
        <w:rPr>
          <w:rFonts w:ascii="IRBadr" w:hAnsi="IRBadr" w:cs="IRBadr"/>
          <w:sz w:val="22"/>
          <w:szCs w:val="22"/>
          <w:rtl/>
        </w:rPr>
        <w:t>ع</w:t>
      </w:r>
      <w:r w:rsidR="00DD37E7">
        <w:rPr>
          <w:rFonts w:ascii="IRBadr" w:hAnsi="IRBadr" w:cs="IRBadr" w:hint="cs"/>
          <w:sz w:val="22"/>
          <w:szCs w:val="22"/>
          <w:rtl/>
        </w:rPr>
        <w:t>ی</w:t>
      </w:r>
      <w:r w:rsidR="00DD37E7">
        <w:rPr>
          <w:rFonts w:ascii="IRBadr" w:hAnsi="IRBadr" w:cs="IRBadr" w:hint="eastAsia"/>
          <w:sz w:val="22"/>
          <w:szCs w:val="22"/>
          <w:rtl/>
        </w:rPr>
        <w:t>ون‌الحکم</w:t>
      </w:r>
      <w:r w:rsidRPr="00EA0D9F">
        <w:rPr>
          <w:rFonts w:ascii="IRBadr" w:hAnsi="IRBadr" w:cs="IRBadr"/>
          <w:sz w:val="22"/>
          <w:szCs w:val="22"/>
          <w:rtl/>
        </w:rPr>
        <w:t xml:space="preserve"> و المواعظ (لل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ث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)،</w:t>
      </w:r>
      <w:r w:rsidR="009A7E1C" w:rsidRPr="00EA0D9F">
        <w:rPr>
          <w:rFonts w:ascii="IRBadr" w:hAnsi="IRBadr" w:cs="IRBadr"/>
          <w:sz w:val="22"/>
          <w:szCs w:val="22"/>
          <w:rtl/>
        </w:rPr>
        <w:t xml:space="preserve"> ص</w:t>
      </w:r>
      <w:r w:rsidRPr="00EA0D9F">
        <w:rPr>
          <w:rFonts w:ascii="IRBadr" w:hAnsi="IRBadr" w:cs="IRBadr"/>
          <w:sz w:val="22"/>
          <w:szCs w:val="22"/>
          <w:rtl/>
        </w:rPr>
        <w:t xml:space="preserve"> 371</w:t>
      </w:r>
    </w:p>
  </w:footnote>
  <w:footnote w:id="13">
    <w:p w:rsidR="006E07FE" w:rsidRPr="00EA0D9F" w:rsidRDefault="006E07FE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sz w:val="22"/>
          <w:szCs w:val="22"/>
          <w:rtl/>
        </w:rPr>
        <w:t xml:space="preserve">. </w:t>
      </w:r>
      <w:r w:rsidR="00DD37E7">
        <w:rPr>
          <w:rFonts w:ascii="IRBadr" w:hAnsi="IRBadr" w:cs="IRBadr"/>
          <w:sz w:val="22"/>
          <w:szCs w:val="22"/>
          <w:rtl/>
        </w:rPr>
        <w:t>ع</w:t>
      </w:r>
      <w:r w:rsidR="00DD37E7">
        <w:rPr>
          <w:rFonts w:ascii="IRBadr" w:hAnsi="IRBadr" w:cs="IRBadr" w:hint="cs"/>
          <w:sz w:val="22"/>
          <w:szCs w:val="22"/>
          <w:rtl/>
        </w:rPr>
        <w:t>ی</w:t>
      </w:r>
      <w:r w:rsidR="00DD37E7">
        <w:rPr>
          <w:rFonts w:ascii="IRBadr" w:hAnsi="IRBadr" w:cs="IRBadr" w:hint="eastAsia"/>
          <w:sz w:val="22"/>
          <w:szCs w:val="22"/>
          <w:rtl/>
        </w:rPr>
        <w:t>ون‌الحکم</w:t>
      </w:r>
      <w:r w:rsidRPr="00EA0D9F">
        <w:rPr>
          <w:rFonts w:ascii="IRBadr" w:hAnsi="IRBadr" w:cs="IRBadr"/>
          <w:sz w:val="22"/>
          <w:szCs w:val="22"/>
          <w:rtl/>
        </w:rPr>
        <w:t xml:space="preserve"> و المواعظ (لل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ث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)،</w:t>
      </w:r>
      <w:r w:rsidR="009A7E1C" w:rsidRPr="00EA0D9F">
        <w:rPr>
          <w:rFonts w:ascii="IRBadr" w:hAnsi="IRBadr" w:cs="IRBadr"/>
          <w:sz w:val="22"/>
          <w:szCs w:val="22"/>
          <w:rtl/>
        </w:rPr>
        <w:t xml:space="preserve"> ص</w:t>
      </w:r>
      <w:r w:rsidRPr="00EA0D9F">
        <w:rPr>
          <w:rFonts w:ascii="IRBadr" w:hAnsi="IRBadr" w:cs="IRBadr"/>
          <w:sz w:val="22"/>
          <w:szCs w:val="22"/>
          <w:rtl/>
        </w:rPr>
        <w:t xml:space="preserve"> 324</w:t>
      </w:r>
    </w:p>
  </w:footnote>
  <w:footnote w:id="14">
    <w:p w:rsidR="00020659" w:rsidRPr="00EA0D9F" w:rsidRDefault="00020659" w:rsidP="00BA2A0D">
      <w:pPr>
        <w:pStyle w:val="a1"/>
        <w:bidi/>
        <w:rPr>
          <w:rFonts w:ascii="IRBadr" w:hAnsi="IRBadr" w:cs="IRBadr"/>
          <w:sz w:val="22"/>
          <w:szCs w:val="22"/>
        </w:rPr>
      </w:pPr>
      <w:r w:rsidRPr="00EA0D9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EA0D9F">
        <w:rPr>
          <w:rFonts w:ascii="IRBadr" w:hAnsi="IRBadr" w:cs="IRBadr" w:hint="cs"/>
          <w:sz w:val="22"/>
          <w:szCs w:val="22"/>
          <w:rtl/>
        </w:rPr>
        <w:t xml:space="preserve">. </w:t>
      </w:r>
      <w:r w:rsidR="00DD37E7">
        <w:rPr>
          <w:rFonts w:ascii="IRBadr" w:hAnsi="IRBadr" w:cs="IRBadr"/>
          <w:sz w:val="22"/>
          <w:szCs w:val="22"/>
          <w:rtl/>
        </w:rPr>
        <w:t>ع</w:t>
      </w:r>
      <w:r w:rsidR="00DD37E7">
        <w:rPr>
          <w:rFonts w:ascii="IRBadr" w:hAnsi="IRBadr" w:cs="IRBadr" w:hint="cs"/>
          <w:sz w:val="22"/>
          <w:szCs w:val="22"/>
          <w:rtl/>
        </w:rPr>
        <w:t>ی</w:t>
      </w:r>
      <w:r w:rsidR="00DD37E7">
        <w:rPr>
          <w:rFonts w:ascii="IRBadr" w:hAnsi="IRBadr" w:cs="IRBadr" w:hint="eastAsia"/>
          <w:sz w:val="22"/>
          <w:szCs w:val="22"/>
          <w:rtl/>
        </w:rPr>
        <w:t>ون‌الحکم</w:t>
      </w:r>
      <w:r w:rsidRPr="00EA0D9F">
        <w:rPr>
          <w:rFonts w:ascii="IRBadr" w:hAnsi="IRBadr" w:cs="IRBadr"/>
          <w:sz w:val="22"/>
          <w:szCs w:val="22"/>
          <w:rtl/>
        </w:rPr>
        <w:t xml:space="preserve"> و المواعظ (لل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ث</w:t>
      </w:r>
      <w:r w:rsidR="009A7E1C" w:rsidRPr="00EA0D9F">
        <w:rPr>
          <w:rFonts w:ascii="IRBadr" w:hAnsi="IRBadr" w:cs="IRBadr"/>
          <w:sz w:val="22"/>
          <w:szCs w:val="22"/>
          <w:rtl/>
        </w:rPr>
        <w:t>ی</w:t>
      </w:r>
      <w:r w:rsidRPr="00EA0D9F">
        <w:rPr>
          <w:rFonts w:ascii="IRBadr" w:hAnsi="IRBadr" w:cs="IRBadr"/>
          <w:sz w:val="22"/>
          <w:szCs w:val="22"/>
          <w:rtl/>
        </w:rPr>
        <w:t>)،</w:t>
      </w:r>
      <w:r w:rsidR="009A7E1C" w:rsidRPr="00EA0D9F">
        <w:rPr>
          <w:rFonts w:ascii="IRBadr" w:hAnsi="IRBadr" w:cs="IRBadr"/>
          <w:sz w:val="22"/>
          <w:szCs w:val="22"/>
          <w:rtl/>
        </w:rPr>
        <w:t xml:space="preserve"> ص</w:t>
      </w:r>
      <w:r w:rsidRPr="00EA0D9F">
        <w:rPr>
          <w:rFonts w:ascii="IRBadr" w:hAnsi="IRBadr" w:cs="IRBadr"/>
          <w:sz w:val="22"/>
          <w:szCs w:val="22"/>
          <w:rtl/>
        </w:rPr>
        <w:t xml:space="preserve"> 294</w:t>
      </w:r>
    </w:p>
  </w:footnote>
  <w:footnote w:id="15">
    <w:p w:rsidR="007761E2" w:rsidRPr="00DD37E7" w:rsidRDefault="007761E2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DD37E7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DD37E7">
        <w:rPr>
          <w:rFonts w:ascii="IRBadr" w:hAnsi="IRBadr" w:cs="IRBadr" w:hint="cs"/>
          <w:sz w:val="22"/>
          <w:szCs w:val="22"/>
          <w:rtl/>
        </w:rPr>
        <w:t>.</w:t>
      </w:r>
      <w:r w:rsidR="00DD37E7">
        <w:rPr>
          <w:rFonts w:ascii="IRBadr" w:hAnsi="IRBadr" w:cs="IRBadr"/>
          <w:sz w:val="22"/>
          <w:szCs w:val="22"/>
          <w:rtl/>
        </w:rPr>
        <w:t xml:space="preserve"> ع</w:t>
      </w:r>
      <w:r w:rsidR="00DD37E7">
        <w:rPr>
          <w:rFonts w:ascii="IRBadr" w:hAnsi="IRBadr" w:cs="IRBadr" w:hint="cs"/>
          <w:sz w:val="22"/>
          <w:szCs w:val="22"/>
          <w:rtl/>
        </w:rPr>
        <w:t>ی</w:t>
      </w:r>
      <w:r w:rsidR="00DD37E7">
        <w:rPr>
          <w:rFonts w:ascii="IRBadr" w:hAnsi="IRBadr" w:cs="IRBadr" w:hint="eastAsia"/>
          <w:sz w:val="22"/>
          <w:szCs w:val="22"/>
          <w:rtl/>
        </w:rPr>
        <w:t>ون‌الحکم</w:t>
      </w:r>
      <w:r w:rsidRPr="00DD37E7">
        <w:rPr>
          <w:rFonts w:ascii="IRBadr" w:hAnsi="IRBadr" w:cs="IRBadr"/>
          <w:sz w:val="22"/>
          <w:szCs w:val="22"/>
          <w:rtl/>
        </w:rPr>
        <w:t xml:space="preserve"> و المواعظ (لل</w:t>
      </w:r>
      <w:r w:rsidR="009A7E1C" w:rsidRPr="00DD37E7">
        <w:rPr>
          <w:rFonts w:ascii="IRBadr" w:hAnsi="IRBadr" w:cs="IRBadr"/>
          <w:sz w:val="22"/>
          <w:szCs w:val="22"/>
          <w:rtl/>
        </w:rPr>
        <w:t>ی</w:t>
      </w:r>
      <w:r w:rsidRPr="00DD37E7">
        <w:rPr>
          <w:rFonts w:ascii="IRBadr" w:hAnsi="IRBadr" w:cs="IRBadr"/>
          <w:sz w:val="22"/>
          <w:szCs w:val="22"/>
          <w:rtl/>
        </w:rPr>
        <w:t>ث</w:t>
      </w:r>
      <w:r w:rsidR="009A7E1C" w:rsidRPr="00DD37E7">
        <w:rPr>
          <w:rFonts w:ascii="IRBadr" w:hAnsi="IRBadr" w:cs="IRBadr"/>
          <w:sz w:val="22"/>
          <w:szCs w:val="22"/>
          <w:rtl/>
        </w:rPr>
        <w:t>ی</w:t>
      </w:r>
      <w:r w:rsidRPr="00DD37E7">
        <w:rPr>
          <w:rFonts w:ascii="IRBadr" w:hAnsi="IRBadr" w:cs="IRBadr"/>
          <w:sz w:val="22"/>
          <w:szCs w:val="22"/>
          <w:rtl/>
        </w:rPr>
        <w:t>)،</w:t>
      </w:r>
      <w:r w:rsidR="009A7E1C" w:rsidRPr="00DD37E7">
        <w:rPr>
          <w:rFonts w:ascii="IRBadr" w:hAnsi="IRBadr" w:cs="IRBadr"/>
          <w:sz w:val="22"/>
          <w:szCs w:val="22"/>
          <w:rtl/>
        </w:rPr>
        <w:t xml:space="preserve"> ص</w:t>
      </w:r>
      <w:r w:rsidRPr="00DD37E7">
        <w:rPr>
          <w:rFonts w:ascii="IRBadr" w:hAnsi="IRBadr" w:cs="IRBadr"/>
          <w:sz w:val="22"/>
          <w:szCs w:val="22"/>
          <w:rtl/>
        </w:rPr>
        <w:t xml:space="preserve"> 449</w:t>
      </w:r>
    </w:p>
  </w:footnote>
  <w:footnote w:id="16">
    <w:p w:rsidR="00807F8B" w:rsidRPr="00DD37E7" w:rsidRDefault="00807F8B" w:rsidP="00BA2A0D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DD37E7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DD37E7">
        <w:rPr>
          <w:rFonts w:ascii="IRBadr" w:hAnsi="IRBadr" w:cs="IRBadr" w:hint="cs"/>
          <w:sz w:val="22"/>
          <w:szCs w:val="22"/>
          <w:rtl/>
        </w:rPr>
        <w:t xml:space="preserve">. </w:t>
      </w:r>
      <w:r w:rsidRPr="00DD37E7">
        <w:rPr>
          <w:rFonts w:ascii="IRBadr" w:hAnsi="IRBadr" w:cs="IRBadr"/>
          <w:sz w:val="22"/>
          <w:szCs w:val="22"/>
          <w:rtl/>
        </w:rPr>
        <w:t xml:space="preserve">سوره </w:t>
      </w:r>
      <w:r w:rsidR="00373723" w:rsidRPr="00DD37E7">
        <w:rPr>
          <w:rFonts w:ascii="IRBadr" w:hAnsi="IRBadr" w:cs="IRBadr"/>
          <w:sz w:val="22"/>
          <w:szCs w:val="22"/>
          <w:rtl/>
        </w:rPr>
        <w:t>آل‌عمران</w:t>
      </w:r>
      <w:r w:rsidR="00DD37E7">
        <w:rPr>
          <w:rFonts w:ascii="IRBadr" w:hAnsi="IRBadr" w:cs="IRBadr" w:hint="cs"/>
          <w:sz w:val="22"/>
          <w:szCs w:val="22"/>
          <w:rtl/>
        </w:rPr>
        <w:t>،</w:t>
      </w:r>
      <w:r w:rsidRPr="00DD37E7">
        <w:rPr>
          <w:rFonts w:ascii="IRBadr" w:hAnsi="IRBadr" w:cs="IRBadr"/>
          <w:sz w:val="22"/>
          <w:szCs w:val="22"/>
          <w:rtl/>
        </w:rPr>
        <w:t xml:space="preserve"> آیه 134</w:t>
      </w:r>
    </w:p>
  </w:footnote>
  <w:footnote w:id="17">
    <w:p w:rsidR="008C2CD9" w:rsidRPr="00BA2A0D" w:rsidRDefault="008C2CD9" w:rsidP="00BA2A0D">
      <w:pPr>
        <w:pStyle w:val="a1"/>
        <w:bidi/>
        <w:rPr>
          <w:rtl/>
        </w:rPr>
      </w:pPr>
      <w:r w:rsidRPr="00DD37E7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DD37E7">
        <w:rPr>
          <w:rFonts w:ascii="IRBadr" w:hAnsi="IRBadr" w:cs="IRBadr" w:hint="cs"/>
          <w:sz w:val="22"/>
          <w:szCs w:val="22"/>
          <w:rtl/>
        </w:rPr>
        <w:t xml:space="preserve">. </w:t>
      </w:r>
      <w:r w:rsidR="00373723" w:rsidRPr="00DD37E7">
        <w:rPr>
          <w:rFonts w:ascii="IRBadr" w:hAnsi="IRBadr" w:cs="IRBadr"/>
          <w:sz w:val="22"/>
          <w:szCs w:val="22"/>
          <w:rtl/>
        </w:rPr>
        <w:t>غررالحکم</w:t>
      </w:r>
      <w:r w:rsidRPr="00DD37E7">
        <w:rPr>
          <w:rFonts w:ascii="IRBadr" w:hAnsi="IRBadr" w:cs="IRBadr"/>
          <w:sz w:val="22"/>
          <w:szCs w:val="22"/>
          <w:rtl/>
        </w:rPr>
        <w:t xml:space="preserve"> و دررال</w:t>
      </w:r>
      <w:r w:rsidR="009A7E1C" w:rsidRPr="00DD37E7">
        <w:rPr>
          <w:rFonts w:ascii="IRBadr" w:hAnsi="IRBadr" w:cs="IRBadr"/>
          <w:sz w:val="22"/>
          <w:szCs w:val="22"/>
          <w:rtl/>
        </w:rPr>
        <w:t>ک</w:t>
      </w:r>
      <w:r w:rsidRPr="00DD37E7">
        <w:rPr>
          <w:rFonts w:ascii="IRBadr" w:hAnsi="IRBadr" w:cs="IRBadr"/>
          <w:sz w:val="22"/>
          <w:szCs w:val="22"/>
          <w:rtl/>
        </w:rPr>
        <w:t>لم،</w:t>
      </w:r>
      <w:r w:rsidR="009A7E1C" w:rsidRPr="00DD37E7">
        <w:rPr>
          <w:rFonts w:ascii="IRBadr" w:hAnsi="IRBadr" w:cs="IRBadr"/>
          <w:sz w:val="22"/>
          <w:szCs w:val="22"/>
          <w:rtl/>
        </w:rPr>
        <w:t xml:space="preserve"> ص</w:t>
      </w:r>
      <w:r w:rsidRPr="00DD37E7">
        <w:rPr>
          <w:rFonts w:ascii="IRBadr" w:hAnsi="IRBadr" w:cs="IRBadr"/>
          <w:sz w:val="22"/>
          <w:szCs w:val="22"/>
          <w:rtl/>
        </w:rPr>
        <w:t xml:space="preserve"> 414</w:t>
      </w:r>
    </w:p>
  </w:footnote>
  <w:footnote w:id="18">
    <w:p w:rsidR="00CB6EB0" w:rsidRDefault="00CB6EB0" w:rsidP="00CB6EB0">
      <w:pPr>
        <w:pStyle w:val="a1"/>
        <w:bidi/>
        <w:rPr>
          <w:rFonts w:hint="cs"/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ـ سوره اخلاص</w:t>
      </w:r>
    </w:p>
  </w:footnote>
  <w:footnote w:id="19">
    <w:p w:rsidR="00DD37E7" w:rsidRPr="00DD37E7" w:rsidRDefault="00DD37E7" w:rsidP="00DD37E7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DD37E7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DD37E7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DD37E7">
        <w:rPr>
          <w:rFonts w:ascii="IRBadr" w:hAnsi="IRBadr" w:cs="IRBadr"/>
          <w:sz w:val="22"/>
          <w:szCs w:val="22"/>
          <w:rtl/>
        </w:rPr>
        <w:t>سوره احزاب، آیه 70</w:t>
      </w:r>
    </w:p>
  </w:footnote>
  <w:footnote w:id="20">
    <w:p w:rsidR="00CB6EB0" w:rsidRPr="00CF68FC" w:rsidRDefault="00CB6EB0" w:rsidP="00CB6EB0">
      <w:pPr>
        <w:pStyle w:val="a1"/>
        <w:bidi/>
        <w:rPr>
          <w:rFonts w:ascii="IRBadr" w:hAnsi="IRBadr" w:cs="IRBadr"/>
          <w:rtl/>
        </w:rPr>
      </w:pPr>
      <w:r w:rsidRPr="00CF68FC">
        <w:rPr>
          <w:rStyle w:val="aff0"/>
          <w:rFonts w:ascii="IRBadr" w:hAnsi="IRBadr" w:cs="IRBadr"/>
          <w:vertAlign w:val="baseline"/>
        </w:rPr>
        <w:footnoteRef/>
      </w:r>
      <w:r>
        <w:rPr>
          <w:rFonts w:ascii="IRBadr" w:hAnsi="IRBadr" w:cs="IRBadr"/>
          <w:rtl/>
        </w:rPr>
        <w:t>.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7" w:rsidRDefault="00DD37E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4" w:name="OLE_LINK1"/>
    <w:bookmarkStart w:id="15" w:name="OLE_LINK2"/>
    <w:r w:rsidRPr="00EA0D9F">
      <w:rPr>
        <w:rFonts w:ascii="IRBadr" w:hAnsi="IRBadr" w:cs="IRBadr"/>
        <w:noProof/>
        <w:lang w:bidi="ar-SA"/>
      </w:rPr>
      <w:drawing>
        <wp:anchor distT="0" distB="0" distL="114300" distR="114300" simplePos="0" relativeHeight="251660288" behindDoc="0" locked="0" layoutInCell="1" allowOverlap="1" wp14:anchorId="1D02E5A0" wp14:editId="132FF24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 w:rsidRPr="00EA0D9F">
      <w:rPr>
        <w:rFonts w:ascii="IRBadr" w:hAnsi="IRBadr" w:cs="IR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6F899B" wp14:editId="1EFECF0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DA5E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12F40" w:rsidRPr="00EA0D9F">
      <w:rPr>
        <w:rFonts w:ascii="IRBadr" w:hAnsi="IRBadr" w:cs="IRBadr"/>
        <w:sz w:val="40"/>
        <w:szCs w:val="40"/>
      </w:rPr>
      <w:t>3828</w:t>
    </w:r>
    <w:r w:rsidR="009A7E1C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E7" w:rsidRDefault="00DD37E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0659"/>
    <w:rsid w:val="000228A2"/>
    <w:rsid w:val="000241E1"/>
    <w:rsid w:val="000324F1"/>
    <w:rsid w:val="00040A54"/>
    <w:rsid w:val="00041FE0"/>
    <w:rsid w:val="00052BA3"/>
    <w:rsid w:val="0005458B"/>
    <w:rsid w:val="0006363E"/>
    <w:rsid w:val="0008039B"/>
    <w:rsid w:val="00080DFF"/>
    <w:rsid w:val="00085ED5"/>
    <w:rsid w:val="000937DE"/>
    <w:rsid w:val="00096777"/>
    <w:rsid w:val="000A1A51"/>
    <w:rsid w:val="000A383F"/>
    <w:rsid w:val="000A7E05"/>
    <w:rsid w:val="000B4592"/>
    <w:rsid w:val="000C31CA"/>
    <w:rsid w:val="000D2D0D"/>
    <w:rsid w:val="000D5800"/>
    <w:rsid w:val="000D63CC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470A0"/>
    <w:rsid w:val="00150D4B"/>
    <w:rsid w:val="00152670"/>
    <w:rsid w:val="0015568B"/>
    <w:rsid w:val="00160A06"/>
    <w:rsid w:val="00165C67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213B33"/>
    <w:rsid w:val="0021728C"/>
    <w:rsid w:val="00221E95"/>
    <w:rsid w:val="00224C0A"/>
    <w:rsid w:val="00235205"/>
    <w:rsid w:val="002376A5"/>
    <w:rsid w:val="002376BD"/>
    <w:rsid w:val="002417C9"/>
    <w:rsid w:val="002529C5"/>
    <w:rsid w:val="00264907"/>
    <w:rsid w:val="002677B2"/>
    <w:rsid w:val="00270294"/>
    <w:rsid w:val="00273AE6"/>
    <w:rsid w:val="00275BDE"/>
    <w:rsid w:val="00284269"/>
    <w:rsid w:val="002914BD"/>
    <w:rsid w:val="00297263"/>
    <w:rsid w:val="002A0037"/>
    <w:rsid w:val="002B2C1A"/>
    <w:rsid w:val="002B4A87"/>
    <w:rsid w:val="002B726B"/>
    <w:rsid w:val="002C56FD"/>
    <w:rsid w:val="002D49E4"/>
    <w:rsid w:val="002E450B"/>
    <w:rsid w:val="002E73F9"/>
    <w:rsid w:val="002F05B9"/>
    <w:rsid w:val="002F77DE"/>
    <w:rsid w:val="0030519A"/>
    <w:rsid w:val="00313164"/>
    <w:rsid w:val="0032019D"/>
    <w:rsid w:val="00323BC0"/>
    <w:rsid w:val="00326CEB"/>
    <w:rsid w:val="00340BA3"/>
    <w:rsid w:val="00351E0B"/>
    <w:rsid w:val="00352862"/>
    <w:rsid w:val="00366400"/>
    <w:rsid w:val="003665EF"/>
    <w:rsid w:val="00373723"/>
    <w:rsid w:val="003860F1"/>
    <w:rsid w:val="003963D7"/>
    <w:rsid w:val="00396F28"/>
    <w:rsid w:val="003A1A05"/>
    <w:rsid w:val="003A2654"/>
    <w:rsid w:val="003A446C"/>
    <w:rsid w:val="003C06BF"/>
    <w:rsid w:val="003C7899"/>
    <w:rsid w:val="003D2EB3"/>
    <w:rsid w:val="003D2F0A"/>
    <w:rsid w:val="003D563F"/>
    <w:rsid w:val="003E1E58"/>
    <w:rsid w:val="003E2BAB"/>
    <w:rsid w:val="003F7C00"/>
    <w:rsid w:val="00405199"/>
    <w:rsid w:val="00410699"/>
    <w:rsid w:val="00415360"/>
    <w:rsid w:val="00422231"/>
    <w:rsid w:val="004314B7"/>
    <w:rsid w:val="0043390B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B6E0F"/>
    <w:rsid w:val="004C5D82"/>
    <w:rsid w:val="004F3596"/>
    <w:rsid w:val="00512DFD"/>
    <w:rsid w:val="00513D84"/>
    <w:rsid w:val="00522384"/>
    <w:rsid w:val="005300D7"/>
    <w:rsid w:val="00530FD7"/>
    <w:rsid w:val="00541113"/>
    <w:rsid w:val="0055021A"/>
    <w:rsid w:val="0055547D"/>
    <w:rsid w:val="0057110E"/>
    <w:rsid w:val="00572E2D"/>
    <w:rsid w:val="00573039"/>
    <w:rsid w:val="00592103"/>
    <w:rsid w:val="005941DD"/>
    <w:rsid w:val="00597B45"/>
    <w:rsid w:val="005A2F7E"/>
    <w:rsid w:val="005A545E"/>
    <w:rsid w:val="005A5862"/>
    <w:rsid w:val="005B0852"/>
    <w:rsid w:val="005B088F"/>
    <w:rsid w:val="005B0FCE"/>
    <w:rsid w:val="005B110F"/>
    <w:rsid w:val="005B743D"/>
    <w:rsid w:val="005C06AE"/>
    <w:rsid w:val="005D3E82"/>
    <w:rsid w:val="005E31A1"/>
    <w:rsid w:val="005E428D"/>
    <w:rsid w:val="00607929"/>
    <w:rsid w:val="00610341"/>
    <w:rsid w:val="00610C18"/>
    <w:rsid w:val="00612385"/>
    <w:rsid w:val="0061376C"/>
    <w:rsid w:val="006140EF"/>
    <w:rsid w:val="00636EFA"/>
    <w:rsid w:val="006442BA"/>
    <w:rsid w:val="006610F3"/>
    <w:rsid w:val="0066229C"/>
    <w:rsid w:val="0067456D"/>
    <w:rsid w:val="006835B9"/>
    <w:rsid w:val="0069696C"/>
    <w:rsid w:val="006A085A"/>
    <w:rsid w:val="006A7C97"/>
    <w:rsid w:val="006C19D6"/>
    <w:rsid w:val="006D3A87"/>
    <w:rsid w:val="006E07FE"/>
    <w:rsid w:val="006E5E24"/>
    <w:rsid w:val="006F01B4"/>
    <w:rsid w:val="0071125E"/>
    <w:rsid w:val="00731BCC"/>
    <w:rsid w:val="00734D59"/>
    <w:rsid w:val="0073609B"/>
    <w:rsid w:val="00737FD7"/>
    <w:rsid w:val="00741E44"/>
    <w:rsid w:val="0074393F"/>
    <w:rsid w:val="00750088"/>
    <w:rsid w:val="0075033E"/>
    <w:rsid w:val="00752745"/>
    <w:rsid w:val="0076665E"/>
    <w:rsid w:val="0077098A"/>
    <w:rsid w:val="00772185"/>
    <w:rsid w:val="007749BC"/>
    <w:rsid w:val="007761E2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97C31"/>
    <w:rsid w:val="007A4A46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6D17"/>
    <w:rsid w:val="007E7B51"/>
    <w:rsid w:val="007E7FA7"/>
    <w:rsid w:val="007F0721"/>
    <w:rsid w:val="007F4A90"/>
    <w:rsid w:val="007F65AB"/>
    <w:rsid w:val="00803501"/>
    <w:rsid w:val="0080799B"/>
    <w:rsid w:val="00807BE3"/>
    <w:rsid w:val="00807F8B"/>
    <w:rsid w:val="00811F02"/>
    <w:rsid w:val="0081658B"/>
    <w:rsid w:val="00823E2B"/>
    <w:rsid w:val="00824C47"/>
    <w:rsid w:val="00827030"/>
    <w:rsid w:val="008407A4"/>
    <w:rsid w:val="00844860"/>
    <w:rsid w:val="00845CC4"/>
    <w:rsid w:val="008475A8"/>
    <w:rsid w:val="008644F4"/>
    <w:rsid w:val="00864865"/>
    <w:rsid w:val="008836D7"/>
    <w:rsid w:val="00883733"/>
    <w:rsid w:val="00893978"/>
    <w:rsid w:val="008965D2"/>
    <w:rsid w:val="008A14D3"/>
    <w:rsid w:val="008A15CF"/>
    <w:rsid w:val="008A236D"/>
    <w:rsid w:val="008A6B24"/>
    <w:rsid w:val="008B565A"/>
    <w:rsid w:val="008C2CD9"/>
    <w:rsid w:val="008C3414"/>
    <w:rsid w:val="008D030F"/>
    <w:rsid w:val="008D36D5"/>
    <w:rsid w:val="008E3903"/>
    <w:rsid w:val="008F63E3"/>
    <w:rsid w:val="008F7A5C"/>
    <w:rsid w:val="00910704"/>
    <w:rsid w:val="00913C3B"/>
    <w:rsid w:val="00915509"/>
    <w:rsid w:val="00922290"/>
    <w:rsid w:val="00927388"/>
    <w:rsid w:val="009274FE"/>
    <w:rsid w:val="009278E1"/>
    <w:rsid w:val="00937820"/>
    <w:rsid w:val="009401AC"/>
    <w:rsid w:val="00940E0B"/>
    <w:rsid w:val="009500BE"/>
    <w:rsid w:val="009571FE"/>
    <w:rsid w:val="009613AC"/>
    <w:rsid w:val="00980643"/>
    <w:rsid w:val="00991477"/>
    <w:rsid w:val="009A7E1C"/>
    <w:rsid w:val="009B46BC"/>
    <w:rsid w:val="009B61C3"/>
    <w:rsid w:val="009C39D7"/>
    <w:rsid w:val="009C7B4F"/>
    <w:rsid w:val="009D3115"/>
    <w:rsid w:val="009F4EB3"/>
    <w:rsid w:val="00A06D48"/>
    <w:rsid w:val="00A15710"/>
    <w:rsid w:val="00A21834"/>
    <w:rsid w:val="00A27E04"/>
    <w:rsid w:val="00A31C17"/>
    <w:rsid w:val="00A31FDE"/>
    <w:rsid w:val="00A35AC2"/>
    <w:rsid w:val="00A37C77"/>
    <w:rsid w:val="00A5418D"/>
    <w:rsid w:val="00A56FFD"/>
    <w:rsid w:val="00A660E5"/>
    <w:rsid w:val="00A725C2"/>
    <w:rsid w:val="00A73976"/>
    <w:rsid w:val="00A769EE"/>
    <w:rsid w:val="00A810A5"/>
    <w:rsid w:val="00A92E7E"/>
    <w:rsid w:val="00A9616A"/>
    <w:rsid w:val="00A96F68"/>
    <w:rsid w:val="00A973BA"/>
    <w:rsid w:val="00AA2342"/>
    <w:rsid w:val="00AA38CB"/>
    <w:rsid w:val="00AD0304"/>
    <w:rsid w:val="00AD27BE"/>
    <w:rsid w:val="00AE6E83"/>
    <w:rsid w:val="00AF0F1A"/>
    <w:rsid w:val="00B0682C"/>
    <w:rsid w:val="00B07E50"/>
    <w:rsid w:val="00B11FE2"/>
    <w:rsid w:val="00B15027"/>
    <w:rsid w:val="00B212A7"/>
    <w:rsid w:val="00B21CF4"/>
    <w:rsid w:val="00B24300"/>
    <w:rsid w:val="00B317A7"/>
    <w:rsid w:val="00B32249"/>
    <w:rsid w:val="00B57347"/>
    <w:rsid w:val="00B63F15"/>
    <w:rsid w:val="00B751E3"/>
    <w:rsid w:val="00BA2A0D"/>
    <w:rsid w:val="00BA51A8"/>
    <w:rsid w:val="00BA56B1"/>
    <w:rsid w:val="00BA7D53"/>
    <w:rsid w:val="00BB29DC"/>
    <w:rsid w:val="00BB5F7E"/>
    <w:rsid w:val="00BC26F6"/>
    <w:rsid w:val="00BC39E7"/>
    <w:rsid w:val="00BC4833"/>
    <w:rsid w:val="00BD08EA"/>
    <w:rsid w:val="00BD3122"/>
    <w:rsid w:val="00BD40DA"/>
    <w:rsid w:val="00BE1078"/>
    <w:rsid w:val="00BE337B"/>
    <w:rsid w:val="00BE3E0A"/>
    <w:rsid w:val="00BF3D67"/>
    <w:rsid w:val="00BF7FB0"/>
    <w:rsid w:val="00C12F40"/>
    <w:rsid w:val="00C160AF"/>
    <w:rsid w:val="00C1761B"/>
    <w:rsid w:val="00C217BD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2902"/>
    <w:rsid w:val="00CB5DA3"/>
    <w:rsid w:val="00CB6EB0"/>
    <w:rsid w:val="00CB7F25"/>
    <w:rsid w:val="00CC320C"/>
    <w:rsid w:val="00CD456C"/>
    <w:rsid w:val="00CE09B7"/>
    <w:rsid w:val="00CE31E6"/>
    <w:rsid w:val="00CE3B74"/>
    <w:rsid w:val="00CF42E2"/>
    <w:rsid w:val="00CF4B62"/>
    <w:rsid w:val="00CF71F0"/>
    <w:rsid w:val="00CF7916"/>
    <w:rsid w:val="00D158F3"/>
    <w:rsid w:val="00D3665C"/>
    <w:rsid w:val="00D508CC"/>
    <w:rsid w:val="00D50F4B"/>
    <w:rsid w:val="00D60547"/>
    <w:rsid w:val="00D6079F"/>
    <w:rsid w:val="00D66444"/>
    <w:rsid w:val="00D7492E"/>
    <w:rsid w:val="00D76353"/>
    <w:rsid w:val="00D83F6A"/>
    <w:rsid w:val="00DA17C3"/>
    <w:rsid w:val="00DA2F7D"/>
    <w:rsid w:val="00DA3EA9"/>
    <w:rsid w:val="00DA5F7F"/>
    <w:rsid w:val="00DB28BB"/>
    <w:rsid w:val="00DB4C40"/>
    <w:rsid w:val="00DB6C41"/>
    <w:rsid w:val="00DC603F"/>
    <w:rsid w:val="00DD37E7"/>
    <w:rsid w:val="00DD3C0D"/>
    <w:rsid w:val="00DD4864"/>
    <w:rsid w:val="00DD71A2"/>
    <w:rsid w:val="00DE1DC4"/>
    <w:rsid w:val="00DF23FC"/>
    <w:rsid w:val="00E0565A"/>
    <w:rsid w:val="00E0639C"/>
    <w:rsid w:val="00E067E6"/>
    <w:rsid w:val="00E12531"/>
    <w:rsid w:val="00E143B0"/>
    <w:rsid w:val="00E43123"/>
    <w:rsid w:val="00E53835"/>
    <w:rsid w:val="00E53933"/>
    <w:rsid w:val="00E55891"/>
    <w:rsid w:val="00E6283A"/>
    <w:rsid w:val="00E732A3"/>
    <w:rsid w:val="00E76A36"/>
    <w:rsid w:val="00E81585"/>
    <w:rsid w:val="00E83713"/>
    <w:rsid w:val="00E83A85"/>
    <w:rsid w:val="00E83AF4"/>
    <w:rsid w:val="00E90FC4"/>
    <w:rsid w:val="00EA01EC"/>
    <w:rsid w:val="00EA0D9F"/>
    <w:rsid w:val="00EA15B0"/>
    <w:rsid w:val="00EA5D97"/>
    <w:rsid w:val="00EA693D"/>
    <w:rsid w:val="00EB249D"/>
    <w:rsid w:val="00EC4393"/>
    <w:rsid w:val="00EC5722"/>
    <w:rsid w:val="00ED35DF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756A"/>
    <w:rsid w:val="00F95DF5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8C6E9ED-9ACA-43A1-A39E-61BAE62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A0D9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A0D9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326C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النص القرآني"/>
    <w:basedOn w:val="a"/>
    <w:rsid w:val="00CB6EB0"/>
    <w:pPr>
      <w:bidi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E82E-8322-4115-A138-9E103D45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196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81</cp:revision>
  <dcterms:created xsi:type="dcterms:W3CDTF">2015-08-15T03:53:00Z</dcterms:created>
  <dcterms:modified xsi:type="dcterms:W3CDTF">2015-08-18T11:20:00Z</dcterms:modified>
</cp:coreProperties>
</file>