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2F" w:rsidRPr="00823A37" w:rsidRDefault="00B27A2F" w:rsidP="00823A37">
      <w:pPr>
        <w:pStyle w:val="1"/>
        <w:rPr>
          <w:rtl/>
        </w:rPr>
      </w:pPr>
      <w:bookmarkStart w:id="0" w:name="_Toc427712816"/>
      <w:bookmarkStart w:id="1" w:name="_Toc427712925"/>
      <w:bookmarkStart w:id="2" w:name="_Toc427612180"/>
      <w:r w:rsidRPr="00823A37">
        <w:rPr>
          <w:rtl/>
        </w:rPr>
        <w:t>فهرست مطالب</w:t>
      </w:r>
      <w:bookmarkEnd w:id="0"/>
      <w:bookmarkEnd w:id="1"/>
    </w:p>
    <w:p w:rsidR="00B27A2F" w:rsidRPr="00823A37" w:rsidRDefault="00B27A2F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823A37">
        <w:rPr>
          <w:rFonts w:ascii="IRBadr" w:hAnsi="IRBadr" w:cs="IRBadr"/>
          <w:sz w:val="28"/>
          <w:rtl/>
        </w:rPr>
        <w:fldChar w:fldCharType="begin"/>
      </w:r>
      <w:r w:rsidRPr="00823A37">
        <w:rPr>
          <w:rFonts w:ascii="IRBadr" w:hAnsi="IRBadr" w:cs="IRBadr"/>
          <w:sz w:val="28"/>
          <w:rtl/>
        </w:rPr>
        <w:instrText xml:space="preserve"> </w:instrText>
      </w:r>
      <w:r w:rsidRPr="00823A37">
        <w:rPr>
          <w:rFonts w:ascii="IRBadr" w:hAnsi="IRBadr" w:cs="IRBadr"/>
          <w:sz w:val="28"/>
        </w:rPr>
        <w:instrText>TOC</w:instrText>
      </w:r>
      <w:r w:rsidRPr="00823A37">
        <w:rPr>
          <w:rFonts w:ascii="IRBadr" w:hAnsi="IRBadr" w:cs="IRBadr"/>
          <w:sz w:val="28"/>
          <w:rtl/>
        </w:rPr>
        <w:instrText xml:space="preserve"> \</w:instrText>
      </w:r>
      <w:r w:rsidRPr="00823A37">
        <w:rPr>
          <w:rFonts w:ascii="IRBadr" w:hAnsi="IRBadr" w:cs="IRBadr"/>
          <w:sz w:val="28"/>
        </w:rPr>
        <w:instrText>o "</w:instrText>
      </w:r>
      <w:r w:rsidRPr="00823A37">
        <w:rPr>
          <w:rFonts w:ascii="IRBadr" w:hAnsi="IRBadr" w:cs="IRBadr"/>
          <w:sz w:val="28"/>
          <w:rtl/>
        </w:rPr>
        <w:instrText>1-3</w:instrText>
      </w:r>
      <w:r w:rsidRPr="00823A37">
        <w:rPr>
          <w:rFonts w:ascii="IRBadr" w:hAnsi="IRBadr" w:cs="IRBadr"/>
          <w:sz w:val="28"/>
        </w:rPr>
        <w:instrText>" \h \z \u</w:instrText>
      </w:r>
      <w:r w:rsidRPr="00823A37">
        <w:rPr>
          <w:rFonts w:ascii="IRBadr" w:hAnsi="IRBadr" w:cs="IRBadr"/>
          <w:sz w:val="28"/>
          <w:rtl/>
        </w:rPr>
        <w:instrText xml:space="preserve"> </w:instrText>
      </w:r>
      <w:r w:rsidRPr="00823A37">
        <w:rPr>
          <w:rFonts w:ascii="IRBadr" w:hAnsi="IRBadr" w:cs="IRBadr"/>
          <w:sz w:val="28"/>
          <w:rtl/>
        </w:rPr>
        <w:fldChar w:fldCharType="separate"/>
      </w:r>
      <w:hyperlink w:anchor="_Toc427712926" w:history="1">
        <w:r w:rsidRPr="00823A37">
          <w:rPr>
            <w:rStyle w:val="aff2"/>
            <w:rFonts w:ascii="IRBadr" w:hAnsi="IRBadr" w:cs="IRBadr"/>
            <w:noProof/>
            <w:sz w:val="28"/>
            <w:rtl/>
          </w:rPr>
          <w:t>خطبه اول</w:t>
        </w:r>
        <w:r w:rsidRPr="00823A37">
          <w:rPr>
            <w:rFonts w:ascii="IRBadr" w:hAnsi="IRBadr" w:cs="IRBadr"/>
            <w:noProof/>
            <w:webHidden/>
            <w:sz w:val="28"/>
          </w:rPr>
          <w:tab/>
        </w:r>
        <w:r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823A37">
          <w:rPr>
            <w:rFonts w:ascii="IRBadr" w:hAnsi="IRBadr" w:cs="IRBadr"/>
            <w:noProof/>
            <w:webHidden/>
            <w:sz w:val="28"/>
          </w:rPr>
          <w:instrText xml:space="preserve"> PAGEREF _Toc427712926 \h </w:instrText>
        </w:r>
        <w:r w:rsidRPr="00823A37">
          <w:rPr>
            <w:rFonts w:ascii="IRBadr" w:hAnsi="IRBadr" w:cs="IRBadr"/>
            <w:noProof/>
            <w:webHidden/>
            <w:sz w:val="28"/>
          </w:rPr>
        </w:r>
        <w:r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823A37">
          <w:rPr>
            <w:rFonts w:ascii="IRBadr" w:hAnsi="IRBadr" w:cs="IRBadr"/>
            <w:noProof/>
            <w:webHidden/>
            <w:sz w:val="28"/>
          </w:rPr>
          <w:t>2</w:t>
        </w:r>
        <w:r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27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اسراف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_Toc427712927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2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28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عوامل تعیین‌کننده در اسراف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_Toc427712928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2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29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1. گناهان و محرّمات شرعی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_Toc427712929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3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0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2. حکم عقل و معیارهای عقل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_Toc427712930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3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1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3. عرف جامعه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_Toc427712931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3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2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مفهوم تبذیر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_Toc427712932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4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3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رفتار اسراف‌کنندگان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_Toc427712933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4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4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زیان ها</w:t>
        </w:r>
        <w:r w:rsidR="00CA12F0" w:rsidRPr="00823A37">
          <w:rPr>
            <w:rStyle w:val="aff2"/>
            <w:rFonts w:ascii="IRBadr" w:hAnsi="IRBadr" w:cs="IRBadr"/>
            <w:noProof/>
            <w:sz w:val="28"/>
            <w:rtl/>
          </w:rPr>
          <w:t>ی</w:t>
        </w:r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 xml:space="preserve"> اجتماع</w:t>
        </w:r>
        <w:r w:rsidR="00CA12F0" w:rsidRPr="00823A37">
          <w:rPr>
            <w:rStyle w:val="aff2"/>
            <w:rFonts w:ascii="IRBadr" w:hAnsi="IRBadr" w:cs="IRBadr"/>
            <w:noProof/>
            <w:sz w:val="28"/>
            <w:rtl/>
          </w:rPr>
          <w:t>ی</w:t>
        </w:r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 xml:space="preserve"> اسراف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_Toc427712934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5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5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1. هدر رفتن منابع اقتصادی جامعه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_Toc427712935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5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6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2. سقوط اخلاق اجتماعی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_Toc427712936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5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7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3. اختلاف طبقات</w:t>
        </w:r>
        <w:r w:rsidR="00CA12F0" w:rsidRPr="00823A37">
          <w:rPr>
            <w:rStyle w:val="aff2"/>
            <w:rFonts w:ascii="IRBadr" w:hAnsi="IRBadr" w:cs="IRBadr"/>
            <w:noProof/>
            <w:sz w:val="28"/>
            <w:rtl/>
          </w:rPr>
          <w:t>ی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_Toc427712937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6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8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4. زوال حکومت ها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_Toc427712938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6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39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خطبه دوم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_Toc427712939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6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40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ترور نخست وزیر اسرائیل اسحاق رابین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_Toc427712940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7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41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واکنش اسرائیل در پی مرگ اسحاق رابین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_Toc427712941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7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313716" w:rsidP="00823A3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12942" w:history="1">
        <w:r w:rsidR="00B27A2F" w:rsidRPr="00823A37">
          <w:rPr>
            <w:rStyle w:val="aff2"/>
            <w:rFonts w:ascii="IRBadr" w:hAnsi="IRBadr" w:cs="IRBadr"/>
            <w:noProof/>
            <w:sz w:val="28"/>
            <w:rtl/>
          </w:rPr>
          <w:t>ترفند رابین برای آرام نگهداشتن فلسطینیان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tab/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27A2F" w:rsidRPr="00823A37">
          <w:rPr>
            <w:rFonts w:ascii="IRBadr" w:hAnsi="IRBadr" w:cs="IRBadr"/>
            <w:noProof/>
            <w:webHidden/>
            <w:sz w:val="28"/>
          </w:rPr>
          <w:instrText xml:space="preserve"> PAGEREF _Toc427712942 \h </w:instrText>
        </w:r>
        <w:r w:rsidR="00B27A2F" w:rsidRPr="00823A37">
          <w:rPr>
            <w:rFonts w:ascii="IRBadr" w:hAnsi="IRBadr" w:cs="IRBadr"/>
            <w:noProof/>
            <w:webHidden/>
            <w:sz w:val="28"/>
          </w:rPr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27A2F" w:rsidRPr="00823A37">
          <w:rPr>
            <w:rFonts w:ascii="IRBadr" w:hAnsi="IRBadr" w:cs="IRBadr"/>
            <w:noProof/>
            <w:webHidden/>
            <w:sz w:val="28"/>
          </w:rPr>
          <w:t>8</w:t>
        </w:r>
        <w:r w:rsidR="00B27A2F" w:rsidRPr="00823A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27A2F" w:rsidRPr="00823A37" w:rsidRDefault="00B27A2F" w:rsidP="00823A37">
      <w:pPr>
        <w:bidi/>
        <w:jc w:val="both"/>
        <w:rPr>
          <w:rFonts w:ascii="IRBadr" w:hAnsi="IRBadr" w:cs="IRBadr"/>
          <w:sz w:val="28"/>
          <w:rtl/>
        </w:rPr>
      </w:pPr>
      <w:r w:rsidRPr="00823A37">
        <w:rPr>
          <w:rFonts w:ascii="IRBadr" w:hAnsi="IRBadr" w:cs="IRBadr"/>
          <w:sz w:val="28"/>
          <w:rtl/>
        </w:rPr>
        <w:fldChar w:fldCharType="end"/>
      </w:r>
    </w:p>
    <w:p w:rsidR="00B27A2F" w:rsidRPr="00823A37" w:rsidRDefault="00B27A2F" w:rsidP="00823A37">
      <w:pPr>
        <w:bidi/>
        <w:jc w:val="both"/>
        <w:rPr>
          <w:rFonts w:ascii="IRBadr" w:hAnsi="IRBadr" w:cs="IRBadr"/>
          <w:sz w:val="28"/>
          <w:rtl/>
        </w:rPr>
      </w:pPr>
      <w:r w:rsidRPr="00823A37">
        <w:rPr>
          <w:rFonts w:ascii="IRBadr" w:hAnsi="IRBadr" w:cs="IRBadr"/>
          <w:sz w:val="28"/>
          <w:rtl/>
        </w:rPr>
        <w:br w:type="page"/>
      </w:r>
    </w:p>
    <w:p w:rsidR="009E3F71" w:rsidRPr="00823A37" w:rsidRDefault="009E3F71" w:rsidP="00823A37">
      <w:pPr>
        <w:pStyle w:val="1"/>
        <w:rPr>
          <w:rtl/>
        </w:rPr>
      </w:pPr>
      <w:bookmarkStart w:id="3" w:name="_Toc427712926"/>
      <w:r w:rsidRPr="00823A37">
        <w:rPr>
          <w:rtl/>
        </w:rPr>
        <w:lastRenderedPageBreak/>
        <w:t>خطبه اول</w:t>
      </w:r>
      <w:bookmarkEnd w:id="2"/>
      <w:bookmarkEnd w:id="3"/>
    </w:p>
    <w:p w:rsidR="00823A37" w:rsidRPr="00455965" w:rsidRDefault="00823A37" w:rsidP="00823A37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Pr="00823A37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وَکونُوا مَعَ الصَّادِقِینَ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823A37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823A37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823A37" w:rsidRPr="00823A37" w:rsidRDefault="00823A37" w:rsidP="00823A37">
      <w:pPr>
        <w:bidi/>
        <w:rPr>
          <w:rtl/>
        </w:rPr>
      </w:pPr>
    </w:p>
    <w:p w:rsidR="00010C7F" w:rsidRPr="00823A37" w:rsidRDefault="00010C7F" w:rsidP="00823A37">
      <w:pPr>
        <w:pStyle w:val="1"/>
      </w:pPr>
      <w:bookmarkStart w:id="4" w:name="_Toc427712927"/>
      <w:r w:rsidRPr="00823A37">
        <w:rPr>
          <w:rtl/>
        </w:rPr>
        <w:t>اسراف</w:t>
      </w:r>
      <w:bookmarkEnd w:id="4"/>
    </w:p>
    <w:p w:rsidR="008A79E1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  <w:rtl/>
        </w:rPr>
      </w:pPr>
      <w:r w:rsidRPr="00823A37">
        <w:rPr>
          <w:rFonts w:ascii="Cambria" w:hAnsi="Cambria" w:cs="Cambria"/>
          <w:sz w:val="28"/>
          <w:szCs w:val="28"/>
        </w:rPr>
        <w:t> </w:t>
      </w:r>
      <w:r w:rsidRPr="00823A37">
        <w:rPr>
          <w:rFonts w:ascii="IRBadr" w:hAnsi="IRBadr" w:cs="IRBadr"/>
          <w:sz w:val="28"/>
          <w:szCs w:val="28"/>
          <w:rtl/>
        </w:rPr>
        <w:t xml:space="preserve">اسراف یعنی </w:t>
      </w:r>
      <w:r w:rsidR="00823A37">
        <w:rPr>
          <w:rFonts w:ascii="IRBadr" w:hAnsi="IRBadr" w:cs="IRBadr"/>
          <w:sz w:val="28"/>
          <w:szCs w:val="28"/>
          <w:rtl/>
        </w:rPr>
        <w:t>ز</w:t>
      </w:r>
      <w:r w:rsidR="00823A37">
        <w:rPr>
          <w:rFonts w:ascii="IRBadr" w:hAnsi="IRBadr" w:cs="IRBadr" w:hint="cs"/>
          <w:sz w:val="28"/>
          <w:szCs w:val="28"/>
          <w:rtl/>
        </w:rPr>
        <w:t>ی</w:t>
      </w:r>
      <w:r w:rsidR="00823A37">
        <w:rPr>
          <w:rFonts w:ascii="IRBadr" w:hAnsi="IRBadr" w:cs="IRBadr" w:hint="eastAsia"/>
          <w:sz w:val="28"/>
          <w:szCs w:val="28"/>
          <w:rtl/>
        </w:rPr>
        <w:t>اده‌رو</w:t>
      </w:r>
      <w:r w:rsidR="00823A37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و تجاوز که معنای مقابل آن قصد و </w:t>
      </w:r>
      <w:r w:rsidR="00823A37">
        <w:rPr>
          <w:rFonts w:ascii="IRBadr" w:hAnsi="IRBadr" w:cs="IRBadr"/>
          <w:sz w:val="28"/>
          <w:szCs w:val="28"/>
          <w:rtl/>
        </w:rPr>
        <w:t>م</w:t>
      </w:r>
      <w:r w:rsidR="00823A37">
        <w:rPr>
          <w:rFonts w:ascii="IRBadr" w:hAnsi="IRBadr" w:cs="IRBadr" w:hint="cs"/>
          <w:sz w:val="28"/>
          <w:szCs w:val="28"/>
          <w:rtl/>
        </w:rPr>
        <w:t>ی</w:t>
      </w:r>
      <w:r w:rsidR="00823A37">
        <w:rPr>
          <w:rFonts w:ascii="IRBadr" w:hAnsi="IRBadr" w:cs="IRBadr" w:hint="eastAsia"/>
          <w:sz w:val="28"/>
          <w:szCs w:val="28"/>
          <w:rtl/>
        </w:rPr>
        <w:t>انه‌رو</w:t>
      </w:r>
      <w:r w:rsidR="00823A37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است. اسراف هرگونه عمل بیهوده و </w:t>
      </w:r>
      <w:r w:rsidR="00C82781">
        <w:rPr>
          <w:rFonts w:ascii="IRBadr" w:hAnsi="IRBadr" w:cs="IRBadr"/>
          <w:sz w:val="28"/>
          <w:szCs w:val="28"/>
          <w:rtl/>
        </w:rPr>
        <w:t>ز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اده‌رو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و تجاوز از حد طبیعی، چه در کیفیت و چه در کمیت می‌باشد. از این بیان معلوم می‌شود که اسراف تنها مربوط به </w:t>
      </w:r>
      <w:r w:rsidR="00CA12F0" w:rsidRPr="00823A37">
        <w:rPr>
          <w:rFonts w:ascii="IRBadr" w:hAnsi="IRBadr" w:cs="IRBadr"/>
          <w:sz w:val="28"/>
          <w:szCs w:val="28"/>
          <w:rtl/>
        </w:rPr>
        <w:t>خوردنی‌ها</w:t>
      </w:r>
      <w:r w:rsidRPr="00823A37">
        <w:rPr>
          <w:rFonts w:ascii="IRBadr" w:hAnsi="IRBadr" w:cs="IRBadr"/>
          <w:sz w:val="28"/>
          <w:szCs w:val="28"/>
          <w:rtl/>
        </w:rPr>
        <w:t xml:space="preserve"> و نوشیدنی‌ها و یا در امور اقتصادی نبوده، بلکه اسراف معنایی </w:t>
      </w:r>
      <w:r w:rsidR="00C82781">
        <w:rPr>
          <w:rFonts w:ascii="IRBadr" w:hAnsi="IRBadr" w:cs="IRBadr"/>
          <w:sz w:val="28"/>
          <w:szCs w:val="28"/>
          <w:rtl/>
        </w:rPr>
        <w:t>جامع‌تر</w:t>
      </w:r>
      <w:r w:rsidRPr="00823A37">
        <w:rPr>
          <w:rFonts w:ascii="IRBadr" w:hAnsi="IRBadr" w:cs="IRBadr"/>
          <w:sz w:val="28"/>
          <w:szCs w:val="28"/>
          <w:rtl/>
        </w:rPr>
        <w:t xml:space="preserve"> و </w:t>
      </w:r>
      <w:r w:rsidR="00C82781">
        <w:rPr>
          <w:rFonts w:ascii="IRBadr" w:hAnsi="IRBadr" w:cs="IRBadr"/>
          <w:sz w:val="28"/>
          <w:szCs w:val="28"/>
          <w:rtl/>
        </w:rPr>
        <w:t>وس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ع‌تر</w:t>
      </w:r>
      <w:r w:rsidR="00C82781">
        <w:rPr>
          <w:rFonts w:ascii="IRBadr" w:hAnsi="IRBadr" w:cs="IRBadr"/>
          <w:sz w:val="28"/>
          <w:szCs w:val="28"/>
          <w:rtl/>
        </w:rPr>
        <w:t xml:space="preserve"> را دربرم</w:t>
      </w:r>
      <w:r w:rsidR="00C82781">
        <w:rPr>
          <w:rFonts w:ascii="IRBadr" w:hAnsi="IRBadr" w:cs="IRBadr" w:hint="cs"/>
          <w:sz w:val="28"/>
          <w:szCs w:val="28"/>
          <w:rtl/>
        </w:rPr>
        <w:t>ی‌</w:t>
      </w:r>
      <w:r w:rsidR="00C82781">
        <w:rPr>
          <w:rFonts w:ascii="IRBadr" w:hAnsi="IRBadr" w:cs="IRBadr" w:hint="eastAsia"/>
          <w:sz w:val="28"/>
          <w:szCs w:val="28"/>
          <w:rtl/>
        </w:rPr>
        <w:t>گ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رد</w:t>
      </w:r>
      <w:r w:rsidRPr="00823A37">
        <w:rPr>
          <w:rFonts w:ascii="IRBadr" w:hAnsi="IRBadr" w:cs="IRBadr"/>
          <w:sz w:val="28"/>
          <w:szCs w:val="28"/>
          <w:rtl/>
        </w:rPr>
        <w:t xml:space="preserve">. در حقیقت می‌توان گفت: اسراف هرگونه تجاوز از حد یا افراط و تندروی و یا وضعیت نامناسب حالات نفسانی و روحیات و صفات غیر معتدل اخلاقی، فرهنگی و اجتماعی افراد در جامعه می‌باشد. این تعریف تکلیف را بسیار سنگین می‌کند؛ زیرا اسراف از حوزه اقتصادی و خوردن و نوشیدن به سایر حوزه‌های دیگر اعمال انسان نیز کشیده </w:t>
      </w:r>
      <w:r w:rsidR="00CA12F0" w:rsidRPr="00823A37">
        <w:rPr>
          <w:rFonts w:ascii="IRBadr" w:hAnsi="IRBadr" w:cs="IRBadr"/>
          <w:sz w:val="28"/>
          <w:szCs w:val="28"/>
          <w:rtl/>
        </w:rPr>
        <w:t>می‌شود</w:t>
      </w:r>
      <w:r w:rsidRPr="00823A37">
        <w:rPr>
          <w:rFonts w:ascii="IRBadr" w:hAnsi="IRBadr" w:cs="IRBadr"/>
          <w:sz w:val="28"/>
          <w:szCs w:val="28"/>
        </w:rPr>
        <w:t>.</w:t>
      </w:r>
    </w:p>
    <w:p w:rsidR="008A79E1" w:rsidRPr="00823A37" w:rsidRDefault="008A79E1" w:rsidP="00823A37">
      <w:pPr>
        <w:pStyle w:val="1"/>
      </w:pPr>
      <w:bookmarkStart w:id="5" w:name="_Toc427712928"/>
      <w:r w:rsidRPr="00823A37">
        <w:rPr>
          <w:rtl/>
        </w:rPr>
        <w:t>عوامل تعیین‌کننده در اسراف</w:t>
      </w:r>
      <w:bookmarkEnd w:id="5"/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Cambria" w:hAnsi="Cambria" w:cs="Cambria"/>
          <w:sz w:val="28"/>
          <w:szCs w:val="28"/>
        </w:rPr>
        <w:t> </w:t>
      </w:r>
      <w:r w:rsidRPr="00823A37">
        <w:rPr>
          <w:rFonts w:ascii="IRBadr" w:hAnsi="IRBadr" w:cs="IRBadr"/>
          <w:sz w:val="28"/>
          <w:szCs w:val="28"/>
          <w:rtl/>
        </w:rPr>
        <w:t xml:space="preserve">از </w:t>
      </w:r>
      <w:r w:rsidR="00CA12F0" w:rsidRPr="00823A37">
        <w:rPr>
          <w:rFonts w:ascii="IRBadr" w:hAnsi="IRBadr" w:cs="IRBadr"/>
          <w:sz w:val="28"/>
          <w:szCs w:val="28"/>
          <w:rtl/>
        </w:rPr>
        <w:t>گفته‌های</w:t>
      </w:r>
      <w:r w:rsidRPr="00823A37">
        <w:rPr>
          <w:rFonts w:ascii="IRBadr" w:hAnsi="IRBadr" w:cs="IRBadr"/>
          <w:sz w:val="28"/>
          <w:szCs w:val="28"/>
          <w:rtl/>
        </w:rPr>
        <w:t xml:space="preserve"> اهل لغت و تفسیر در مورد واژه اسراف به دست </w:t>
      </w:r>
      <w:r w:rsidR="00CA12F0" w:rsidRPr="00823A37">
        <w:rPr>
          <w:rFonts w:ascii="IRBadr" w:hAnsi="IRBadr" w:cs="IRBadr"/>
          <w:sz w:val="28"/>
          <w:szCs w:val="28"/>
          <w:rtl/>
        </w:rPr>
        <w:t>می‌آید</w:t>
      </w:r>
      <w:r w:rsidRPr="00823A37">
        <w:rPr>
          <w:rFonts w:ascii="IRBadr" w:hAnsi="IRBadr" w:cs="IRBadr"/>
          <w:sz w:val="28"/>
          <w:szCs w:val="28"/>
          <w:rtl/>
        </w:rPr>
        <w:t xml:space="preserve"> که با سه ملاک، حدّ معتبر در اسراف که رعایت آن </w:t>
      </w:r>
      <w:r w:rsidR="00C82781">
        <w:rPr>
          <w:rFonts w:ascii="IRBadr" w:hAnsi="IRBadr" w:cs="IRBadr"/>
          <w:sz w:val="28"/>
          <w:szCs w:val="28"/>
          <w:rtl/>
        </w:rPr>
        <w:t>م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انه‌رو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است و تجاوز از آن موجب </w:t>
      </w:r>
      <w:r w:rsidR="00CA12F0" w:rsidRPr="00823A37">
        <w:rPr>
          <w:rFonts w:ascii="IRBadr" w:hAnsi="IRBadr" w:cs="IRBadr"/>
          <w:sz w:val="28"/>
          <w:szCs w:val="28"/>
          <w:rtl/>
        </w:rPr>
        <w:t>می‌شود</w:t>
      </w:r>
      <w:r w:rsidRPr="00823A37">
        <w:rPr>
          <w:rFonts w:ascii="IRBadr" w:hAnsi="IRBadr" w:cs="IRBadr"/>
          <w:sz w:val="28"/>
          <w:szCs w:val="28"/>
          <w:rtl/>
        </w:rPr>
        <w:t xml:space="preserve"> تا انسان در شمار مسرفین قرار گیرد</w:t>
      </w:r>
      <w:r w:rsidR="00CA12F0" w:rsidRPr="00823A37">
        <w:rPr>
          <w:rFonts w:ascii="IRBadr" w:hAnsi="IRBadr" w:cs="IRBadr"/>
          <w:sz w:val="28"/>
          <w:szCs w:val="28"/>
          <w:rtl/>
        </w:rPr>
        <w:t xml:space="preserve"> </w:t>
      </w:r>
      <w:r w:rsidRPr="00823A37">
        <w:rPr>
          <w:rFonts w:ascii="IRBadr" w:hAnsi="IRBadr" w:cs="IRBadr"/>
          <w:sz w:val="28"/>
          <w:szCs w:val="28"/>
          <w:rtl/>
        </w:rPr>
        <w:t xml:space="preserve">تعیین </w:t>
      </w:r>
      <w:r w:rsidR="00CA12F0" w:rsidRPr="00823A37">
        <w:rPr>
          <w:rFonts w:ascii="IRBadr" w:hAnsi="IRBadr" w:cs="IRBadr"/>
          <w:sz w:val="28"/>
          <w:szCs w:val="28"/>
          <w:rtl/>
        </w:rPr>
        <w:t>می‌شود</w:t>
      </w:r>
      <w:r w:rsidR="008A79E1" w:rsidRPr="00823A37">
        <w:rPr>
          <w:rFonts w:ascii="IRBadr" w:hAnsi="IRBadr" w:cs="IRBadr"/>
          <w:sz w:val="28"/>
          <w:szCs w:val="28"/>
          <w:rtl/>
        </w:rPr>
        <w:t>:</w:t>
      </w:r>
    </w:p>
    <w:p w:rsidR="008A79E1" w:rsidRPr="00823A37" w:rsidRDefault="00010C7F" w:rsidP="00823A37">
      <w:pPr>
        <w:pStyle w:val="1"/>
        <w:rPr>
          <w:rtl/>
        </w:rPr>
      </w:pPr>
      <w:r w:rsidRPr="00823A37">
        <w:rPr>
          <w:rFonts w:ascii="Cambria" w:hAnsi="Cambria" w:cs="Cambria"/>
        </w:rPr>
        <w:t> </w:t>
      </w:r>
      <w:bookmarkStart w:id="6" w:name="_Toc427712929"/>
      <w:r w:rsidR="008A79E1" w:rsidRPr="00823A37">
        <w:rPr>
          <w:rtl/>
        </w:rPr>
        <w:t>1. گناهان و محرّمات شرعی</w:t>
      </w:r>
      <w:bookmarkEnd w:id="6"/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IRBadr" w:hAnsi="IRBadr" w:cs="IRBadr"/>
          <w:sz w:val="28"/>
          <w:szCs w:val="28"/>
          <w:rtl/>
        </w:rPr>
        <w:t xml:space="preserve">این بدان دلیل است که </w:t>
      </w:r>
      <w:r w:rsidR="00CA12F0" w:rsidRPr="00823A37">
        <w:rPr>
          <w:rFonts w:ascii="IRBadr" w:hAnsi="IRBadr" w:cs="IRBadr"/>
          <w:sz w:val="28"/>
          <w:szCs w:val="28"/>
          <w:rtl/>
        </w:rPr>
        <w:t>حرام‌ها</w:t>
      </w:r>
      <w:r w:rsidRPr="00823A37">
        <w:rPr>
          <w:rFonts w:ascii="IRBadr" w:hAnsi="IRBadr" w:cs="IRBadr"/>
          <w:sz w:val="28"/>
          <w:szCs w:val="28"/>
          <w:rtl/>
        </w:rPr>
        <w:t xml:space="preserve"> و </w:t>
      </w:r>
      <w:r w:rsidR="00CA12F0" w:rsidRPr="00823A37">
        <w:rPr>
          <w:rFonts w:ascii="IRBadr" w:hAnsi="IRBadr" w:cs="IRBadr"/>
          <w:sz w:val="28"/>
          <w:szCs w:val="28"/>
          <w:rtl/>
        </w:rPr>
        <w:t>معصیت‌ها</w:t>
      </w:r>
      <w:r w:rsidRPr="00823A37">
        <w:rPr>
          <w:rFonts w:ascii="IRBadr" w:hAnsi="IRBadr" w:cs="IRBadr"/>
          <w:sz w:val="28"/>
          <w:szCs w:val="28"/>
          <w:rtl/>
        </w:rPr>
        <w:t xml:space="preserve"> خود حدود </w:t>
      </w:r>
      <w:r w:rsidR="00C82781">
        <w:rPr>
          <w:rFonts w:ascii="IRBadr" w:hAnsi="IRBadr" w:cs="IRBadr"/>
          <w:sz w:val="28"/>
          <w:szCs w:val="28"/>
          <w:rtl/>
        </w:rPr>
        <w:t>اله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اند، و ارتکاب </w:t>
      </w:r>
      <w:r w:rsidR="00CA12F0" w:rsidRPr="00823A37">
        <w:rPr>
          <w:rFonts w:ascii="IRBadr" w:hAnsi="IRBadr" w:cs="IRBadr"/>
          <w:sz w:val="28"/>
          <w:szCs w:val="28"/>
          <w:rtl/>
        </w:rPr>
        <w:t>آن‌ها</w:t>
      </w:r>
      <w:r w:rsidRPr="00823A37">
        <w:rPr>
          <w:rFonts w:ascii="IRBadr" w:hAnsi="IRBadr" w:cs="IRBadr"/>
          <w:sz w:val="28"/>
          <w:szCs w:val="28"/>
          <w:rtl/>
        </w:rPr>
        <w:t xml:space="preserve"> اگر چه بدون صرف مال باشد، اسراف به معنای گناه و تجاوز از دستورهای دینی است</w:t>
      </w:r>
      <w:r w:rsidRPr="00823A37">
        <w:rPr>
          <w:rFonts w:ascii="IRBadr" w:hAnsi="IRBadr" w:cs="IRBadr"/>
          <w:sz w:val="28"/>
          <w:szCs w:val="28"/>
        </w:rPr>
        <w:t>.</w:t>
      </w:r>
    </w:p>
    <w:p w:rsidR="008A79E1" w:rsidRPr="00823A37" w:rsidRDefault="008A79E1" w:rsidP="00823A37">
      <w:pPr>
        <w:pStyle w:val="1"/>
        <w:rPr>
          <w:rtl/>
        </w:rPr>
      </w:pPr>
      <w:bookmarkStart w:id="7" w:name="_Toc427712930"/>
      <w:r w:rsidRPr="00823A37">
        <w:rPr>
          <w:rtl/>
        </w:rPr>
        <w:lastRenderedPageBreak/>
        <w:t>2. حکم عقل و معیارهای عقل</w:t>
      </w:r>
      <w:bookmarkEnd w:id="7"/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IRBadr" w:hAnsi="IRBadr" w:cs="IRBadr"/>
          <w:sz w:val="28"/>
          <w:szCs w:val="28"/>
        </w:rPr>
        <w:t xml:space="preserve"> </w:t>
      </w:r>
      <w:r w:rsidRPr="00823A37">
        <w:rPr>
          <w:rFonts w:ascii="IRBadr" w:hAnsi="IRBadr" w:cs="IRBadr"/>
          <w:sz w:val="28"/>
          <w:szCs w:val="28"/>
          <w:rtl/>
        </w:rPr>
        <w:t xml:space="preserve">این در مواردی است که عقل بر قبح صرف مال در </w:t>
      </w:r>
      <w:r w:rsidR="00CA12F0" w:rsidRPr="00823A37">
        <w:rPr>
          <w:rFonts w:ascii="IRBadr" w:hAnsi="IRBadr" w:cs="IRBadr"/>
          <w:sz w:val="28"/>
          <w:szCs w:val="28"/>
          <w:rtl/>
        </w:rPr>
        <w:t>آن‌ها</w:t>
      </w:r>
      <w:r w:rsidRPr="00823A37">
        <w:rPr>
          <w:rFonts w:ascii="IRBadr" w:hAnsi="IRBadr" w:cs="IRBadr"/>
          <w:sz w:val="28"/>
          <w:szCs w:val="28"/>
          <w:rtl/>
        </w:rPr>
        <w:t xml:space="preserve"> حکم </w:t>
      </w:r>
      <w:r w:rsidR="00CA12F0" w:rsidRPr="00823A37">
        <w:rPr>
          <w:rFonts w:ascii="IRBadr" w:hAnsi="IRBadr" w:cs="IRBadr"/>
          <w:sz w:val="28"/>
          <w:szCs w:val="28"/>
          <w:rtl/>
        </w:rPr>
        <w:t>می‌نماید</w:t>
      </w:r>
      <w:r w:rsidRPr="00823A37">
        <w:rPr>
          <w:rFonts w:ascii="IRBadr" w:hAnsi="IRBadr" w:cs="IRBadr"/>
          <w:sz w:val="28"/>
          <w:szCs w:val="28"/>
          <w:rtl/>
        </w:rPr>
        <w:t xml:space="preserve">، </w:t>
      </w:r>
      <w:r w:rsidR="00C82781">
        <w:rPr>
          <w:rFonts w:ascii="IRBadr" w:hAnsi="IRBadr" w:cs="IRBadr"/>
          <w:sz w:val="28"/>
          <w:szCs w:val="28"/>
          <w:rtl/>
        </w:rPr>
        <w:t>به‌گونه‌ا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که تجاوز از آن به نوعی سفاهت و جهالت است؛ مانند اتلاف و نابود کردن ثروت و یا خرج آن در موارد نادرست و </w:t>
      </w:r>
      <w:r w:rsidR="00C82781">
        <w:rPr>
          <w:rFonts w:ascii="IRBadr" w:hAnsi="IRBadr" w:cs="IRBadr"/>
          <w:sz w:val="28"/>
          <w:szCs w:val="28"/>
          <w:rtl/>
        </w:rPr>
        <w:t>ب</w:t>
      </w:r>
      <w:r w:rsidR="00C82781">
        <w:rPr>
          <w:rFonts w:ascii="IRBadr" w:hAnsi="IRBadr" w:cs="IRBadr" w:hint="cs"/>
          <w:sz w:val="28"/>
          <w:szCs w:val="28"/>
          <w:rtl/>
        </w:rPr>
        <w:t>ی‌</w:t>
      </w:r>
      <w:r w:rsidR="00C82781">
        <w:rPr>
          <w:rFonts w:ascii="IRBadr" w:hAnsi="IRBadr" w:cs="IRBadr" w:hint="eastAsia"/>
          <w:sz w:val="28"/>
          <w:szCs w:val="28"/>
          <w:rtl/>
        </w:rPr>
        <w:t>فا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ده</w:t>
      </w:r>
      <w:r w:rsidRPr="00823A37">
        <w:rPr>
          <w:rFonts w:ascii="IRBadr" w:hAnsi="IRBadr" w:cs="IRBadr"/>
          <w:sz w:val="28"/>
          <w:szCs w:val="28"/>
          <w:rtl/>
        </w:rPr>
        <w:t xml:space="preserve"> که حاکی از نارسایی عقلی و ضعف اندیشه مرتکب این عمل است</w:t>
      </w:r>
      <w:r w:rsidR="008A79E1" w:rsidRPr="00823A37">
        <w:rPr>
          <w:rFonts w:ascii="IRBadr" w:hAnsi="IRBadr" w:cs="IRBadr"/>
          <w:sz w:val="28"/>
          <w:szCs w:val="28"/>
        </w:rPr>
        <w:t>.</w:t>
      </w:r>
    </w:p>
    <w:p w:rsidR="008A79E1" w:rsidRPr="00823A37" w:rsidRDefault="00010C7F" w:rsidP="00823A37">
      <w:pPr>
        <w:pStyle w:val="1"/>
        <w:rPr>
          <w:rtl/>
        </w:rPr>
      </w:pPr>
      <w:r w:rsidRPr="00823A37">
        <w:rPr>
          <w:rFonts w:ascii="Cambria" w:hAnsi="Cambria" w:cs="Cambria"/>
        </w:rPr>
        <w:t> </w:t>
      </w:r>
      <w:bookmarkStart w:id="8" w:name="_Toc427712931"/>
      <w:r w:rsidR="008A79E1" w:rsidRPr="00823A37">
        <w:rPr>
          <w:rtl/>
        </w:rPr>
        <w:t>3. عرف جامعه</w:t>
      </w:r>
      <w:bookmarkEnd w:id="8"/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IRBadr" w:hAnsi="IRBadr" w:cs="IRBadr"/>
          <w:sz w:val="28"/>
          <w:szCs w:val="28"/>
          <w:rtl/>
        </w:rPr>
        <w:t xml:space="preserve">عرف اجتماعی هم عامل </w:t>
      </w:r>
      <w:r w:rsidR="00C82781">
        <w:rPr>
          <w:rFonts w:ascii="IRBadr" w:hAnsi="IRBadr" w:cs="IRBadr"/>
          <w:sz w:val="28"/>
          <w:szCs w:val="28"/>
          <w:rtl/>
        </w:rPr>
        <w:t>تع</w:t>
      </w:r>
      <w:r w:rsidR="00C82781">
        <w:rPr>
          <w:rFonts w:ascii="IRBadr" w:hAnsi="IRBadr" w:cs="IRBadr" w:hint="cs"/>
          <w:sz w:val="28"/>
          <w:szCs w:val="28"/>
          <w:rtl/>
        </w:rPr>
        <w:t>یی</w:t>
      </w:r>
      <w:r w:rsidR="00C82781">
        <w:rPr>
          <w:rFonts w:ascii="IRBadr" w:hAnsi="IRBadr" w:cs="IRBadr" w:hint="eastAsia"/>
          <w:sz w:val="28"/>
          <w:szCs w:val="28"/>
          <w:rtl/>
        </w:rPr>
        <w:t>ن‌کننده</w:t>
      </w:r>
      <w:r w:rsidRPr="00823A37">
        <w:rPr>
          <w:rFonts w:ascii="IRBadr" w:hAnsi="IRBadr" w:cs="IRBadr"/>
          <w:sz w:val="28"/>
          <w:szCs w:val="28"/>
          <w:rtl/>
        </w:rPr>
        <w:t xml:space="preserve"> حد در باب اسراف است؛ </w:t>
      </w:r>
      <w:r w:rsidR="00C82781">
        <w:rPr>
          <w:rFonts w:ascii="IRBadr" w:hAnsi="IRBadr" w:cs="IRBadr"/>
          <w:sz w:val="28"/>
          <w:szCs w:val="28"/>
          <w:rtl/>
        </w:rPr>
        <w:t>به‌عنوان‌مثال</w:t>
      </w:r>
      <w:r w:rsidRPr="00823A37">
        <w:rPr>
          <w:rFonts w:ascii="IRBadr" w:hAnsi="IRBadr" w:cs="IRBadr"/>
          <w:sz w:val="28"/>
          <w:szCs w:val="28"/>
          <w:rtl/>
        </w:rPr>
        <w:t xml:space="preserve"> مصرف مال در راه مصالح شخصی و زن و فرزند و یا انفاق آن برای مصالح دیگران، </w:t>
      </w:r>
      <w:r w:rsidR="00C82781">
        <w:rPr>
          <w:rFonts w:ascii="IRBadr" w:hAnsi="IRBadr" w:cs="IRBadr"/>
          <w:sz w:val="28"/>
          <w:szCs w:val="28"/>
          <w:rtl/>
        </w:rPr>
        <w:t>هرکدام</w:t>
      </w:r>
      <w:r w:rsidRPr="00823A37">
        <w:rPr>
          <w:rFonts w:ascii="IRBadr" w:hAnsi="IRBadr" w:cs="IRBadr"/>
          <w:sz w:val="28"/>
          <w:szCs w:val="28"/>
          <w:rtl/>
        </w:rPr>
        <w:t xml:space="preserve"> محدود به حدی است که عرف جامعه آن را بر اساس اوضاع اقتصادی هر زمان، و بر پایه وضعیت مالی و موقعیت اقتصادی و اجتماعی هر شخص تعیین و تحدید </w:t>
      </w:r>
      <w:r w:rsidR="00CA12F0" w:rsidRPr="00823A37">
        <w:rPr>
          <w:rFonts w:ascii="IRBadr" w:hAnsi="IRBadr" w:cs="IRBadr"/>
          <w:sz w:val="28"/>
          <w:szCs w:val="28"/>
          <w:rtl/>
        </w:rPr>
        <w:t>می‌نماید</w:t>
      </w:r>
      <w:r w:rsidRPr="00823A37">
        <w:rPr>
          <w:rFonts w:ascii="IRBadr" w:hAnsi="IRBadr" w:cs="IRBadr"/>
          <w:sz w:val="28"/>
          <w:szCs w:val="28"/>
          <w:rtl/>
        </w:rPr>
        <w:t xml:space="preserve"> و </w:t>
      </w:r>
      <w:r w:rsidR="00C82781">
        <w:rPr>
          <w:rFonts w:ascii="IRBadr" w:hAnsi="IRBadr" w:cs="IRBadr"/>
          <w:sz w:val="28"/>
          <w:szCs w:val="28"/>
          <w:rtl/>
        </w:rPr>
        <w:t>همان‌گونه</w:t>
      </w:r>
      <w:r w:rsidR="008A79E1" w:rsidRPr="00823A37">
        <w:rPr>
          <w:rFonts w:ascii="IRBadr" w:hAnsi="IRBadr" w:cs="IRBadr"/>
          <w:sz w:val="28"/>
          <w:szCs w:val="28"/>
          <w:rtl/>
        </w:rPr>
        <w:t xml:space="preserve"> که کم ر</w:t>
      </w:r>
      <w:r w:rsidRPr="00823A37">
        <w:rPr>
          <w:rFonts w:ascii="IRBadr" w:hAnsi="IRBadr" w:cs="IRBadr"/>
          <w:sz w:val="28"/>
          <w:szCs w:val="28"/>
          <w:rtl/>
        </w:rPr>
        <w:t xml:space="preserve">وی از آن، مصداق بخل است و اگر موجب از بین بردن حق واجبی شود، حرام و معصیت است. </w:t>
      </w:r>
      <w:r w:rsidR="00C82781">
        <w:rPr>
          <w:rFonts w:ascii="IRBadr" w:hAnsi="IRBadr" w:cs="IRBadr"/>
          <w:sz w:val="28"/>
          <w:szCs w:val="28"/>
          <w:rtl/>
        </w:rPr>
        <w:t>ز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اده‌رو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و تجاوز از آن نیز به معنای خروج از حدّ اعتدال، و ورود به جرگه </w:t>
      </w:r>
      <w:r w:rsidR="00C82781">
        <w:rPr>
          <w:rFonts w:ascii="IRBadr" w:hAnsi="IRBadr" w:cs="IRBadr"/>
          <w:sz w:val="28"/>
          <w:szCs w:val="28"/>
          <w:rtl/>
        </w:rPr>
        <w:t>اسراف‌کنندگان</w:t>
      </w:r>
      <w:r w:rsidRPr="00823A37">
        <w:rPr>
          <w:rFonts w:ascii="IRBadr" w:hAnsi="IRBadr" w:cs="IRBadr"/>
          <w:sz w:val="28"/>
          <w:szCs w:val="28"/>
          <w:rtl/>
        </w:rPr>
        <w:t xml:space="preserve"> خواهد بود</w:t>
      </w:r>
      <w:r w:rsidRPr="00823A37">
        <w:rPr>
          <w:rFonts w:ascii="IRBadr" w:hAnsi="IRBadr" w:cs="IRBadr"/>
          <w:sz w:val="28"/>
          <w:szCs w:val="28"/>
        </w:rPr>
        <w:t>.</w:t>
      </w:r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Cambria" w:hAnsi="Cambria" w:cs="Cambria"/>
          <w:sz w:val="28"/>
          <w:szCs w:val="28"/>
        </w:rPr>
        <w:t> </w:t>
      </w:r>
      <w:r w:rsidRPr="00823A37">
        <w:rPr>
          <w:rFonts w:ascii="IRBadr" w:hAnsi="IRBadr" w:cs="IRBadr"/>
          <w:sz w:val="28"/>
          <w:szCs w:val="28"/>
          <w:rtl/>
        </w:rPr>
        <w:t xml:space="preserve">حد در مورد مصارف شخصی و انفاقات، امری است بسته به اعتبار عرفی و بر همین اساس وضعیت افراد نسبت به هم در این مورد متفاوت است؛ به عبارت دیگر حدّ مجازی که عرف اجتماعی برای مصارف شخصی و خانواده تعیین </w:t>
      </w:r>
      <w:r w:rsidR="00CA12F0" w:rsidRPr="00823A37">
        <w:rPr>
          <w:rFonts w:ascii="IRBadr" w:hAnsi="IRBadr" w:cs="IRBadr"/>
          <w:sz w:val="28"/>
          <w:szCs w:val="28"/>
          <w:rtl/>
        </w:rPr>
        <w:t>می‌کند</w:t>
      </w:r>
      <w:r w:rsidRPr="00823A37">
        <w:rPr>
          <w:rFonts w:ascii="IRBadr" w:hAnsi="IRBadr" w:cs="IRBadr"/>
          <w:sz w:val="28"/>
          <w:szCs w:val="28"/>
          <w:rtl/>
        </w:rPr>
        <w:t xml:space="preserve">، درباره همه اشخاص یکسان و 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کنواخت</w:t>
      </w:r>
      <w:r w:rsidRPr="00823A37">
        <w:rPr>
          <w:rFonts w:ascii="IRBadr" w:hAnsi="IRBadr" w:cs="IRBadr"/>
          <w:sz w:val="28"/>
          <w:szCs w:val="28"/>
          <w:rtl/>
        </w:rPr>
        <w:t xml:space="preserve"> نیست، بلکه </w:t>
      </w:r>
      <w:r w:rsidR="00C82781">
        <w:rPr>
          <w:rFonts w:ascii="IRBadr" w:hAnsi="IRBadr" w:cs="IRBadr"/>
          <w:sz w:val="28"/>
          <w:szCs w:val="28"/>
          <w:rtl/>
        </w:rPr>
        <w:t>به‌اندازه</w:t>
      </w:r>
      <w:r w:rsidRPr="00823A37">
        <w:rPr>
          <w:rFonts w:ascii="IRBadr" w:hAnsi="IRBadr" w:cs="IRBadr"/>
          <w:sz w:val="28"/>
          <w:szCs w:val="28"/>
          <w:rtl/>
        </w:rPr>
        <w:t xml:space="preserve"> </w:t>
      </w:r>
      <w:r w:rsidR="00CA12F0" w:rsidRPr="00823A37">
        <w:rPr>
          <w:rFonts w:ascii="IRBadr" w:hAnsi="IRBadr" w:cs="IRBadr"/>
          <w:sz w:val="28"/>
          <w:szCs w:val="28"/>
          <w:rtl/>
        </w:rPr>
        <w:t>تفاوت‌های</w:t>
      </w:r>
      <w:r w:rsidRPr="00823A37">
        <w:rPr>
          <w:rFonts w:ascii="IRBadr" w:hAnsi="IRBadr" w:cs="IRBadr"/>
          <w:sz w:val="28"/>
          <w:szCs w:val="28"/>
          <w:rtl/>
        </w:rPr>
        <w:t xml:space="preserve"> مالی و </w:t>
      </w:r>
      <w:r w:rsidR="00CA12F0" w:rsidRPr="00823A37">
        <w:rPr>
          <w:rFonts w:ascii="IRBadr" w:hAnsi="IRBadr" w:cs="IRBadr"/>
          <w:sz w:val="28"/>
          <w:szCs w:val="28"/>
          <w:rtl/>
        </w:rPr>
        <w:t>موقعیت‌های</w:t>
      </w:r>
      <w:r w:rsidRPr="00823A37">
        <w:rPr>
          <w:rFonts w:ascii="IRBadr" w:hAnsi="IRBadr" w:cs="IRBadr"/>
          <w:sz w:val="28"/>
          <w:szCs w:val="28"/>
          <w:rtl/>
        </w:rPr>
        <w:t xml:space="preserve"> اجتماعی افراد مختلف است؛ لذا ممکن است مصرف مقدار معینی از مال، در یک مورد از شخصی اسراف باشد، </w:t>
      </w:r>
      <w:r w:rsidR="00C82781">
        <w:rPr>
          <w:rFonts w:ascii="IRBadr" w:hAnsi="IRBadr" w:cs="IRBadr"/>
          <w:sz w:val="28"/>
          <w:szCs w:val="28"/>
          <w:rtl/>
        </w:rPr>
        <w:t>درحال</w:t>
      </w:r>
      <w:r w:rsidR="00C82781">
        <w:rPr>
          <w:rFonts w:ascii="IRBadr" w:hAnsi="IRBadr" w:cs="IRBadr" w:hint="cs"/>
          <w:sz w:val="28"/>
          <w:szCs w:val="28"/>
          <w:rtl/>
        </w:rPr>
        <w:t>ی‌</w:t>
      </w:r>
      <w:r w:rsidR="00C82781">
        <w:rPr>
          <w:rFonts w:ascii="IRBadr" w:hAnsi="IRBadr" w:cs="IRBadr" w:hint="eastAsia"/>
          <w:sz w:val="28"/>
          <w:szCs w:val="28"/>
          <w:rtl/>
        </w:rPr>
        <w:t>که</w:t>
      </w:r>
      <w:r w:rsidRPr="00823A37">
        <w:rPr>
          <w:rFonts w:ascii="IRBadr" w:hAnsi="IRBadr" w:cs="IRBadr"/>
          <w:sz w:val="28"/>
          <w:szCs w:val="28"/>
          <w:rtl/>
        </w:rPr>
        <w:t xml:space="preserve"> مصرف همان مقدار در آن مورد، برای شخص دیگری که از وضع مالی و موقعیت اجتماعی بالاتری برخوردار است، اسراف نباشد</w:t>
      </w:r>
      <w:r w:rsidRPr="00823A37">
        <w:rPr>
          <w:rFonts w:ascii="IRBadr" w:hAnsi="IRBadr" w:cs="IRBadr"/>
          <w:sz w:val="28"/>
          <w:szCs w:val="28"/>
        </w:rPr>
        <w:t>.</w:t>
      </w:r>
    </w:p>
    <w:p w:rsidR="00010C7F" w:rsidRPr="00823A37" w:rsidRDefault="009D7F16" w:rsidP="00823A37">
      <w:pPr>
        <w:pStyle w:val="1"/>
      </w:pPr>
      <w:bookmarkStart w:id="9" w:name="_Toc427712932"/>
      <w:r w:rsidRPr="00823A37">
        <w:rPr>
          <w:rtl/>
        </w:rPr>
        <w:t xml:space="preserve">مفهوم </w:t>
      </w:r>
      <w:r w:rsidR="00010C7F" w:rsidRPr="00823A37">
        <w:rPr>
          <w:rtl/>
        </w:rPr>
        <w:t>تبذیر</w:t>
      </w:r>
      <w:bookmarkEnd w:id="9"/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Cambria" w:hAnsi="Cambria" w:cs="Cambria"/>
          <w:sz w:val="28"/>
          <w:szCs w:val="28"/>
        </w:rPr>
        <w:t> </w:t>
      </w:r>
      <w:r w:rsidRPr="00823A37">
        <w:rPr>
          <w:rFonts w:ascii="IRBadr" w:hAnsi="IRBadr" w:cs="IRBadr"/>
          <w:spacing w:val="-4"/>
          <w:sz w:val="28"/>
          <w:szCs w:val="28"/>
          <w:rtl/>
        </w:rPr>
        <w:t xml:space="preserve">هدف از طرح موضوع اسراف در اسلام </w:t>
      </w:r>
      <w:r w:rsidR="00C82781">
        <w:rPr>
          <w:rFonts w:ascii="IRBadr" w:hAnsi="IRBadr" w:cs="IRBadr"/>
          <w:spacing w:val="-4"/>
          <w:sz w:val="28"/>
          <w:szCs w:val="28"/>
          <w:rtl/>
        </w:rPr>
        <w:t>همان‌طور</w:t>
      </w:r>
      <w:r w:rsidRPr="00823A37">
        <w:rPr>
          <w:rFonts w:ascii="IRBadr" w:hAnsi="IRBadr" w:cs="IRBadr"/>
          <w:spacing w:val="-4"/>
          <w:sz w:val="28"/>
          <w:szCs w:val="28"/>
          <w:rtl/>
        </w:rPr>
        <w:t xml:space="preserve"> که گفته شد جنبه اقتصادی خوردن و یا پوشیدن نیست که اگر این باشد به آن تبذیر گفته می‌شود</w:t>
      </w:r>
      <w:r w:rsidRPr="00823A37">
        <w:rPr>
          <w:rFonts w:ascii="IRBadr" w:hAnsi="IRBadr" w:cs="IRBadr"/>
          <w:spacing w:val="-4"/>
          <w:sz w:val="28"/>
          <w:szCs w:val="28"/>
        </w:rPr>
        <w:t>.</w:t>
      </w:r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>تبذیر زیر مجموعه اسراف است</w:t>
      </w:r>
      <w:r w:rsidRPr="00823A37">
        <w:rPr>
          <w:rFonts w:ascii="IRBadr" w:hAnsi="IRBadr" w:cs="IRBadr"/>
          <w:spacing w:val="-2"/>
          <w:sz w:val="28"/>
          <w:szCs w:val="28"/>
        </w:rPr>
        <w:t xml:space="preserve">.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در اسراف تلف کردن و ضایع نمودن مال به معنای فراگیرتری است و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دربرگ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رنده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مواردی است؛ مانند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ز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اده‌رو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در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انفاق‌های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شخصی و امور خیر که شامل معنای تبذیر نمی‌شود، اما در تبذیر شامل به هدر دادن و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ز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اده‌رو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در مصارف خوراکی، و ریخت و پاش زندگی می‌باشد. به بیان دیگر،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می‌توان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گفت هر تبذیری اسراف است، ولی هر اسرافی تبذیر نیست. امام صادق</w:t>
      </w:r>
      <w:r w:rsidRPr="00823A37">
        <w:rPr>
          <w:rFonts w:ascii="IRBadr" w:hAnsi="IRBadr" w:cs="IRBadr"/>
          <w:sz w:val="28"/>
          <w:szCs w:val="28"/>
          <w:rtl/>
        </w:rPr>
        <w:t xml:space="preserve"> </w:t>
      </w:r>
      <w:r w:rsidR="008A79E1" w:rsidRPr="00823A37">
        <w:rPr>
          <w:rFonts w:ascii="IRBadr" w:hAnsi="IRBadr" w:cs="IRBadr"/>
          <w:sz w:val="28"/>
          <w:szCs w:val="28"/>
          <w:rtl/>
        </w:rPr>
        <w:t>(</w:t>
      </w:r>
      <w:r w:rsidRPr="00823A37">
        <w:rPr>
          <w:rFonts w:ascii="IRBadr" w:hAnsi="IRBadr" w:cs="IRBadr"/>
          <w:sz w:val="28"/>
          <w:szCs w:val="28"/>
          <w:rtl/>
        </w:rPr>
        <w:t>ع</w:t>
      </w:r>
      <w:r w:rsidR="008A79E1" w:rsidRPr="00823A37">
        <w:rPr>
          <w:rFonts w:ascii="IRBadr" w:hAnsi="IRBadr" w:cs="IRBadr"/>
          <w:sz w:val="28"/>
          <w:szCs w:val="28"/>
          <w:rtl/>
        </w:rPr>
        <w:t xml:space="preserve">)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می‌فرماید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: </w:t>
      </w:r>
      <w:r w:rsidR="00CA12F0"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>«</w:t>
      </w:r>
      <w:r w:rsidR="008A79E1"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>اِنَّ التَّبْذ</w:t>
      </w:r>
      <w:r w:rsidR="00CA12F0"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>ی</w:t>
      </w:r>
      <w:r w:rsidR="008A79E1"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>رَ مِنَ الْاِسْرافِ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>»</w:t>
      </w:r>
      <w:r w:rsidR="008A79E1" w:rsidRPr="00823A37">
        <w:rPr>
          <w:rStyle w:val="aff0"/>
          <w:rFonts w:ascii="IRBadr" w:hAnsi="IRBadr" w:cs="IRBadr"/>
          <w:spacing w:val="-2"/>
          <w:sz w:val="28"/>
          <w:szCs w:val="28"/>
          <w:rtl/>
        </w:rPr>
        <w:footnoteReference w:id="3"/>
      </w:r>
      <w:r w:rsidR="008A79E1" w:rsidRPr="00823A37">
        <w:rPr>
          <w:rFonts w:ascii="IRBadr" w:hAnsi="IRBadr" w:cs="IRBadr"/>
          <w:spacing w:val="-2"/>
          <w:sz w:val="28"/>
          <w:szCs w:val="28"/>
          <w:rtl/>
        </w:rPr>
        <w:t xml:space="preserve">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تبذیر از اسراف است. برای اسراف شاخه‌هایی فرض شده که یکی از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آن‌ها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تبذیر است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Cambria" w:hAnsi="Cambria" w:cs="Cambria"/>
          <w:sz w:val="28"/>
          <w:szCs w:val="28"/>
        </w:rPr>
        <w:lastRenderedPageBreak/>
        <w:t> </w:t>
      </w:r>
      <w:r w:rsidRPr="00823A37">
        <w:rPr>
          <w:rFonts w:ascii="IRBadr" w:hAnsi="IRBadr" w:cs="IRBadr"/>
          <w:sz w:val="28"/>
          <w:szCs w:val="28"/>
          <w:rtl/>
        </w:rPr>
        <w:t xml:space="preserve">بنابر آنچه بیان شد، بین واژه اسراف به معنای اقتصادی آن با واژه تبذیر فرق زیادی وجود ندارد و تنها ممکن است در جهت تمایز بین این دو واژه گفته شود که با توجّه به خصوصیات تعابیر لغت شناسان در معنای تبذیر، مقصود از این واژه، تلف و ضایع کردن مال است و </w:t>
      </w:r>
      <w:r w:rsidR="00C82781">
        <w:rPr>
          <w:rFonts w:ascii="IRBadr" w:hAnsi="IRBadr" w:cs="IRBadr"/>
          <w:sz w:val="28"/>
          <w:szCs w:val="28"/>
          <w:rtl/>
        </w:rPr>
        <w:t>ز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اده‌رو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در انفاقات شخصی و امور خیر را شامل </w:t>
      </w:r>
      <w:r w:rsidR="00CA12F0" w:rsidRPr="00823A37">
        <w:rPr>
          <w:rFonts w:ascii="IRBadr" w:hAnsi="IRBadr" w:cs="IRBadr"/>
          <w:sz w:val="28"/>
          <w:szCs w:val="28"/>
          <w:rtl/>
        </w:rPr>
        <w:t>نمی‌شود</w:t>
      </w:r>
      <w:r w:rsidRPr="00823A37">
        <w:rPr>
          <w:rFonts w:ascii="IRBadr" w:hAnsi="IRBadr" w:cs="IRBadr"/>
          <w:sz w:val="28"/>
          <w:szCs w:val="28"/>
          <w:rtl/>
        </w:rPr>
        <w:t xml:space="preserve">؛ </w:t>
      </w:r>
      <w:r w:rsidR="00C82781">
        <w:rPr>
          <w:rFonts w:ascii="IRBadr" w:hAnsi="IRBadr" w:cs="IRBadr"/>
          <w:sz w:val="28"/>
          <w:szCs w:val="28"/>
          <w:rtl/>
        </w:rPr>
        <w:t>درحال</w:t>
      </w:r>
      <w:r w:rsidR="00C82781">
        <w:rPr>
          <w:rFonts w:ascii="IRBadr" w:hAnsi="IRBadr" w:cs="IRBadr" w:hint="cs"/>
          <w:sz w:val="28"/>
          <w:szCs w:val="28"/>
          <w:rtl/>
        </w:rPr>
        <w:t>ی‌</w:t>
      </w:r>
      <w:r w:rsidR="00C82781">
        <w:rPr>
          <w:rFonts w:ascii="IRBadr" w:hAnsi="IRBadr" w:cs="IRBadr" w:hint="eastAsia"/>
          <w:sz w:val="28"/>
          <w:szCs w:val="28"/>
          <w:rtl/>
        </w:rPr>
        <w:t>که</w:t>
      </w:r>
      <w:r w:rsidRPr="00823A37">
        <w:rPr>
          <w:rFonts w:ascii="IRBadr" w:hAnsi="IRBadr" w:cs="IRBadr"/>
          <w:sz w:val="28"/>
          <w:szCs w:val="28"/>
          <w:rtl/>
        </w:rPr>
        <w:t xml:space="preserve"> اسراف فراگیرتر از آن بوده و </w:t>
      </w:r>
      <w:r w:rsidR="00C82781">
        <w:rPr>
          <w:rFonts w:ascii="IRBadr" w:hAnsi="IRBadr" w:cs="IRBadr"/>
          <w:sz w:val="28"/>
          <w:szCs w:val="28"/>
          <w:rtl/>
        </w:rPr>
        <w:t>دربرگ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رنده</w:t>
      </w:r>
      <w:r w:rsidRPr="00823A37">
        <w:rPr>
          <w:rFonts w:ascii="IRBadr" w:hAnsi="IRBadr" w:cs="IRBadr"/>
          <w:sz w:val="28"/>
          <w:szCs w:val="28"/>
          <w:rtl/>
        </w:rPr>
        <w:t xml:space="preserve"> همه موارد، از به هدر دادن و </w:t>
      </w:r>
      <w:r w:rsidR="00C82781">
        <w:rPr>
          <w:rFonts w:ascii="IRBadr" w:hAnsi="IRBadr" w:cs="IRBadr"/>
          <w:sz w:val="28"/>
          <w:szCs w:val="28"/>
          <w:rtl/>
        </w:rPr>
        <w:t>ز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اده‌رو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در مصارف شخصی و خانوادگی و </w:t>
      </w:r>
      <w:r w:rsidR="00CA12F0" w:rsidRPr="00823A37">
        <w:rPr>
          <w:rFonts w:ascii="IRBadr" w:hAnsi="IRBadr" w:cs="IRBadr"/>
          <w:sz w:val="28"/>
          <w:szCs w:val="28"/>
          <w:rtl/>
        </w:rPr>
        <w:t>انفاق‌های</w:t>
      </w:r>
      <w:r w:rsidRPr="00823A37">
        <w:rPr>
          <w:rFonts w:ascii="IRBadr" w:hAnsi="IRBadr" w:cs="IRBadr"/>
          <w:sz w:val="28"/>
          <w:szCs w:val="28"/>
          <w:rtl/>
        </w:rPr>
        <w:t xml:space="preserve"> مستحب </w:t>
      </w:r>
      <w:r w:rsidR="00CA12F0" w:rsidRPr="00823A37">
        <w:rPr>
          <w:rFonts w:ascii="IRBadr" w:hAnsi="IRBadr" w:cs="IRBadr"/>
          <w:sz w:val="28"/>
          <w:szCs w:val="28"/>
          <w:rtl/>
        </w:rPr>
        <w:t>می‌باشد</w:t>
      </w:r>
      <w:r w:rsidR="008A79E1" w:rsidRPr="00823A37">
        <w:rPr>
          <w:rFonts w:ascii="IRBadr" w:hAnsi="IRBadr" w:cs="IRBadr"/>
          <w:sz w:val="28"/>
          <w:szCs w:val="28"/>
          <w:rtl/>
        </w:rPr>
        <w:t>.</w:t>
      </w:r>
    </w:p>
    <w:p w:rsidR="00010C7F" w:rsidRPr="00823A37" w:rsidRDefault="00010C7F" w:rsidP="00823A37">
      <w:pPr>
        <w:pStyle w:val="1"/>
      </w:pPr>
      <w:r w:rsidRPr="00823A37">
        <w:rPr>
          <w:rFonts w:ascii="Cambria" w:hAnsi="Cambria" w:cs="Cambria"/>
        </w:rPr>
        <w:t> </w:t>
      </w:r>
      <w:bookmarkStart w:id="10" w:name="_Toc229310210"/>
      <w:bookmarkStart w:id="11" w:name="_Toc228223334"/>
      <w:bookmarkStart w:id="12" w:name="_Toc427712933"/>
      <w:r w:rsidRPr="00823A37">
        <w:rPr>
          <w:rtl/>
        </w:rPr>
        <w:t xml:space="preserve">رفتار </w:t>
      </w:r>
      <w:r w:rsidR="007A7E9C" w:rsidRPr="00823A37">
        <w:rPr>
          <w:rtl/>
        </w:rPr>
        <w:t>اسراف‌کنندگان</w:t>
      </w:r>
      <w:bookmarkEnd w:id="10"/>
      <w:bookmarkEnd w:id="11"/>
      <w:bookmarkEnd w:id="12"/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Cambria" w:hAnsi="Cambria" w:cs="Cambria"/>
          <w:sz w:val="28"/>
          <w:szCs w:val="28"/>
        </w:rPr>
        <w:t> </w:t>
      </w:r>
      <w:r w:rsidRPr="00823A37">
        <w:rPr>
          <w:rFonts w:ascii="IRBadr" w:hAnsi="IRBadr" w:cs="IRBadr"/>
          <w:sz w:val="28"/>
          <w:szCs w:val="28"/>
          <w:rtl/>
        </w:rPr>
        <w:t xml:space="preserve">برادران شیطان که همان </w:t>
      </w:r>
      <w:r w:rsidR="00C82781">
        <w:rPr>
          <w:rFonts w:ascii="IRBadr" w:hAnsi="IRBadr" w:cs="IRBadr"/>
          <w:sz w:val="28"/>
          <w:szCs w:val="28"/>
          <w:rtl/>
        </w:rPr>
        <w:t>اسراف‌کاران‌اند</w:t>
      </w:r>
      <w:r w:rsidRPr="00823A37">
        <w:rPr>
          <w:rFonts w:ascii="IRBadr" w:hAnsi="IRBadr" w:cs="IRBadr"/>
          <w:sz w:val="28"/>
          <w:szCs w:val="28"/>
          <w:rtl/>
        </w:rPr>
        <w:t xml:space="preserve">، رفتارهای متعددی دارند و در هر موقعیتی به </w:t>
      </w:r>
      <w:r w:rsidR="00CA12F0" w:rsidRPr="00823A37">
        <w:rPr>
          <w:rFonts w:ascii="IRBadr" w:hAnsi="IRBadr" w:cs="IRBadr"/>
          <w:sz w:val="28"/>
          <w:szCs w:val="28"/>
          <w:rtl/>
        </w:rPr>
        <w:t>گونه‌های</w:t>
      </w:r>
      <w:r w:rsidRPr="00823A37">
        <w:rPr>
          <w:rFonts w:ascii="IRBadr" w:hAnsi="IRBadr" w:cs="IRBadr"/>
          <w:sz w:val="28"/>
          <w:szCs w:val="28"/>
          <w:rtl/>
        </w:rPr>
        <w:t xml:space="preserve"> مختلف بروز </w:t>
      </w:r>
      <w:r w:rsidR="00CA12F0" w:rsidRPr="00823A37">
        <w:rPr>
          <w:rFonts w:ascii="IRBadr" w:hAnsi="IRBadr" w:cs="IRBadr"/>
          <w:sz w:val="28"/>
          <w:szCs w:val="28"/>
          <w:rtl/>
        </w:rPr>
        <w:t>می‌کنند</w:t>
      </w:r>
      <w:r w:rsidR="008A79E1" w:rsidRPr="00823A37">
        <w:rPr>
          <w:rFonts w:ascii="IRBadr" w:hAnsi="IRBadr" w:cs="IRBadr"/>
          <w:sz w:val="28"/>
          <w:szCs w:val="28"/>
          <w:rtl/>
        </w:rPr>
        <w:t>.</w:t>
      </w:r>
      <w:r w:rsidRPr="00823A37">
        <w:rPr>
          <w:rFonts w:ascii="IRBadr" w:hAnsi="IRBadr" w:cs="IRBadr"/>
          <w:sz w:val="28"/>
          <w:szCs w:val="28"/>
        </w:rPr>
        <w:t xml:space="preserve"> </w:t>
      </w:r>
      <w:r w:rsidRPr="00823A37">
        <w:rPr>
          <w:rFonts w:ascii="IRBadr" w:hAnsi="IRBadr" w:cs="IRBadr"/>
          <w:sz w:val="28"/>
          <w:szCs w:val="28"/>
          <w:rtl/>
        </w:rPr>
        <w:t xml:space="preserve">کسانی که با آگاهی و از روی عمد به اسراف </w:t>
      </w:r>
      <w:r w:rsidR="00CA12F0" w:rsidRPr="00823A37">
        <w:rPr>
          <w:rFonts w:ascii="IRBadr" w:hAnsi="IRBadr" w:cs="IRBadr"/>
          <w:sz w:val="28"/>
          <w:szCs w:val="28"/>
          <w:rtl/>
        </w:rPr>
        <w:t>می‌پردازند</w:t>
      </w:r>
      <w:r w:rsidRPr="00823A37">
        <w:rPr>
          <w:rFonts w:ascii="IRBadr" w:hAnsi="IRBadr" w:cs="IRBadr"/>
          <w:sz w:val="28"/>
          <w:szCs w:val="28"/>
          <w:rtl/>
        </w:rPr>
        <w:t xml:space="preserve">، با شیطان </w:t>
      </w:r>
      <w:r w:rsidR="00CA12F0" w:rsidRPr="00823A37">
        <w:rPr>
          <w:rFonts w:ascii="IRBadr" w:hAnsi="IRBadr" w:cs="IRBadr"/>
          <w:sz w:val="28"/>
          <w:szCs w:val="28"/>
          <w:rtl/>
        </w:rPr>
        <w:t>همراه‌اند</w:t>
      </w:r>
      <w:r w:rsidR="008A79E1" w:rsidRPr="00823A37">
        <w:rPr>
          <w:rFonts w:ascii="IRBadr" w:hAnsi="IRBadr" w:cs="IRBadr"/>
          <w:sz w:val="28"/>
          <w:szCs w:val="28"/>
        </w:rPr>
        <w:t>.</w:t>
      </w:r>
      <w:r w:rsidR="008A79E1" w:rsidRPr="00823A37">
        <w:rPr>
          <w:rFonts w:ascii="IRBadr" w:hAnsi="IRBadr" w:cs="IRBadr"/>
          <w:sz w:val="28"/>
          <w:szCs w:val="28"/>
          <w:rtl/>
        </w:rPr>
        <w:t xml:space="preserve"> </w:t>
      </w:r>
      <w:r w:rsidRPr="00823A37">
        <w:rPr>
          <w:rFonts w:ascii="IRBadr" w:hAnsi="IRBadr" w:cs="IRBadr"/>
          <w:sz w:val="28"/>
          <w:szCs w:val="28"/>
          <w:rtl/>
        </w:rPr>
        <w:t xml:space="preserve">کسی که در </w:t>
      </w:r>
      <w:r w:rsidR="00C82781">
        <w:rPr>
          <w:rFonts w:ascii="IRBadr" w:hAnsi="IRBadr" w:cs="IRBadr"/>
          <w:sz w:val="28"/>
          <w:szCs w:val="28"/>
          <w:rtl/>
        </w:rPr>
        <w:t>ب</w:t>
      </w:r>
      <w:r w:rsidR="00C82781">
        <w:rPr>
          <w:rFonts w:ascii="IRBadr" w:hAnsi="IRBadr" w:cs="IRBadr" w:hint="cs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z w:val="28"/>
          <w:szCs w:val="28"/>
          <w:rtl/>
        </w:rPr>
        <w:t>ت‌المال</w:t>
      </w:r>
      <w:r w:rsidRPr="00823A37">
        <w:rPr>
          <w:rFonts w:ascii="IRBadr" w:hAnsi="IRBadr" w:cs="IRBadr"/>
          <w:sz w:val="28"/>
          <w:szCs w:val="28"/>
          <w:rtl/>
        </w:rPr>
        <w:t xml:space="preserve">، عمر، هزینه زندگی با آگاهی و علم اسراف </w:t>
      </w:r>
      <w:r w:rsidR="00CA12F0" w:rsidRPr="00823A37">
        <w:rPr>
          <w:rFonts w:ascii="IRBadr" w:hAnsi="IRBadr" w:cs="IRBadr"/>
          <w:sz w:val="28"/>
          <w:szCs w:val="28"/>
          <w:rtl/>
        </w:rPr>
        <w:t>می‌کند</w:t>
      </w:r>
      <w:r w:rsidRPr="00823A37">
        <w:rPr>
          <w:rFonts w:ascii="IRBadr" w:hAnsi="IRBadr" w:cs="IRBadr"/>
          <w:sz w:val="28"/>
          <w:szCs w:val="28"/>
          <w:rtl/>
        </w:rPr>
        <w:t xml:space="preserve">، از پرتو معارف دینی به دور است و </w:t>
      </w:r>
      <w:r w:rsidR="00CA12F0" w:rsidRPr="00823A37">
        <w:rPr>
          <w:rFonts w:ascii="IRBadr" w:hAnsi="IRBadr" w:cs="IRBadr"/>
          <w:sz w:val="28"/>
          <w:szCs w:val="28"/>
          <w:rtl/>
        </w:rPr>
        <w:t>نمی‌تواند</w:t>
      </w:r>
      <w:r w:rsidRPr="00823A37">
        <w:rPr>
          <w:rFonts w:ascii="IRBadr" w:hAnsi="IRBadr" w:cs="IRBadr"/>
          <w:sz w:val="28"/>
          <w:szCs w:val="28"/>
          <w:rtl/>
        </w:rPr>
        <w:t xml:space="preserve"> به صراط مستقیم که رهروانش در پناه لطف </w:t>
      </w:r>
      <w:r w:rsidR="008A79E1" w:rsidRPr="00823A37">
        <w:rPr>
          <w:rFonts w:ascii="IRBadr" w:hAnsi="IRBadr" w:cs="IRBadr"/>
          <w:sz w:val="28"/>
          <w:szCs w:val="28"/>
          <w:rtl/>
        </w:rPr>
        <w:t>الهی</w:t>
      </w:r>
      <w:r w:rsidRPr="00823A37">
        <w:rPr>
          <w:rFonts w:ascii="IRBadr" w:hAnsi="IRBadr" w:cs="IRBadr"/>
          <w:sz w:val="28"/>
          <w:szCs w:val="28"/>
          <w:rtl/>
        </w:rPr>
        <w:t xml:space="preserve"> هستند، هدایت شود</w:t>
      </w:r>
      <w:r w:rsidRPr="00823A37">
        <w:rPr>
          <w:rFonts w:ascii="IRBadr" w:hAnsi="IRBadr" w:cs="IRBadr"/>
          <w:sz w:val="28"/>
          <w:szCs w:val="28"/>
        </w:rPr>
        <w:t>.</w:t>
      </w:r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Cambria" w:hAnsi="Cambria" w:cs="Cambria"/>
          <w:sz w:val="28"/>
          <w:szCs w:val="28"/>
        </w:rPr>
        <w:t> </w:t>
      </w:r>
      <w:r w:rsidRPr="00823A37">
        <w:rPr>
          <w:rFonts w:ascii="IRBadr" w:hAnsi="IRBadr" w:cs="IRBadr"/>
          <w:sz w:val="28"/>
          <w:szCs w:val="28"/>
          <w:rtl/>
        </w:rPr>
        <w:t xml:space="preserve">قرآن </w:t>
      </w:r>
      <w:r w:rsidR="00CA12F0" w:rsidRPr="00823A37">
        <w:rPr>
          <w:rFonts w:ascii="IRBadr" w:hAnsi="IRBadr" w:cs="IRBadr"/>
          <w:sz w:val="28"/>
          <w:szCs w:val="28"/>
          <w:rtl/>
        </w:rPr>
        <w:t>می‌فرماید</w:t>
      </w:r>
      <w:r w:rsidRPr="00823A37">
        <w:rPr>
          <w:rFonts w:ascii="IRBadr" w:hAnsi="IRBadr" w:cs="IRBadr"/>
          <w:sz w:val="28"/>
          <w:szCs w:val="28"/>
          <w:rtl/>
        </w:rPr>
        <w:t>: «</w:t>
      </w:r>
      <w:r w:rsidRPr="00823A37">
        <w:rPr>
          <w:rFonts w:ascii="IRBadr" w:hAnsi="IRBadr" w:cs="IRBadr"/>
          <w:b/>
          <w:bCs/>
          <w:sz w:val="28"/>
          <w:szCs w:val="28"/>
          <w:rtl/>
        </w:rPr>
        <w:t xml:space="preserve">وَ آتِ ذَا </w:t>
      </w:r>
      <w:r w:rsidR="00CA12F0" w:rsidRPr="00823A37">
        <w:rPr>
          <w:rFonts w:ascii="IRBadr" w:hAnsi="IRBadr" w:cs="IRBadr"/>
          <w:b/>
          <w:bCs/>
          <w:sz w:val="28"/>
          <w:szCs w:val="28"/>
          <w:rtl/>
        </w:rPr>
        <w:t>الْقُرْبی</w:t>
      </w:r>
      <w:r w:rsidRPr="00823A37">
        <w:rPr>
          <w:rFonts w:ascii="IRBadr" w:hAnsi="IRBadr" w:cs="IRBadr"/>
          <w:b/>
          <w:bCs/>
          <w:sz w:val="28"/>
          <w:szCs w:val="28"/>
          <w:rtl/>
        </w:rPr>
        <w:t xml:space="preserve"> حَقَّهُ وَ الْمِسْکِینَ وَ ابْنَ السَّبِیلِ وَ لا تُبَذِّرْ تَبْذِیراً، إِنَّ الْمُبَذِّرِینَ کانُوا إِخْوانَ الشَّیاطِینِ وَ کانَ الشَّیطانُ لِرَبِّهِ کَفُوراً»</w:t>
      </w:r>
      <w:r w:rsidR="008A79E1" w:rsidRPr="00823A37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Pr="00823A37">
        <w:rPr>
          <w:rFonts w:ascii="IRBadr" w:hAnsi="IRBadr" w:cs="IRBadr"/>
          <w:sz w:val="28"/>
          <w:szCs w:val="28"/>
        </w:rPr>
        <w:t xml:space="preserve"> </w:t>
      </w:r>
      <w:r w:rsidRPr="00823A37">
        <w:rPr>
          <w:rFonts w:ascii="IRBadr" w:hAnsi="IRBadr" w:cs="IRBadr"/>
          <w:sz w:val="28"/>
          <w:szCs w:val="28"/>
          <w:rtl/>
        </w:rPr>
        <w:t xml:space="preserve">و حق نزدیکان را بپرداز و همچنین مستمند و وامانده در راه را، و هرگز اسراف و تبذیر مکن؛ چرا که تبذیرکنندگان برادران </w:t>
      </w:r>
      <w:r w:rsidR="00CA12F0" w:rsidRPr="00823A37">
        <w:rPr>
          <w:rFonts w:ascii="IRBadr" w:hAnsi="IRBadr" w:cs="IRBadr"/>
          <w:sz w:val="28"/>
          <w:szCs w:val="28"/>
          <w:rtl/>
        </w:rPr>
        <w:t>شیاطین‌اند</w:t>
      </w:r>
      <w:r w:rsidRPr="00823A37">
        <w:rPr>
          <w:rFonts w:ascii="IRBadr" w:hAnsi="IRBadr" w:cs="IRBadr"/>
          <w:sz w:val="28"/>
          <w:szCs w:val="28"/>
          <w:rtl/>
        </w:rPr>
        <w:t xml:space="preserve">، و شیطان کفران </w:t>
      </w:r>
      <w:r w:rsidR="00CA12F0" w:rsidRPr="00823A37">
        <w:rPr>
          <w:rFonts w:ascii="IRBadr" w:hAnsi="IRBadr" w:cs="IRBadr"/>
          <w:sz w:val="28"/>
          <w:szCs w:val="28"/>
          <w:rtl/>
        </w:rPr>
        <w:t>نعمت‌های</w:t>
      </w:r>
      <w:r w:rsidRPr="00823A37">
        <w:rPr>
          <w:rFonts w:ascii="IRBadr" w:hAnsi="IRBadr" w:cs="IRBadr"/>
          <w:sz w:val="28"/>
          <w:szCs w:val="28"/>
          <w:rtl/>
        </w:rPr>
        <w:t xml:space="preserve"> پروردگارش کرد</w:t>
      </w:r>
      <w:r w:rsidR="008A79E1" w:rsidRPr="00823A37">
        <w:rPr>
          <w:rFonts w:ascii="IRBadr" w:hAnsi="IRBadr" w:cs="IRBadr"/>
          <w:sz w:val="28"/>
          <w:szCs w:val="28"/>
          <w:rtl/>
        </w:rPr>
        <w:t>.</w:t>
      </w:r>
    </w:p>
    <w:p w:rsidR="00010C7F" w:rsidRPr="00823A37" w:rsidRDefault="00010C7F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</w:rPr>
      </w:pPr>
      <w:r w:rsidRPr="00823A37">
        <w:rPr>
          <w:rFonts w:ascii="Cambria" w:hAnsi="Cambria" w:cs="Cambria"/>
          <w:sz w:val="28"/>
          <w:szCs w:val="28"/>
        </w:rPr>
        <w:t> </w:t>
      </w:r>
      <w:r w:rsidRPr="00823A37">
        <w:rPr>
          <w:rFonts w:ascii="IRBadr" w:hAnsi="IRBadr" w:cs="IRBadr"/>
          <w:sz w:val="28"/>
          <w:szCs w:val="28"/>
          <w:rtl/>
        </w:rPr>
        <w:t xml:space="preserve">در آیات فوق </w:t>
      </w:r>
      <w:r w:rsidR="00C82781">
        <w:rPr>
          <w:rFonts w:ascii="IRBadr" w:hAnsi="IRBadr" w:cs="IRBadr"/>
          <w:sz w:val="28"/>
          <w:szCs w:val="28"/>
          <w:rtl/>
        </w:rPr>
        <w:t>اسراف‌کاران</w:t>
      </w:r>
      <w:r w:rsidRPr="00823A37">
        <w:rPr>
          <w:rFonts w:ascii="IRBadr" w:hAnsi="IRBadr" w:cs="IRBadr"/>
          <w:sz w:val="28"/>
          <w:szCs w:val="28"/>
          <w:rtl/>
        </w:rPr>
        <w:t xml:space="preserve"> برادر و همراه شیطان شناخته </w:t>
      </w:r>
      <w:r w:rsidR="00CA12F0" w:rsidRPr="00823A37">
        <w:rPr>
          <w:rFonts w:ascii="IRBadr" w:hAnsi="IRBadr" w:cs="IRBadr"/>
          <w:sz w:val="28"/>
          <w:szCs w:val="28"/>
          <w:rtl/>
        </w:rPr>
        <w:t>شده‌اند</w:t>
      </w:r>
      <w:r w:rsidRPr="00823A37">
        <w:rPr>
          <w:rFonts w:ascii="IRBadr" w:hAnsi="IRBadr" w:cs="IRBadr"/>
          <w:sz w:val="28"/>
          <w:szCs w:val="28"/>
          <w:rtl/>
        </w:rPr>
        <w:t xml:space="preserve">. بنابراین، در این جا </w:t>
      </w:r>
      <w:r w:rsidR="00CA12F0" w:rsidRPr="00823A37">
        <w:rPr>
          <w:rFonts w:ascii="IRBadr" w:hAnsi="IRBadr" w:cs="IRBadr"/>
          <w:sz w:val="28"/>
          <w:szCs w:val="28"/>
          <w:rtl/>
        </w:rPr>
        <w:t>می‌توان</w:t>
      </w:r>
      <w:r w:rsidRPr="00823A37">
        <w:rPr>
          <w:rFonts w:ascii="IRBadr" w:hAnsi="IRBadr" w:cs="IRBadr"/>
          <w:sz w:val="28"/>
          <w:szCs w:val="28"/>
          <w:rtl/>
        </w:rPr>
        <w:t xml:space="preserve"> گفت هرکسی که مال و دارای</w:t>
      </w:r>
      <w:r w:rsidR="00CA12F0" w:rsidRPr="00823A37">
        <w:rPr>
          <w:rFonts w:ascii="IRBadr" w:hAnsi="IRBadr" w:cs="IRBadr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را در غیر مورد آن مصرف کند، کار</w:t>
      </w:r>
      <w:r w:rsidR="00CA12F0" w:rsidRPr="00823A37">
        <w:rPr>
          <w:rFonts w:ascii="IRBadr" w:hAnsi="IRBadr" w:cs="IRBadr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شیطان</w:t>
      </w:r>
      <w:r w:rsidR="00CA12F0" w:rsidRPr="00823A37">
        <w:rPr>
          <w:rFonts w:ascii="IRBadr" w:hAnsi="IRBadr" w:cs="IRBadr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و نوع</w:t>
      </w:r>
      <w:r w:rsidR="00CA12F0" w:rsidRPr="00823A37">
        <w:rPr>
          <w:rFonts w:ascii="IRBadr" w:hAnsi="IRBadr" w:cs="IRBadr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ناسپاس</w:t>
      </w:r>
      <w:r w:rsidR="00CA12F0" w:rsidRPr="00823A37">
        <w:rPr>
          <w:rFonts w:ascii="IRBadr" w:hAnsi="IRBadr" w:cs="IRBadr"/>
          <w:sz w:val="28"/>
          <w:szCs w:val="28"/>
          <w:rtl/>
        </w:rPr>
        <w:t>ی</w:t>
      </w:r>
      <w:r w:rsidRPr="00823A37">
        <w:rPr>
          <w:rFonts w:ascii="IRBadr" w:hAnsi="IRBadr" w:cs="IRBadr"/>
          <w:sz w:val="28"/>
          <w:szCs w:val="28"/>
          <w:rtl/>
        </w:rPr>
        <w:t xml:space="preserve"> مرتکب شده است. این امر در روایتی از امام صادق (ع) به خوبی تبیین شده است، آن جا که </w:t>
      </w:r>
      <w:r w:rsidR="00CA12F0" w:rsidRPr="00823A37">
        <w:rPr>
          <w:rFonts w:ascii="IRBadr" w:hAnsi="IRBadr" w:cs="IRBadr"/>
          <w:sz w:val="28"/>
          <w:szCs w:val="28"/>
          <w:rtl/>
        </w:rPr>
        <w:t>امام (</w:t>
      </w:r>
      <w:r w:rsidR="008A79E1" w:rsidRPr="00823A37">
        <w:rPr>
          <w:rFonts w:ascii="IRBadr" w:hAnsi="IRBadr" w:cs="IRBadr"/>
          <w:sz w:val="28"/>
          <w:szCs w:val="28"/>
          <w:rtl/>
        </w:rPr>
        <w:t>ع)</w:t>
      </w:r>
      <w:r w:rsidRPr="00823A37">
        <w:rPr>
          <w:rFonts w:ascii="IRBadr" w:hAnsi="IRBadr" w:cs="IRBadr"/>
          <w:sz w:val="28"/>
          <w:szCs w:val="28"/>
        </w:rPr>
        <w:t xml:space="preserve"> </w:t>
      </w:r>
      <w:r w:rsidRPr="00823A37">
        <w:rPr>
          <w:rFonts w:ascii="IRBadr" w:hAnsi="IRBadr" w:cs="IRBadr"/>
          <w:sz w:val="28"/>
          <w:szCs w:val="28"/>
          <w:rtl/>
        </w:rPr>
        <w:t>فرمود</w:t>
      </w:r>
      <w:r w:rsidR="008A79E1" w:rsidRPr="00823A37">
        <w:rPr>
          <w:rFonts w:ascii="IRBadr" w:hAnsi="IRBadr" w:cs="IRBadr"/>
          <w:sz w:val="28"/>
          <w:szCs w:val="28"/>
          <w:rtl/>
        </w:rPr>
        <w:t xml:space="preserve">: </w:t>
      </w:r>
      <w:r w:rsidRPr="00823A37">
        <w:rPr>
          <w:rFonts w:ascii="IRBadr" w:hAnsi="IRBadr" w:cs="IRBadr"/>
          <w:spacing w:val="-4"/>
          <w:sz w:val="28"/>
          <w:szCs w:val="28"/>
          <w:rtl/>
        </w:rPr>
        <w:t xml:space="preserve">لقمان به فرزندش گفت: سه علامت برای شخص </w:t>
      </w:r>
      <w:r w:rsidR="00C82781">
        <w:rPr>
          <w:rFonts w:ascii="IRBadr" w:hAnsi="IRBadr" w:cs="IRBadr"/>
          <w:spacing w:val="-4"/>
          <w:sz w:val="28"/>
          <w:szCs w:val="28"/>
          <w:rtl/>
        </w:rPr>
        <w:t>اسراف گر</w:t>
      </w:r>
      <w:r w:rsidRPr="00823A37">
        <w:rPr>
          <w:rFonts w:ascii="IRBadr" w:hAnsi="IRBadr" w:cs="IRBadr"/>
          <w:spacing w:val="-4"/>
          <w:sz w:val="28"/>
          <w:szCs w:val="28"/>
          <w:rtl/>
        </w:rPr>
        <w:t xml:space="preserve"> وجود دارد</w:t>
      </w:r>
      <w:r w:rsidR="009D7F16" w:rsidRPr="00823A37">
        <w:rPr>
          <w:rFonts w:ascii="IRBadr" w:hAnsi="IRBadr" w:cs="IRBadr"/>
          <w:spacing w:val="-4"/>
          <w:sz w:val="28"/>
          <w:szCs w:val="28"/>
          <w:rtl/>
        </w:rPr>
        <w:t xml:space="preserve">: </w:t>
      </w:r>
      <w:r w:rsidR="00CA12F0" w:rsidRPr="00823A37">
        <w:rPr>
          <w:rFonts w:ascii="IRBadr" w:hAnsi="IRBadr" w:cs="IRBadr"/>
          <w:sz w:val="28"/>
          <w:szCs w:val="28"/>
          <w:rtl/>
        </w:rPr>
        <w:t>می‌خرد</w:t>
      </w:r>
      <w:r w:rsidRPr="00823A37">
        <w:rPr>
          <w:rFonts w:ascii="IRBadr" w:hAnsi="IRBadr" w:cs="IRBadr"/>
          <w:sz w:val="28"/>
          <w:szCs w:val="28"/>
          <w:rtl/>
        </w:rPr>
        <w:t xml:space="preserve"> آنچه برای او نیست. در شأن او نیست، </w:t>
      </w:r>
      <w:r w:rsidR="00CA12F0" w:rsidRPr="00823A37">
        <w:rPr>
          <w:rFonts w:ascii="IRBadr" w:hAnsi="IRBadr" w:cs="IRBadr"/>
          <w:sz w:val="28"/>
          <w:szCs w:val="28"/>
          <w:rtl/>
        </w:rPr>
        <w:t>می‌پوشد</w:t>
      </w:r>
      <w:r w:rsidRPr="00823A37">
        <w:rPr>
          <w:rFonts w:ascii="IRBadr" w:hAnsi="IRBadr" w:cs="IRBadr"/>
          <w:sz w:val="28"/>
          <w:szCs w:val="28"/>
          <w:rtl/>
        </w:rPr>
        <w:t xml:space="preserve"> آنچه برای او نیست</w:t>
      </w:r>
      <w:r w:rsidR="009D7F16" w:rsidRPr="00823A37">
        <w:rPr>
          <w:rFonts w:ascii="IRBadr" w:hAnsi="IRBadr" w:cs="IRBadr"/>
          <w:sz w:val="28"/>
          <w:szCs w:val="28"/>
          <w:rtl/>
        </w:rPr>
        <w:t xml:space="preserve"> و</w:t>
      </w:r>
      <w:r w:rsidR="008A79E1" w:rsidRPr="00823A37">
        <w:rPr>
          <w:rFonts w:ascii="IRBadr" w:hAnsi="IRBadr" w:cs="IRBadr"/>
          <w:sz w:val="28"/>
          <w:szCs w:val="28"/>
          <w:rtl/>
        </w:rPr>
        <w:t xml:space="preserve"> </w:t>
      </w:r>
      <w:r w:rsidRPr="00823A37">
        <w:rPr>
          <w:rFonts w:ascii="IRBadr" w:hAnsi="IRBadr" w:cs="IRBadr"/>
          <w:sz w:val="28"/>
          <w:szCs w:val="28"/>
          <w:rtl/>
        </w:rPr>
        <w:t xml:space="preserve">برازنده او نیست. </w:t>
      </w:r>
      <w:r w:rsidR="00CA12F0" w:rsidRPr="00823A37">
        <w:rPr>
          <w:rFonts w:ascii="IRBadr" w:hAnsi="IRBadr" w:cs="IRBadr"/>
          <w:sz w:val="28"/>
          <w:szCs w:val="28"/>
          <w:rtl/>
        </w:rPr>
        <w:t>می‌خورد</w:t>
      </w:r>
      <w:r w:rsidRPr="00823A37">
        <w:rPr>
          <w:rFonts w:ascii="IRBadr" w:hAnsi="IRBadr" w:cs="IRBadr"/>
          <w:sz w:val="28"/>
          <w:szCs w:val="28"/>
          <w:rtl/>
        </w:rPr>
        <w:t xml:space="preserve"> آنچه برای او نیست </w:t>
      </w:r>
      <w:r w:rsidR="009D7F16" w:rsidRPr="00823A37">
        <w:rPr>
          <w:rFonts w:ascii="IRBadr" w:hAnsi="IRBadr" w:cs="IRBadr"/>
          <w:sz w:val="28"/>
          <w:szCs w:val="28"/>
          <w:rtl/>
        </w:rPr>
        <w:t xml:space="preserve">و </w:t>
      </w:r>
      <w:r w:rsidRPr="00823A37">
        <w:rPr>
          <w:rFonts w:ascii="IRBadr" w:hAnsi="IRBadr" w:cs="IRBadr"/>
          <w:sz w:val="28"/>
          <w:szCs w:val="28"/>
          <w:rtl/>
        </w:rPr>
        <w:t>فراخور حال او نیست</w:t>
      </w:r>
      <w:r w:rsidR="009D7F16" w:rsidRPr="00823A37">
        <w:rPr>
          <w:rFonts w:ascii="IRBadr" w:hAnsi="IRBadr" w:cs="IRBadr"/>
          <w:sz w:val="28"/>
          <w:szCs w:val="28"/>
          <w:rtl/>
        </w:rPr>
        <w:t>.</w:t>
      </w:r>
    </w:p>
    <w:p w:rsidR="009D7F16" w:rsidRPr="00823A37" w:rsidRDefault="00CA12F0" w:rsidP="00823A37">
      <w:pPr>
        <w:pStyle w:val="1"/>
      </w:pPr>
      <w:bookmarkStart w:id="13" w:name="_Toc427712934"/>
      <w:r w:rsidRPr="00823A37">
        <w:rPr>
          <w:rtl/>
        </w:rPr>
        <w:t>زیان‌های</w:t>
      </w:r>
      <w:r w:rsidR="009D7F16" w:rsidRPr="00823A37">
        <w:rPr>
          <w:rtl/>
        </w:rPr>
        <w:t xml:space="preserve"> اجتماع</w:t>
      </w:r>
      <w:r w:rsidRPr="00823A37">
        <w:rPr>
          <w:rtl/>
        </w:rPr>
        <w:t>ی</w:t>
      </w:r>
      <w:r w:rsidR="009D7F16" w:rsidRPr="00823A37">
        <w:rPr>
          <w:rtl/>
        </w:rPr>
        <w:t xml:space="preserve"> اسراف</w:t>
      </w:r>
      <w:bookmarkEnd w:id="13"/>
    </w:p>
    <w:p w:rsidR="009D7F16" w:rsidRPr="00823A37" w:rsidRDefault="009D7F16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</w:rPr>
      </w:pPr>
      <w:r w:rsidRPr="00823A37">
        <w:rPr>
          <w:rFonts w:ascii="Cambria" w:hAnsi="Cambria" w:cs="Cambria"/>
          <w:spacing w:val="-2"/>
          <w:sz w:val="28"/>
          <w:szCs w:val="28"/>
        </w:rPr>
        <w:t> 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>اسراف از جنبه ضررهای اجتماعی دارا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پیامدها زیر است</w:t>
      </w:r>
      <w:r w:rsidRPr="00823A37">
        <w:rPr>
          <w:rFonts w:ascii="IRBadr" w:hAnsi="IRBadr" w:cs="IRBadr"/>
          <w:spacing w:val="-2"/>
          <w:sz w:val="28"/>
          <w:szCs w:val="28"/>
        </w:rPr>
        <w:t>:</w:t>
      </w:r>
    </w:p>
    <w:p w:rsidR="009D7F16" w:rsidRPr="00823A37" w:rsidRDefault="009D7F16" w:rsidP="00823A37">
      <w:pPr>
        <w:pStyle w:val="1"/>
        <w:rPr>
          <w:rtl/>
        </w:rPr>
      </w:pPr>
      <w:bookmarkStart w:id="14" w:name="_Toc427712935"/>
      <w:r w:rsidRPr="00823A37">
        <w:rPr>
          <w:rtl/>
        </w:rPr>
        <w:t>1. هدر رفتن منابع اقتصادی جامعه</w:t>
      </w:r>
      <w:bookmarkEnd w:id="14"/>
    </w:p>
    <w:p w:rsidR="009D7F16" w:rsidRPr="00823A37" w:rsidRDefault="009D7F16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اسراف منابع عظیم جامعه؛ از قبیل نفت، منابع معدنی و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مزیت‌های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نسبی اقتصادی هر کشوری را به هدر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می‌دهد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، هرچند که منابع و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سرمایه‌های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کشور زیاد باشد. علی (ع)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می‌فرماید</w:t>
      </w:r>
      <w:r w:rsidRPr="00823A37">
        <w:rPr>
          <w:rFonts w:ascii="IRBadr" w:hAnsi="IRBadr" w:cs="IRBadr"/>
          <w:spacing w:val="-2"/>
          <w:sz w:val="28"/>
          <w:szCs w:val="28"/>
        </w:rPr>
        <w:t>: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«</w:t>
      </w:r>
      <w:r w:rsidR="00CA12F0"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>الْإِسْرَافُ</w:t>
      </w:r>
      <w:r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 xml:space="preserve"> </w:t>
      </w:r>
      <w:r w:rsidR="00CA12F0"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>یُفْنِی</w:t>
      </w:r>
      <w:r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 xml:space="preserve"> </w:t>
      </w:r>
      <w:r w:rsidR="00CA12F0" w:rsidRPr="00823A37">
        <w:rPr>
          <w:rFonts w:ascii="IRBadr" w:hAnsi="IRBadr" w:cs="IRBadr"/>
          <w:b/>
          <w:bCs/>
          <w:spacing w:val="-2"/>
          <w:sz w:val="28"/>
          <w:szCs w:val="28"/>
          <w:rtl/>
        </w:rPr>
        <w:t>الْجَزِیلَ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>»</w:t>
      </w:r>
      <w:r w:rsidRPr="00823A37">
        <w:rPr>
          <w:rStyle w:val="aff0"/>
          <w:rFonts w:ascii="IRBadr" w:hAnsi="IRBadr" w:cs="IRBadr"/>
          <w:spacing w:val="-2"/>
          <w:sz w:val="28"/>
          <w:szCs w:val="28"/>
          <w:rtl/>
        </w:rPr>
        <w:footnoteReference w:id="5"/>
      </w:r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hyperlink r:id="rId7" w:history="1">
        <w:r w:rsidRPr="00823A37">
          <w:rPr>
            <w:rFonts w:ascii="IRBadr" w:hAnsi="IRBadr" w:cs="IRBadr"/>
            <w:spacing w:val="-2"/>
            <w:sz w:val="28"/>
            <w:szCs w:val="28"/>
          </w:rPr>
          <w:t xml:space="preserve"> </w:t>
        </w:r>
      </w:hyperlink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اسراف ثروت زیاد را هم به فنا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می‌دهد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9D7F16" w:rsidRPr="00823A37" w:rsidRDefault="009D7F16" w:rsidP="00823A37">
      <w:pPr>
        <w:pStyle w:val="1"/>
        <w:rPr>
          <w:rtl/>
        </w:rPr>
      </w:pPr>
      <w:r w:rsidRPr="00823A37">
        <w:rPr>
          <w:rFonts w:ascii="Cambria" w:hAnsi="Cambria" w:cs="Cambria"/>
        </w:rPr>
        <w:lastRenderedPageBreak/>
        <w:t> </w:t>
      </w:r>
      <w:bookmarkStart w:id="15" w:name="_Toc427712936"/>
      <w:r w:rsidRPr="00823A37">
        <w:rPr>
          <w:rtl/>
        </w:rPr>
        <w:t>2. سقوط اخلاق اجتماعی</w:t>
      </w:r>
      <w:bookmarkEnd w:id="15"/>
    </w:p>
    <w:p w:rsidR="009D7F16" w:rsidRPr="00823A37" w:rsidRDefault="009D7F16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ولخرج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و ریخت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و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پاش‌ها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>، انسان را از مسیر صحیح خارج کرده و به ورطه فساد و تباه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می‌کشاند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،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به‌گونه‌ا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که به سایر همنوعان خود توجهی نکرده و درد و رنج سایر افراد برای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اسراف‌کار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اهمیتی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نمی‌یابد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9D7F16" w:rsidRPr="00823A37" w:rsidRDefault="009D7F16" w:rsidP="00823A37">
      <w:pPr>
        <w:pStyle w:val="1"/>
        <w:rPr>
          <w:rtl/>
        </w:rPr>
      </w:pPr>
      <w:r w:rsidRPr="00823A37">
        <w:rPr>
          <w:rFonts w:ascii="Cambria" w:hAnsi="Cambria" w:cs="Cambria"/>
        </w:rPr>
        <w:t> </w:t>
      </w:r>
      <w:bookmarkStart w:id="16" w:name="_Toc427712937"/>
      <w:r w:rsidRPr="00823A37">
        <w:rPr>
          <w:rtl/>
        </w:rPr>
        <w:t>3. اختلاف طبقات</w:t>
      </w:r>
      <w:r w:rsidR="00CA12F0" w:rsidRPr="00823A37">
        <w:rPr>
          <w:rtl/>
        </w:rPr>
        <w:t>ی</w:t>
      </w:r>
      <w:bookmarkEnd w:id="16"/>
    </w:p>
    <w:p w:rsidR="009D7F16" w:rsidRPr="00823A37" w:rsidRDefault="009D7F16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>یک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از علل اختلاف طبقات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در جامعه اسراف است؛ زیرا افرادی با استفاده از درآمد بالای خود، این حق را برای خود قائل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می‌شوند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که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هرگونه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که دوست دارند خرج نمایند، هرچند که موافق شرع و عرف نیز نباشد. براین اساس، خود را از سایر متمایز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می‌دانند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و رفته رفته به فاصله طبقاتی در جامعه کمک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می‌کنند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9D7F16" w:rsidRPr="00823A37" w:rsidRDefault="009D7F16" w:rsidP="00823A37">
      <w:pPr>
        <w:pStyle w:val="1"/>
        <w:rPr>
          <w:rtl/>
        </w:rPr>
      </w:pPr>
      <w:r w:rsidRPr="00823A37">
        <w:rPr>
          <w:rFonts w:ascii="Cambria" w:hAnsi="Cambria" w:cs="Cambria"/>
        </w:rPr>
        <w:t> </w:t>
      </w:r>
      <w:bookmarkStart w:id="17" w:name="_Toc427712938"/>
      <w:r w:rsidRPr="00823A37">
        <w:rPr>
          <w:rtl/>
        </w:rPr>
        <w:t xml:space="preserve">4. زوال </w:t>
      </w:r>
      <w:bookmarkEnd w:id="17"/>
      <w:r w:rsidR="00CA12F0" w:rsidRPr="00823A37">
        <w:rPr>
          <w:rtl/>
        </w:rPr>
        <w:t>حکومت‌ها</w:t>
      </w:r>
    </w:p>
    <w:p w:rsidR="009D7F16" w:rsidRPr="00823A37" w:rsidRDefault="009D7F16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از دیگر پیامدهای اجتماعی اسراف، زوال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حکومت‌ها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است. به اعتقاد ابن خلدون که از دانشمندان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جامعه‌شناس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مسلمان است هر حکومتی که دچار اسراف و تبذیر شود، موجب فروپاشی و زوال </w:t>
      </w:r>
      <w:r w:rsidR="00CA12F0" w:rsidRPr="00823A37">
        <w:rPr>
          <w:rFonts w:ascii="IRBadr" w:hAnsi="IRBadr" w:cs="IRBadr"/>
          <w:spacing w:val="-2"/>
          <w:sz w:val="28"/>
          <w:szCs w:val="28"/>
          <w:rtl/>
        </w:rPr>
        <w:t>می‌شود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>.</w:t>
      </w:r>
    </w:p>
    <w:p w:rsidR="00B310DB" w:rsidRPr="00823A37" w:rsidRDefault="00823A37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B310DB" w:rsidRPr="00823A37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الرَّحِیمِ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B310DB" w:rsidRPr="00823A37">
        <w:rPr>
          <w:rFonts w:ascii="IRBadr" w:hAnsi="IRBadr" w:cs="IRBadr"/>
          <w:b/>
          <w:bCs/>
          <w:sz w:val="28"/>
          <w:szCs w:val="28"/>
          <w:rtl/>
        </w:rPr>
        <w:t xml:space="preserve"> إِنَّا أَعْطَینَاک الْکوْثَرَ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B310DB" w:rsidRPr="00823A37">
        <w:rPr>
          <w:rFonts w:ascii="IRBadr" w:hAnsi="IRBadr" w:cs="IRBadr"/>
          <w:b/>
          <w:bCs/>
          <w:sz w:val="28"/>
          <w:szCs w:val="28"/>
          <w:rtl/>
        </w:rPr>
        <w:t xml:space="preserve"> فَصَلِّ لِرَبِّک وَانْحَرْ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B310DB" w:rsidRPr="00823A37">
        <w:rPr>
          <w:rFonts w:ascii="IRBadr" w:hAnsi="IRBadr" w:cs="IRBadr"/>
          <w:b/>
          <w:bCs/>
          <w:sz w:val="28"/>
          <w:szCs w:val="28"/>
          <w:rtl/>
        </w:rPr>
        <w:t xml:space="preserve"> إِنَّ شَانِئَک هُوَ الْأَبْتَرُ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B310DB" w:rsidRPr="00823A3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B310DB" w:rsidRDefault="00B310DB" w:rsidP="00823A37">
      <w:pPr>
        <w:pStyle w:val="1"/>
        <w:rPr>
          <w:rtl/>
        </w:rPr>
      </w:pPr>
      <w:bookmarkStart w:id="18" w:name="_Toc427712939"/>
      <w:r w:rsidRPr="00823A37">
        <w:rPr>
          <w:rtl/>
        </w:rPr>
        <w:t>خطبه دوم</w:t>
      </w:r>
      <w:bookmarkEnd w:id="18"/>
    </w:p>
    <w:p w:rsidR="00823A37" w:rsidRPr="00455965" w:rsidRDefault="00823A37" w:rsidP="00823A37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823A37">
        <w:rPr>
          <w:rFonts w:ascii="IRBadr" w:hAnsi="IRBadr" w:cs="IRBadr" w:hint="cs"/>
          <w:b/>
          <w:bCs/>
          <w:sz w:val="28"/>
          <w:rtl/>
          <w:lang w:bidi="ar-SA"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Pr="00823A37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وَکونُوا مَعَ </w:t>
      </w:r>
      <w:r w:rsidRPr="00823A37">
        <w:rPr>
          <w:rFonts w:ascii="IRBadr" w:hAnsi="IRBadr" w:cs="IRBadr"/>
          <w:b/>
          <w:bCs/>
          <w:sz w:val="28"/>
          <w:rtl/>
          <w:lang w:bidi="ar-SA"/>
        </w:rPr>
        <w:lastRenderedPageBreak/>
        <w:t>الصَّادِقِینَ</w:t>
      </w:r>
      <w:r>
        <w:rPr>
          <w:rFonts w:ascii="IRBadr" w:hAnsi="IRBadr" w:cs="IRBadr"/>
          <w:b/>
          <w:bCs/>
          <w:sz w:val="28"/>
          <w:lang w:bidi="ar-SA"/>
        </w:rPr>
        <w:t>»</w:t>
      </w:r>
      <w:r w:rsidRPr="00823A37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823A37" w:rsidRPr="00823A37" w:rsidRDefault="00823A37" w:rsidP="00823A37">
      <w:pPr>
        <w:rPr>
          <w:rtl/>
        </w:rPr>
      </w:pPr>
    </w:p>
    <w:p w:rsidR="00CE4252" w:rsidRPr="00823A37" w:rsidRDefault="006D30F4" w:rsidP="00823A37">
      <w:pPr>
        <w:pStyle w:val="1"/>
        <w:rPr>
          <w:rtl/>
        </w:rPr>
      </w:pPr>
      <w:bookmarkStart w:id="19" w:name="_Toc427712940"/>
      <w:r w:rsidRPr="00823A37">
        <w:rPr>
          <w:rtl/>
        </w:rPr>
        <w:t xml:space="preserve">ترور </w:t>
      </w:r>
      <w:r w:rsidR="00C82781">
        <w:rPr>
          <w:rtl/>
        </w:rPr>
        <w:t>نخست‌وز</w:t>
      </w:r>
      <w:r w:rsidR="00C82781">
        <w:rPr>
          <w:rFonts w:hint="cs"/>
          <w:rtl/>
        </w:rPr>
        <w:t>ی</w:t>
      </w:r>
      <w:r w:rsidR="00C82781">
        <w:rPr>
          <w:rFonts w:hint="eastAsia"/>
          <w:rtl/>
        </w:rPr>
        <w:t>ر</w:t>
      </w:r>
      <w:r w:rsidRPr="00823A37">
        <w:rPr>
          <w:rtl/>
        </w:rPr>
        <w:t xml:space="preserve"> اسرائیل</w:t>
      </w:r>
      <w:r w:rsidR="00C41BF0" w:rsidRPr="00823A37">
        <w:rPr>
          <w:rtl/>
        </w:rPr>
        <w:t xml:space="preserve"> اسحاق رابین</w:t>
      </w:r>
      <w:bookmarkEnd w:id="19"/>
    </w:p>
    <w:p w:rsidR="00F92E3C" w:rsidRPr="00823A37" w:rsidRDefault="00F92E3C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اسحاق رابین اولین </w:t>
      </w:r>
      <w:hyperlink r:id="rId8" w:tooltip="نخست وزیر اسرائیل (صفحه وجود ندارد)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نخست وزیر اسرائیل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بود که محل تولدش </w:t>
      </w:r>
      <w:hyperlink r:id="rId9" w:tooltip="فلسطین تحت قیومیت بریتانیا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 xml:space="preserve">فلسطین تحت </w:t>
        </w:r>
        <w:r w:rsidR="00C82781">
          <w:rPr>
            <w:rFonts w:ascii="IRBadr" w:hAnsi="IRBadr" w:cs="IRBadr"/>
            <w:spacing w:val="-2"/>
            <w:sz w:val="28"/>
            <w:szCs w:val="28"/>
            <w:rtl/>
          </w:rPr>
          <w:t>ق</w:t>
        </w:r>
        <w:r w:rsidR="00C82781">
          <w:rPr>
            <w:rFonts w:ascii="IRBadr" w:hAnsi="IRBadr" w:cs="IRBadr" w:hint="cs"/>
            <w:spacing w:val="-2"/>
            <w:sz w:val="28"/>
            <w:szCs w:val="28"/>
            <w:rtl/>
          </w:rPr>
          <w:t>ی</w:t>
        </w:r>
        <w:r w:rsidR="00C82781">
          <w:rPr>
            <w:rFonts w:ascii="IRBadr" w:hAnsi="IRBadr" w:cs="IRBadr" w:hint="eastAsia"/>
            <w:spacing w:val="-2"/>
            <w:sz w:val="28"/>
            <w:szCs w:val="28"/>
            <w:rtl/>
          </w:rPr>
          <w:t>موم</w:t>
        </w:r>
        <w:r w:rsidR="00C82781">
          <w:rPr>
            <w:rFonts w:ascii="IRBadr" w:hAnsi="IRBadr" w:cs="IRBadr" w:hint="cs"/>
            <w:spacing w:val="-2"/>
            <w:sz w:val="28"/>
            <w:szCs w:val="28"/>
            <w:rtl/>
          </w:rPr>
          <w:t>ی</w:t>
        </w:r>
        <w:r w:rsidR="00C82781">
          <w:rPr>
            <w:rFonts w:ascii="IRBadr" w:hAnsi="IRBadr" w:cs="IRBadr" w:hint="eastAsia"/>
            <w:spacing w:val="-2"/>
            <w:sz w:val="28"/>
            <w:szCs w:val="28"/>
            <w:rtl/>
          </w:rPr>
          <w:t>ت</w:t>
        </w:r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 xml:space="preserve"> بریتانیا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بود. در داخل جامعه اسرائیل، بسیاری وی را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به‌عنوان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یک قهرمان صلح برای نقشش در انعقاد پیمان صلح با فلسطینیان و گروه‌های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افراط‌گرا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اسرائیلی وی را با عنوان خائن به آرمان اسرائیل بزرگ معرفی می‌کردند. اما در جامعه بین‌المللی از وی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به‌عنوان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فردی شجاع و طرفدار صلح جامع با فلسطینیان یاد می‌شد.</w:t>
      </w:r>
    </w:p>
    <w:p w:rsidR="00F92E3C" w:rsidRPr="00823A37" w:rsidRDefault="00F92E3C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  <w:rtl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میانه‌روی‌های رابین و تلاشش برای صلحی جامع با فلسطینی‌ها در دور دوم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نخست‌وز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ر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اش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، باعث شد تا نهایتاً در تاریخ ۴ نوامبر ۱۹۹۵ به دست یک دانشجوی تندروی ۲۵ ساله به نام </w:t>
      </w:r>
      <w:hyperlink r:id="rId10" w:tooltip="ایگال عمیر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ایگال عمیر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در شهر </w:t>
      </w:r>
      <w:hyperlink r:id="rId11" w:tooltip="تل‌آویو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تل‌آویو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>ترور شود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  <w:r w:rsidR="00B27A2F" w:rsidRPr="00823A37">
        <w:rPr>
          <w:rFonts w:ascii="IRBadr" w:hAnsi="IRBadr" w:cs="IRBadr"/>
          <w:spacing w:val="-2"/>
          <w:sz w:val="28"/>
          <w:szCs w:val="28"/>
          <w:rtl/>
        </w:rPr>
        <w:t xml:space="preserve">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ماجراهای فراوانی در حاشیه ترور اسحاق رابین به وجود آمد. شایعات در مورد نحوه رسیدگی و روند درمانی او پس از انتقال به بیمارستان منجر به درخواست انجام تحقیقات رسمی شد. برخی از هواداران و نزدیکان آقای رابین بر این باور بودند که مسئولین </w:t>
      </w:r>
      <w:hyperlink r:id="rId12" w:tooltip="بیمارستان ایچیلوف (صفحه وجود ندارد)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بیمارستان ایچیلوف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hyperlink r:id="rId13" w:tooltip="تل‌آویو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تل‌آویو</w:t>
        </w:r>
      </w:hyperlink>
      <w:r w:rsidRPr="00823A37">
        <w:rPr>
          <w:rFonts w:ascii="IRBadr" w:hAnsi="IRBadr" w:cs="IRBadr"/>
          <w:spacing w:val="-2"/>
          <w:sz w:val="28"/>
          <w:szCs w:val="28"/>
          <w:rtl/>
        </w:rPr>
        <w:t>، در انجام عملیات درمانی کوتاهی کرده و موجبات مرگ وی را از قصد فراهم آورده بودند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B27A2F" w:rsidRPr="00823A37" w:rsidRDefault="00B27A2F" w:rsidP="00823A37">
      <w:pPr>
        <w:pStyle w:val="1"/>
        <w:rPr>
          <w:rtl/>
        </w:rPr>
      </w:pPr>
      <w:bookmarkStart w:id="20" w:name="_Toc427712941"/>
      <w:r w:rsidRPr="00823A37">
        <w:rPr>
          <w:rtl/>
        </w:rPr>
        <w:t>واکنش اسرائیل در پی مرگ اسحاق رابین</w:t>
      </w:r>
      <w:bookmarkEnd w:id="20"/>
    </w:p>
    <w:p w:rsidR="00D81263" w:rsidRPr="00823A37" w:rsidRDefault="00D81263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جامعه اسرائیل با شنیدن خبر مرگ اسحاق رابین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به‌شدت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متأثر شد،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به‌طور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که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صدها هزار اسرائیلی با تجمع در مقابل مکانی که اسحاق رابین در آنجا به قتل رسید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به‌طور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خودجوش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گرد آمدند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و با روشن کردن </w:t>
      </w:r>
      <w:hyperlink r:id="rId14" w:tooltip="شمع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شمع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و خواندن </w:t>
      </w:r>
      <w:hyperlink r:id="rId15" w:tooltip="شعر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اشعار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hyperlink r:id="rId16" w:tooltip="صلح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صلح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به سوگواری وی مشغول شدند. در پی اعلام خبر ترور وی در اسرائیل عزای عمومی اعلام شد. بسیاری از رهبران جهان در مراسم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خاک‌سپار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اسحاق رابین شرکت کردند. از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آن جمله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می‌توان به </w:t>
      </w:r>
      <w:hyperlink r:id="rId17" w:tooltip="بیل کلینتون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بیل کلینتون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رئ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س‌جمهور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وقت </w:t>
      </w:r>
      <w:hyperlink r:id="rId18" w:tooltip="ایالات متحده آمریکا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ایالات متحده آمریکا</w:t>
        </w:r>
      </w:hyperlink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، </w:t>
      </w:r>
      <w:hyperlink r:id="rId19" w:tooltip="حسنی مبارک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حسنی مبارک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رئ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س‌جمهور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</w:t>
      </w:r>
      <w:hyperlink r:id="rId20" w:tooltip="مصر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مصر</w:t>
        </w:r>
      </w:hyperlink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، </w:t>
      </w:r>
      <w:hyperlink r:id="rId21" w:tooltip="حسین پادشاه اردن (صفحه وجود ندارد)" w:history="1">
        <w:r w:rsidRPr="00823A37">
          <w:rPr>
            <w:rFonts w:ascii="IRBadr" w:hAnsi="IRBadr" w:cs="IRBadr"/>
            <w:spacing w:val="-2"/>
            <w:sz w:val="28"/>
            <w:szCs w:val="28"/>
            <w:rtl/>
          </w:rPr>
          <w:t>حسین پادشاه اردن</w:t>
        </w:r>
      </w:hyperlink>
      <w:r w:rsidRPr="00823A37">
        <w:rPr>
          <w:rFonts w:ascii="IRBadr" w:hAnsi="IRBadr" w:cs="IRBadr"/>
          <w:spacing w:val="-2"/>
          <w:sz w:val="28"/>
          <w:szCs w:val="28"/>
        </w:rPr>
        <w:t xml:space="preserve"> </w:t>
      </w:r>
      <w:r w:rsidR="00C41BF0" w:rsidRPr="00823A37">
        <w:rPr>
          <w:rFonts w:ascii="IRBadr" w:hAnsi="IRBadr" w:cs="IRBadr"/>
          <w:spacing w:val="-2"/>
          <w:sz w:val="28"/>
          <w:szCs w:val="28"/>
          <w:rtl/>
        </w:rPr>
        <w:t>و بسیاری دیگر از رؤسای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جمهور و نخست وزیران کشورهای مختلف جهان اشاره کرد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C41BF0" w:rsidRPr="00823A37" w:rsidRDefault="00C41BF0" w:rsidP="00823A37">
      <w:pPr>
        <w:pStyle w:val="1"/>
        <w:rPr>
          <w:rtl/>
        </w:rPr>
      </w:pPr>
      <w:bookmarkStart w:id="21" w:name="_Toc427712942"/>
      <w:r w:rsidRPr="00823A37">
        <w:rPr>
          <w:rtl/>
        </w:rPr>
        <w:t xml:space="preserve">ترفند رابین برای آرام </w:t>
      </w:r>
      <w:r w:rsidR="00C82781">
        <w:rPr>
          <w:rtl/>
        </w:rPr>
        <w:t>نگه‌داشتن</w:t>
      </w:r>
      <w:r w:rsidRPr="00823A37">
        <w:rPr>
          <w:rtl/>
        </w:rPr>
        <w:t xml:space="preserve"> فلسطینیان</w:t>
      </w:r>
      <w:bookmarkEnd w:id="21"/>
    </w:p>
    <w:p w:rsidR="00C41BF0" w:rsidRPr="00823A37" w:rsidRDefault="00C41BF0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  <w:rtl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با رجوع به گذشته این رهبر صهیونیستی متوجه می‌شویم، سیاست صلحی که رابین مدام از آن سخن می‌راند؛ تنها و تنها برای آرام نگه‌داشتن فلسطینیان و فریب افکار عمومی در سطح جهان به کار می‌رفت و در عمل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ه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چ‌چ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="00C82781">
        <w:rPr>
          <w:rFonts w:ascii="IRBadr" w:hAnsi="IRBadr" w:cs="IRBadr" w:hint="eastAsia"/>
          <w:spacing w:val="-2"/>
          <w:sz w:val="28"/>
          <w:szCs w:val="28"/>
          <w:rtl/>
        </w:rPr>
        <w:t>ز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نمی‌توانست مانع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چشم‌پوش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وی از اهداف رژیم صهیونیستی شود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C41BF0" w:rsidRPr="00823A37" w:rsidRDefault="00C41BF0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  <w:rtl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lastRenderedPageBreak/>
        <w:t>اسحاق در 19 سالگی توانسته بود به سازمان نظامی هاگانا راه یابد و تا 8 سال بعدش که فرماندهی کل عملیات‌های این سازمان را عهده‌دار شد؛ نشان داد که توانایی خارق‌العاده‌ای در نابودی مردم بی‌گناه فلسطین و لبنان دارد و شکست اعراب در جنگ 6 روزه که رابین فرماندهی ستاد کل ارتش را یدک می‌کشید، محبوبیت او را در میان صه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>ونیست‌ها چند برابر کرده بود. در دوران وزارتش بر وزارت جنگ بود که حادثه غم‌بار و فجیع کشتار صبرا و شتیلا به وقوع پیوست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D81263" w:rsidRPr="00823A37" w:rsidRDefault="00C41BF0" w:rsidP="00823A37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spacing w:val="-2"/>
          <w:sz w:val="28"/>
          <w:szCs w:val="28"/>
        </w:rPr>
      </w:pP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رابین در یکی از اظهاراتش جمله‌ای را به زبان رانده بود که نشان از چهره واقعی‌اش داشت. او گفته بود: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به‌گونه‌ا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برای صلح مذاکره خواهیم کرد که گویی تروری وجود ندارد، ما </w:t>
      </w:r>
      <w:r w:rsidR="00C82781">
        <w:rPr>
          <w:rFonts w:ascii="IRBadr" w:hAnsi="IRBadr" w:cs="IRBadr"/>
          <w:spacing w:val="-2"/>
          <w:sz w:val="28"/>
          <w:szCs w:val="28"/>
          <w:rtl/>
        </w:rPr>
        <w:t>به‌گونه‌ا</w:t>
      </w:r>
      <w:r w:rsidR="00C82781">
        <w:rPr>
          <w:rFonts w:ascii="IRBadr" w:hAnsi="IRBadr" w:cs="IRBadr" w:hint="cs"/>
          <w:spacing w:val="-2"/>
          <w:sz w:val="28"/>
          <w:szCs w:val="28"/>
          <w:rtl/>
        </w:rPr>
        <w:t>ی</w:t>
      </w:r>
      <w:r w:rsidRPr="00823A37">
        <w:rPr>
          <w:rFonts w:ascii="IRBadr" w:hAnsi="IRBadr" w:cs="IRBadr"/>
          <w:spacing w:val="-2"/>
          <w:sz w:val="28"/>
          <w:szCs w:val="28"/>
          <w:rtl/>
        </w:rPr>
        <w:t xml:space="preserve"> با ترور مبارزه خواهیم کرد که گویی مذاکرات صلحی وجود ندارد</w:t>
      </w:r>
      <w:r w:rsidRPr="00823A37">
        <w:rPr>
          <w:rFonts w:ascii="IRBadr" w:hAnsi="IRBadr" w:cs="IRBadr"/>
          <w:spacing w:val="-2"/>
          <w:sz w:val="28"/>
          <w:szCs w:val="28"/>
        </w:rPr>
        <w:t>.</w:t>
      </w:r>
    </w:p>
    <w:p w:rsidR="008B3F64" w:rsidRPr="00823A37" w:rsidRDefault="00C82781" w:rsidP="00823A37">
      <w:pPr>
        <w:bidi/>
        <w:spacing w:before="120" w:after="240"/>
        <w:jc w:val="both"/>
        <w:rPr>
          <w:rFonts w:ascii="IRBadr" w:eastAsia="Times New Roman" w:hAnsi="IRBadr" w:cs="IRBadr"/>
          <w:spacing w:val="-2"/>
          <w:sz w:val="28"/>
          <w:rtl/>
          <w:lang w:bidi="ar-SA"/>
        </w:rPr>
      </w:pPr>
      <w:r>
        <w:rPr>
          <w:rFonts w:ascii="IRBadr" w:eastAsia="Times New Roman" w:hAnsi="IRBadr" w:cs="IRBadr"/>
          <w:spacing w:val="-2"/>
          <w:sz w:val="28"/>
          <w:rtl/>
          <w:lang w:bidi="ar-SA"/>
        </w:rPr>
        <w:t>مسئله</w:t>
      </w:r>
      <w:r w:rsidR="00FB700D" w:rsidRPr="00823A37">
        <w:rPr>
          <w:rFonts w:ascii="IRBadr" w:eastAsia="Times New Roman" w:hAnsi="IRBadr" w:cs="IRBadr"/>
          <w:spacing w:val="-2"/>
          <w:sz w:val="28"/>
          <w:rtl/>
          <w:lang w:bidi="ar-SA"/>
        </w:rPr>
        <w:t xml:space="preserve"> فلسطین، </w:t>
      </w:r>
      <w:r w:rsidR="005C45AA">
        <w:rPr>
          <w:rFonts w:ascii="IRBadr" w:eastAsia="Times New Roman" w:hAnsi="IRBadr" w:cs="IRBadr"/>
          <w:spacing w:val="-2"/>
          <w:sz w:val="28"/>
          <w:rtl/>
          <w:lang w:bidi="ar-SA"/>
        </w:rPr>
        <w:t>مسئله</w:t>
      </w:r>
      <w:r w:rsidR="00FB700D" w:rsidRPr="00823A37">
        <w:rPr>
          <w:rFonts w:ascii="IRBadr" w:eastAsia="Times New Roman" w:hAnsi="IRBadr" w:cs="IRBadr"/>
          <w:spacing w:val="-2"/>
          <w:sz w:val="28"/>
          <w:rtl/>
          <w:lang w:bidi="ar-SA"/>
        </w:rPr>
        <w:t xml:space="preserve"> به حقی است و شک و تردیدی </w:t>
      </w:r>
      <w:r w:rsidR="005C45AA">
        <w:rPr>
          <w:rFonts w:ascii="IRBadr" w:eastAsia="Times New Roman" w:hAnsi="IRBadr" w:cs="IRBadr"/>
          <w:spacing w:val="-2"/>
          <w:sz w:val="28"/>
          <w:rtl/>
          <w:lang w:bidi="ar-SA"/>
        </w:rPr>
        <w:t>درا</w:t>
      </w:r>
      <w:r w:rsidR="005C45AA">
        <w:rPr>
          <w:rFonts w:ascii="IRBadr" w:eastAsia="Times New Roman" w:hAnsi="IRBadr" w:cs="IRBadr" w:hint="cs"/>
          <w:spacing w:val="-2"/>
          <w:sz w:val="28"/>
          <w:rtl/>
          <w:lang w:bidi="ar-SA"/>
        </w:rPr>
        <w:t>ی</w:t>
      </w:r>
      <w:r w:rsidR="005C45AA">
        <w:rPr>
          <w:rFonts w:ascii="IRBadr" w:eastAsia="Times New Roman" w:hAnsi="IRBadr" w:cs="IRBadr" w:hint="eastAsia"/>
          <w:spacing w:val="-2"/>
          <w:sz w:val="28"/>
          <w:rtl/>
          <w:lang w:bidi="ar-SA"/>
        </w:rPr>
        <w:t>ن‌باره</w:t>
      </w:r>
      <w:r w:rsidR="00FB700D" w:rsidRPr="00823A37">
        <w:rPr>
          <w:rFonts w:ascii="IRBadr" w:eastAsia="Times New Roman" w:hAnsi="IRBadr" w:cs="IRBadr"/>
          <w:spacing w:val="-2"/>
          <w:sz w:val="28"/>
          <w:rtl/>
          <w:lang w:bidi="ar-SA"/>
        </w:rPr>
        <w:t xml:space="preserve"> وجود ندارد و اسرائیل یک رژیم وحشی است که منطقه را تهدید می‌کند. امیدواریم روزی فرا برسد که همه جوامع اسلامی از شرّ اسرائیل و صهیونیسم و ظلم و ستم رهایی یابد</w:t>
      </w:r>
      <w:r w:rsidR="00FB700D" w:rsidRPr="00823A37">
        <w:rPr>
          <w:rFonts w:ascii="IRBadr" w:eastAsia="Times New Roman" w:hAnsi="IRBadr" w:cs="IRBadr"/>
          <w:spacing w:val="-2"/>
          <w:sz w:val="28"/>
          <w:lang w:bidi="ar-SA"/>
        </w:rPr>
        <w:t>.</w:t>
      </w:r>
    </w:p>
    <w:p w:rsidR="00823A37" w:rsidRDefault="00823A37" w:rsidP="00823A3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7A5EEB">
        <w:rPr>
          <w:rFonts w:ascii="IRBadr" w:hAnsi="IRBadr" w:cs="IRBadr" w:hint="cs"/>
          <w:b/>
          <w:bCs/>
          <w:sz w:val="28"/>
          <w:rtl/>
        </w:rPr>
        <w:t>ا</w:t>
      </w:r>
      <w:bookmarkStart w:id="22" w:name="_GoBack"/>
      <w:bookmarkEnd w:id="22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823A37" w:rsidRDefault="00823A37" w:rsidP="00823A37">
      <w:pPr>
        <w:rPr>
          <w:rFonts w:ascii="IRBadr" w:hAnsi="IRBadr" w:cs="IRBadr"/>
          <w:b/>
          <w:bCs/>
          <w:sz w:val="28"/>
          <w:rtl/>
        </w:rPr>
      </w:pPr>
    </w:p>
    <w:p w:rsidR="00152670" w:rsidRPr="00823A37" w:rsidRDefault="00152670" w:rsidP="00823A37">
      <w:pPr>
        <w:bidi/>
        <w:spacing w:before="120" w:after="240"/>
        <w:jc w:val="both"/>
        <w:rPr>
          <w:rFonts w:ascii="IRBadr" w:hAnsi="IRBadr" w:cs="IRBadr"/>
          <w:sz w:val="28"/>
          <w:rtl/>
        </w:rPr>
      </w:pPr>
    </w:p>
    <w:sectPr w:rsidR="00152670" w:rsidRPr="00823A37" w:rsidSect="00A56FF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16" w:rsidRDefault="00313716" w:rsidP="000D5800">
      <w:r>
        <w:separator/>
      </w:r>
    </w:p>
  </w:endnote>
  <w:endnote w:type="continuationSeparator" w:id="0">
    <w:p w:rsidR="00313716" w:rsidRDefault="0031371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37" w:rsidRDefault="00823A3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37" w:rsidRDefault="00823A3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16" w:rsidRDefault="00313716" w:rsidP="005E291E">
      <w:pPr>
        <w:bidi/>
      </w:pPr>
      <w:r>
        <w:separator/>
      </w:r>
    </w:p>
  </w:footnote>
  <w:footnote w:type="continuationSeparator" w:id="0">
    <w:p w:rsidR="00313716" w:rsidRDefault="00313716" w:rsidP="000D5800">
      <w:r>
        <w:continuationSeparator/>
      </w:r>
    </w:p>
  </w:footnote>
  <w:footnote w:id="1">
    <w:p w:rsidR="00823A37" w:rsidRPr="00823A37" w:rsidRDefault="00823A37" w:rsidP="00823A37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823A37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823A37">
        <w:rPr>
          <w:rFonts w:ascii="IRBadr" w:hAnsi="IRBadr" w:cs="IRBadr"/>
          <w:b/>
          <w:sz w:val="22"/>
          <w:szCs w:val="22"/>
          <w:rtl/>
        </w:rPr>
        <w:t xml:space="preserve">. </w:t>
      </w:r>
      <w:r w:rsidRPr="00823A37">
        <w:rPr>
          <w:rFonts w:ascii="IRBadr" w:hAnsi="IRBadr" w:cs="IRBadr" w:hint="cs"/>
          <w:b/>
          <w:sz w:val="22"/>
          <w:szCs w:val="22"/>
          <w:rtl/>
        </w:rPr>
        <w:t xml:space="preserve">سوره </w:t>
      </w:r>
      <w:r w:rsidRPr="00823A37">
        <w:rPr>
          <w:rFonts w:ascii="IRBadr" w:hAnsi="IRBadr" w:cs="IRBadr"/>
          <w:b/>
          <w:sz w:val="22"/>
          <w:szCs w:val="22"/>
          <w:rtl/>
        </w:rPr>
        <w:t>اعراف</w:t>
      </w:r>
      <w:r w:rsidRPr="00823A37">
        <w:rPr>
          <w:rFonts w:ascii="IRBadr" w:hAnsi="IRBadr" w:cs="IRBadr" w:hint="cs"/>
          <w:b/>
          <w:sz w:val="22"/>
          <w:szCs w:val="22"/>
          <w:rtl/>
        </w:rPr>
        <w:t>،</w:t>
      </w:r>
      <w:r w:rsidRPr="00823A37">
        <w:rPr>
          <w:rFonts w:ascii="IRBadr" w:hAnsi="IRBadr" w:cs="IRBadr"/>
          <w:b/>
          <w:sz w:val="22"/>
          <w:szCs w:val="22"/>
          <w:rtl/>
        </w:rPr>
        <w:t xml:space="preserve"> </w:t>
      </w:r>
      <w:r w:rsidRPr="00823A37">
        <w:rPr>
          <w:rFonts w:ascii="IRBadr" w:hAnsi="IRBadr" w:cs="IRBadr" w:hint="cs"/>
          <w:b/>
          <w:sz w:val="22"/>
          <w:szCs w:val="22"/>
          <w:rtl/>
        </w:rPr>
        <w:t xml:space="preserve">آیه </w:t>
      </w:r>
      <w:r w:rsidRPr="00823A37">
        <w:rPr>
          <w:rFonts w:ascii="IRBadr" w:hAnsi="IRBadr" w:cs="IRBadr"/>
          <w:b/>
          <w:sz w:val="22"/>
          <w:szCs w:val="22"/>
          <w:rtl/>
        </w:rPr>
        <w:t>43.</w:t>
      </w:r>
    </w:p>
  </w:footnote>
  <w:footnote w:id="2">
    <w:p w:rsidR="00823A37" w:rsidRPr="00823A37" w:rsidRDefault="00823A37" w:rsidP="00823A37">
      <w:pPr>
        <w:pStyle w:val="a1"/>
        <w:bidi/>
        <w:rPr>
          <w:rFonts w:ascii="IRBadr" w:eastAsiaTheme="minorHAnsi" w:hAnsi="IRBadr" w:cs="IRBadr"/>
          <w:b/>
          <w:sz w:val="22"/>
          <w:szCs w:val="22"/>
          <w:rtl/>
        </w:rPr>
      </w:pPr>
      <w:r w:rsidRPr="00823A37">
        <w:rPr>
          <w:rFonts w:ascii="IRBadr" w:eastAsiaTheme="minorHAnsi" w:hAnsi="IRBadr" w:cs="IRBadr"/>
          <w:b/>
          <w:sz w:val="22"/>
          <w:szCs w:val="22"/>
        </w:rPr>
        <w:footnoteRef/>
      </w:r>
      <w:r w:rsidRPr="00823A37">
        <w:rPr>
          <w:rFonts w:ascii="IRBadr" w:eastAsiaTheme="minorHAnsi" w:hAnsi="IRBadr" w:cs="IRBadr"/>
          <w:b/>
          <w:sz w:val="22"/>
          <w:szCs w:val="22"/>
          <w:rtl/>
        </w:rPr>
        <w:t>. توبه، آیه 119.</w:t>
      </w:r>
    </w:p>
  </w:footnote>
  <w:footnote w:id="3">
    <w:p w:rsidR="008A79E1" w:rsidRPr="005E291E" w:rsidRDefault="008A79E1" w:rsidP="005E291E">
      <w:pPr>
        <w:pStyle w:val="a1"/>
        <w:bidi/>
        <w:rPr>
          <w:rFonts w:ascii="IRBadr" w:hAnsi="IRBadr" w:cs="IRBadr"/>
          <w:rtl/>
        </w:rPr>
      </w:pPr>
      <w:r w:rsidRPr="005E291E">
        <w:rPr>
          <w:rStyle w:val="aff0"/>
          <w:rFonts w:ascii="IRBadr" w:hAnsi="IRBadr" w:cs="IRBadr"/>
          <w:vertAlign w:val="baseline"/>
        </w:rPr>
        <w:footnoteRef/>
      </w:r>
      <w:r w:rsidRPr="005E291E">
        <w:rPr>
          <w:rFonts w:ascii="IRBadr" w:hAnsi="IRBadr" w:cs="IRBadr"/>
          <w:rtl/>
        </w:rPr>
        <w:t>. کافی، ج 7، ص 19.</w:t>
      </w:r>
    </w:p>
  </w:footnote>
  <w:footnote w:id="4">
    <w:p w:rsidR="008A79E1" w:rsidRPr="005E291E" w:rsidRDefault="008A79E1" w:rsidP="005E291E">
      <w:pPr>
        <w:pStyle w:val="a1"/>
        <w:bidi/>
        <w:rPr>
          <w:rFonts w:ascii="IRBadr" w:hAnsi="IRBadr" w:cs="IRBadr"/>
          <w:rtl/>
        </w:rPr>
      </w:pPr>
      <w:r w:rsidRPr="005E291E">
        <w:rPr>
          <w:rStyle w:val="aff0"/>
          <w:rFonts w:ascii="IRBadr" w:hAnsi="IRBadr" w:cs="IRBadr"/>
          <w:vertAlign w:val="baseline"/>
        </w:rPr>
        <w:footnoteRef/>
      </w:r>
      <w:r w:rsidRPr="005E291E">
        <w:rPr>
          <w:rFonts w:ascii="IRBadr" w:hAnsi="IRBadr" w:cs="IRBadr"/>
          <w:rtl/>
        </w:rPr>
        <w:t>. اسراء، 26- 27</w:t>
      </w:r>
      <w:r w:rsidRPr="005E291E">
        <w:rPr>
          <w:rFonts w:ascii="IRBadr" w:hAnsi="IRBadr" w:cs="IRBadr"/>
        </w:rPr>
        <w:t>.</w:t>
      </w:r>
    </w:p>
  </w:footnote>
  <w:footnote w:id="5">
    <w:p w:rsidR="009D7F16" w:rsidRPr="005E291E" w:rsidRDefault="009D7F16" w:rsidP="005E291E">
      <w:pPr>
        <w:pStyle w:val="a1"/>
        <w:bidi/>
        <w:rPr>
          <w:rFonts w:ascii="IRBadr" w:hAnsi="IRBadr" w:cs="IRBadr"/>
          <w:rtl/>
        </w:rPr>
      </w:pPr>
      <w:r w:rsidRPr="005E291E">
        <w:rPr>
          <w:rStyle w:val="aff0"/>
          <w:rFonts w:ascii="IRBadr" w:hAnsi="IRBadr" w:cs="IRBadr"/>
          <w:vertAlign w:val="baseline"/>
        </w:rPr>
        <w:footnoteRef/>
      </w:r>
      <w:r w:rsidRPr="005E291E">
        <w:rPr>
          <w:rFonts w:ascii="IRBadr" w:hAnsi="IRBadr" w:cs="IRBadr"/>
          <w:rtl/>
        </w:rPr>
        <w:t>. تمیم</w:t>
      </w:r>
      <w:r w:rsidR="00CA12F0">
        <w:rPr>
          <w:rFonts w:ascii="IRBadr" w:hAnsi="IRBadr" w:cs="IRBadr"/>
          <w:rtl/>
        </w:rPr>
        <w:t>ی</w:t>
      </w:r>
      <w:r w:rsidRPr="005E291E">
        <w:rPr>
          <w:rFonts w:ascii="IRBadr" w:hAnsi="IRBadr" w:cs="IRBadr"/>
          <w:rtl/>
        </w:rPr>
        <w:t xml:space="preserve"> آمد</w:t>
      </w:r>
      <w:r w:rsidR="00CA12F0">
        <w:rPr>
          <w:rFonts w:ascii="IRBadr" w:hAnsi="IRBadr" w:cs="IRBadr"/>
          <w:rtl/>
        </w:rPr>
        <w:t>ی</w:t>
      </w:r>
      <w:r w:rsidRPr="005E291E">
        <w:rPr>
          <w:rFonts w:ascii="IRBadr" w:hAnsi="IRBadr" w:cs="IRBadr"/>
          <w:rtl/>
        </w:rPr>
        <w:t>، عبد الواحد بن محمد، تصنیف غرر الحکم و درر الکلم، مصحح، درایتی، مصطفی، ص 359، 1</w:t>
      </w:r>
      <w:r w:rsidR="00CA12F0">
        <w:rPr>
          <w:rFonts w:ascii="IRBadr" w:hAnsi="IRBadr" w:cs="IRBadr"/>
          <w:rtl/>
        </w:rPr>
        <w:t xml:space="preserve"> جلد</w:t>
      </w:r>
      <w:r w:rsidR="00CA12F0">
        <w:rPr>
          <w:rFonts w:ascii="IRBadr" w:hAnsi="IRBadr" w:cs="IRBadr" w:hint="cs"/>
          <w:rtl/>
        </w:rPr>
        <w:t>ی</w:t>
      </w:r>
      <w:r w:rsidRPr="005E291E">
        <w:rPr>
          <w:rFonts w:ascii="IRBadr" w:hAnsi="IRBadr" w:cs="IRBadr"/>
          <w:rtl/>
        </w:rPr>
        <w:t>، دفتر تبلیغات اسلامی، قم، چاپ اول، 1366</w:t>
      </w:r>
      <w:r w:rsidR="00CA12F0">
        <w:rPr>
          <w:rFonts w:ascii="IRBadr" w:hAnsi="IRBadr" w:cs="IRBadr"/>
          <w:rtl/>
        </w:rPr>
        <w:t xml:space="preserve"> ش</w:t>
      </w:r>
      <w:r w:rsidRPr="005E291E">
        <w:rPr>
          <w:rFonts w:ascii="IRBadr" w:hAnsi="IRBadr" w:cs="IRBadr"/>
        </w:rPr>
        <w:t xml:space="preserve">. </w:t>
      </w:r>
      <w:r w:rsidRPr="005E291E">
        <w:rPr>
          <w:rFonts w:ascii="Times New Roman" w:hAnsi="Times New Roman" w:cs="Times New Roman"/>
        </w:rPr>
        <w:t> </w:t>
      </w:r>
    </w:p>
  </w:footnote>
  <w:footnote w:id="6">
    <w:p w:rsidR="00B310DB" w:rsidRPr="005E291E" w:rsidRDefault="00B310DB" w:rsidP="005E291E">
      <w:pPr>
        <w:pStyle w:val="a1"/>
        <w:bidi/>
        <w:rPr>
          <w:rFonts w:ascii="IRBadr" w:hAnsi="IRBadr" w:cs="IRBadr"/>
          <w:rtl/>
        </w:rPr>
      </w:pPr>
      <w:r w:rsidRPr="005E291E">
        <w:rPr>
          <w:rStyle w:val="aff0"/>
          <w:rFonts w:ascii="IRBadr" w:hAnsi="IRBadr" w:cs="IRBadr"/>
          <w:vertAlign w:val="baseline"/>
        </w:rPr>
        <w:footnoteRef/>
      </w:r>
      <w:r w:rsidRPr="005E291E">
        <w:rPr>
          <w:rFonts w:ascii="IRBadr" w:hAnsi="IRBadr" w:cs="IRBadr"/>
          <w:rtl/>
        </w:rPr>
        <w:t>. سوره کوثر.</w:t>
      </w:r>
    </w:p>
  </w:footnote>
  <w:footnote w:id="7">
    <w:p w:rsidR="00823A37" w:rsidRPr="005E291E" w:rsidRDefault="00823A37" w:rsidP="00823A37">
      <w:pPr>
        <w:pStyle w:val="a1"/>
        <w:bidi/>
        <w:rPr>
          <w:rFonts w:ascii="IRBadr" w:eastAsiaTheme="minorHAnsi" w:hAnsi="IRBadr" w:cs="IRBadr"/>
          <w:rtl/>
        </w:rPr>
      </w:pPr>
      <w:r w:rsidRPr="005E291E">
        <w:rPr>
          <w:rFonts w:ascii="IRBadr" w:eastAsiaTheme="minorHAnsi" w:hAnsi="IRBadr" w:cs="IRBadr"/>
        </w:rPr>
        <w:footnoteRef/>
      </w:r>
      <w:r w:rsidRPr="005E291E">
        <w:rPr>
          <w:rFonts w:ascii="IRBadr" w:eastAsiaTheme="minorHAnsi" w:hAnsi="IRBadr" w:cs="IRBadr"/>
          <w:rtl/>
        </w:rPr>
        <w:t>. توبه،</w:t>
      </w:r>
      <w:r>
        <w:rPr>
          <w:rFonts w:ascii="IRBadr" w:eastAsiaTheme="minorHAnsi" w:hAnsi="IRBadr" w:cs="IRBadr"/>
          <w:rtl/>
        </w:rPr>
        <w:t xml:space="preserve"> آ</w:t>
      </w:r>
      <w:r>
        <w:rPr>
          <w:rFonts w:ascii="IRBadr" w:eastAsiaTheme="minorHAnsi" w:hAnsi="IRBadr" w:cs="IRBadr" w:hint="cs"/>
          <w:rtl/>
        </w:rPr>
        <w:t>یه</w:t>
      </w:r>
      <w:r w:rsidRPr="005E291E">
        <w:rPr>
          <w:rFonts w:ascii="IRBadr" w:eastAsiaTheme="minorHAnsi" w:hAnsi="IRBadr" w:cs="IRBadr"/>
          <w:rtl/>
        </w:rPr>
        <w:t xml:space="preserve"> 119.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37" w:rsidRDefault="00823A3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9E3F71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3" w:name="OLE_LINK1"/>
    <w:bookmarkStart w:id="24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E746882" wp14:editId="42D9FFD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3"/>
    <w:bookmarkEnd w:id="2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038D949" wp14:editId="5FF49AD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E175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9E3F71" w:rsidRPr="00823A37">
      <w:rPr>
        <w:rFonts w:ascii="IRBadr" w:hAnsi="IRBadr" w:cs="IRBadr"/>
        <w:sz w:val="28"/>
        <w:rtl/>
      </w:rPr>
      <w:t>4251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37" w:rsidRDefault="00823A37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0C7F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0882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371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72E2D"/>
    <w:rsid w:val="00585427"/>
    <w:rsid w:val="00592103"/>
    <w:rsid w:val="005941DD"/>
    <w:rsid w:val="005A545E"/>
    <w:rsid w:val="005A5862"/>
    <w:rsid w:val="005B0852"/>
    <w:rsid w:val="005C06AE"/>
    <w:rsid w:val="005C45AA"/>
    <w:rsid w:val="005E291E"/>
    <w:rsid w:val="00610C18"/>
    <w:rsid w:val="00612385"/>
    <w:rsid w:val="0061376C"/>
    <w:rsid w:val="00636EFA"/>
    <w:rsid w:val="0066229C"/>
    <w:rsid w:val="00670D77"/>
    <w:rsid w:val="0069696C"/>
    <w:rsid w:val="006A085A"/>
    <w:rsid w:val="006D30F4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A5EEB"/>
    <w:rsid w:val="007A7E9C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3A37"/>
    <w:rsid w:val="008407A4"/>
    <w:rsid w:val="00844860"/>
    <w:rsid w:val="00845CC4"/>
    <w:rsid w:val="008644F4"/>
    <w:rsid w:val="00883733"/>
    <w:rsid w:val="008965D2"/>
    <w:rsid w:val="00896958"/>
    <w:rsid w:val="008A14D3"/>
    <w:rsid w:val="008A236D"/>
    <w:rsid w:val="008A6B24"/>
    <w:rsid w:val="008A79E1"/>
    <w:rsid w:val="008B3F6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0424"/>
    <w:rsid w:val="009C7B4F"/>
    <w:rsid w:val="009D7F16"/>
    <w:rsid w:val="009E3F71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27A2F"/>
    <w:rsid w:val="00B310DB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2D6C"/>
    <w:rsid w:val="00C41BF0"/>
    <w:rsid w:val="00C60D75"/>
    <w:rsid w:val="00C63609"/>
    <w:rsid w:val="00C64CEA"/>
    <w:rsid w:val="00C73012"/>
    <w:rsid w:val="00C763DD"/>
    <w:rsid w:val="00C82781"/>
    <w:rsid w:val="00C84FC0"/>
    <w:rsid w:val="00C9244A"/>
    <w:rsid w:val="00CA12F0"/>
    <w:rsid w:val="00CB5DA3"/>
    <w:rsid w:val="00CE09B7"/>
    <w:rsid w:val="00CE31E6"/>
    <w:rsid w:val="00CE3B74"/>
    <w:rsid w:val="00CE4252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0478"/>
    <w:rsid w:val="00D812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3C4A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92E3C"/>
    <w:rsid w:val="00FB700D"/>
    <w:rsid w:val="00FC0862"/>
    <w:rsid w:val="00FC70FB"/>
    <w:rsid w:val="00FD143D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395ED6A-1056-4682-A747-028A26D0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23A37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23A37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9E3F71"/>
    <w:rPr>
      <w:vertAlign w:val="superscript"/>
    </w:rPr>
  </w:style>
  <w:style w:type="paragraph" w:styleId="aff1">
    <w:name w:val="Normal (Web)"/>
    <w:basedOn w:val="a"/>
    <w:uiPriority w:val="99"/>
    <w:unhideWhenUsed/>
    <w:rsid w:val="00010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2">
    <w:name w:val="Hyperlink"/>
    <w:basedOn w:val="a2"/>
    <w:uiPriority w:val="99"/>
    <w:unhideWhenUsed/>
    <w:rsid w:val="00010C7F"/>
    <w:rPr>
      <w:color w:val="0000FF"/>
      <w:u w:val="single"/>
    </w:rPr>
  </w:style>
  <w:style w:type="paragraph" w:customStyle="1" w:styleId="style4">
    <w:name w:val="style4"/>
    <w:basedOn w:val="a"/>
    <w:rsid w:val="00010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3">
    <w:name w:val="Strong"/>
    <w:basedOn w:val="a2"/>
    <w:uiPriority w:val="22"/>
    <w:qFormat/>
    <w:rsid w:val="00C41BF0"/>
    <w:rPr>
      <w:b/>
      <w:bCs/>
    </w:rPr>
  </w:style>
  <w:style w:type="character" w:customStyle="1" w:styleId="content">
    <w:name w:val="content"/>
    <w:basedOn w:val="a2"/>
    <w:rsid w:val="00FB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/index.php?title=%D9%86%D8%AE%D8%B3%D8%AA_%D9%88%D8%B2%DB%8C%D8%B1_%D8%A7%D8%B3%D8%B1%D8%A7%D8%A6%DB%8C%D9%84&amp;action=edit&amp;redlink=1&amp;preload=%D8%A7%D9%84%DA%AF%D9%88%3A%D8%A7%DB%8C%D8%AC%D8%A7%D8%AF%2B%D9%85%D9%82%D8%A7%D9%84%D9%87%2F%D8%A7%D8%B3%D8%AA%D8%AE%D9%88%D8%A7%D9%86%E2%80%8C%D8%A8%D9%86%D8%AF%DB%8C&amp;editintro=%D8%A7%D9%84%DA%AF%D9%88%3A%D8%A7%DB%8C%D8%AC%D8%A7%D8%AF%2B%D9%85%D9%82%D8%A7%D9%84%D9%87%2F%D8%A7%D8%AF%DB%8C%D8%AA%E2%80%8C%D9%86%D9%88%D8%AA%DB%8C%D8%B3&amp;summary=%D8%A7%DB%8C%D8%AC%D8%A7%D8%AF%2B%DB%8C%DA%A9%2B%D9%85%D9%82%D8%A7%D9%84%D9%87%2B%D9%86%D9%88%2B%D8%A7%D8%B2%2B%D8%B7%D8%B1%DB%8C%D9%82%2B%D8%A7%DB%8C%D8%AC%D8%A7%D8%AF%DA%AF%D8%B1&amp;nosummary=&amp;prefix=&amp;minor=&amp;create=%D8%AF%D8%B1%D8%B3%D8%AA%2B%DA%A9%D8%B1%D8%AF%D9%86%2B%D9%85%D9%82%D8%A7%D9%84%D9%87%2B%D8%AC%D8%AF%DB%8C%D8%AF" TargetMode="External"/><Relationship Id="rId13" Type="http://schemas.openxmlformats.org/officeDocument/2006/relationships/hyperlink" Target="https://fa.wikipedia.org/wiki/%D8%AA%D9%84%E2%80%8C%D8%A2%D9%88%DB%8C%D9%88" TargetMode="External"/><Relationship Id="rId18" Type="http://schemas.openxmlformats.org/officeDocument/2006/relationships/hyperlink" Target="https://fa.wikipedia.org/wiki/%D8%A7%DB%8C%D8%A7%D9%84%D8%A7%D8%AA_%D9%85%D8%AA%D8%AD%D8%AF%D9%87_%D8%A2%D9%85%D8%B1%DB%8C%DA%A9%D8%A7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fa.wikipedia.org/w/index.php?title=%D8%AD%D8%B3%DB%8C%D9%86_%D9%BE%D8%A7%D8%AF%D8%B4%D8%A7%D9%87_%D8%A7%D8%B1%D8%AF%D9%86&amp;action=edit&amp;redlink=1&amp;preload=%D8%A7%D9%84%DA%AF%D9%88%3A%D8%A7%DB%8C%D8%AC%D8%A7%D8%AF%2B%D9%85%D9%82%D8%A7%D9%84%D9%87%2F%D8%A7%D8%B3%D8%AA%D8%AE%D9%88%D8%A7%D9%86%E2%80%8C%D8%A8%D9%86%D8%AF%DB%8C&amp;editintro=%D8%A7%D9%84%DA%AF%D9%88%3A%D8%A7%DB%8C%D8%AC%D8%A7%D8%AF%2B%D9%85%D9%82%D8%A7%D9%84%D9%87%2F%D8%A7%D8%AF%DB%8C%D8%AA%E2%80%8C%D9%86%D9%88%D8%AA%DB%8C%D8%B3&amp;summary=%D8%A7%DB%8C%D8%AC%D8%A7%D8%AF%2B%DB%8C%DA%A9%2B%D9%85%D9%82%D8%A7%D9%84%D9%87%2B%D9%86%D9%88%2B%D8%A7%D8%B2%2B%D8%B7%D8%B1%DB%8C%D9%82%2B%D8%A7%DB%8C%D8%AC%D8%A7%D8%AF%DA%AF%D8%B1&amp;nosummary=&amp;prefix=&amp;minor=&amp;create=%D8%AF%D8%B1%D8%B3%D8%AA%2B%DA%A9%D8%B1%D8%AF%D9%86%2B%D9%85%D9%82%D8%A7%D9%84%D9%87%2B%D8%AC%D8%AF%DB%8C%D8%AF" TargetMode="External"/><Relationship Id="rId7" Type="http://schemas.openxmlformats.org/officeDocument/2006/relationships/hyperlink" Target="http://www.islamquest.net/fa/archive/question/fa21210" TargetMode="External"/><Relationship Id="rId12" Type="http://schemas.openxmlformats.org/officeDocument/2006/relationships/hyperlink" Target="https://fa.wikipedia.org/w/index.php?title=%D8%A8%DB%8C%D9%85%D8%A7%D8%B1%D8%B3%D8%AA%D8%A7%D9%86_%D8%A7%DB%8C%DA%86%DB%8C%D9%84%D9%88%D9%81&amp;action=edit&amp;redlink=1&amp;preload=%D8%A7%D9%84%DA%AF%D9%88%3A%D8%A7%DB%8C%D8%AC%D8%A7%D8%AF%2B%D9%85%D9%82%D8%A7%D9%84%D9%87%2F%D8%A7%D8%B3%D8%AA%D8%AE%D9%88%D8%A7%D9%86%E2%80%8C%D8%A8%D9%86%D8%AF%DB%8C&amp;editintro=%D8%A7%D9%84%DA%AF%D9%88%3A%D8%A7%DB%8C%D8%AC%D8%A7%D8%AF%2B%D9%85%D9%82%D8%A7%D9%84%D9%87%2F%D8%A7%D8%AF%DB%8C%D8%AA%E2%80%8C%D9%86%D9%88%D8%AA%DB%8C%D8%B3&amp;summary=%D8%A7%DB%8C%D8%AC%D8%A7%D8%AF%2B%DB%8C%DA%A9%2B%D9%85%D9%82%D8%A7%D9%84%D9%87%2B%D9%86%D9%88%2B%D8%A7%D8%B2%2B%D8%B7%D8%B1%DB%8C%D9%82%2B%D8%A7%DB%8C%D8%AC%D8%A7%D8%AF%DA%AF%D8%B1&amp;nosummary=&amp;prefix=&amp;minor=&amp;create=%D8%AF%D8%B1%D8%B3%D8%AA%2B%DA%A9%D8%B1%D8%AF%D9%86%2B%D9%85%D9%82%D8%A7%D9%84%D9%87%2B%D8%AC%D8%AF%DB%8C%D8%AF" TargetMode="External"/><Relationship Id="rId17" Type="http://schemas.openxmlformats.org/officeDocument/2006/relationships/hyperlink" Target="https://fa.wikipedia.org/wiki/%D8%A8%DB%8C%D9%84_%DA%A9%D9%84%DB%8C%D9%86%D8%AA%D9%88%D9%86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fa.wikipedia.org/wiki/%D8%B5%D9%84%D8%AD" TargetMode="External"/><Relationship Id="rId20" Type="http://schemas.openxmlformats.org/officeDocument/2006/relationships/hyperlink" Target="https://fa.wikipedia.org/wiki/%D9%85%D8%B5%D8%B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a.wikipedia.org/wiki/%D8%AA%D9%84%E2%80%8C%D8%A2%D9%88%DB%8C%D9%8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a.wikipedia.org/wiki/%D8%B4%D8%B9%D8%B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fa.wikipedia.org/wiki/%D8%A7%DB%8C%DA%AF%D8%A7%D9%84_%D8%B9%D9%85%DB%8C%D8%B1" TargetMode="External"/><Relationship Id="rId19" Type="http://schemas.openxmlformats.org/officeDocument/2006/relationships/hyperlink" Target="https://fa.wikipedia.org/wiki/%D8%AD%D8%B3%D9%86%DB%8C_%D9%85%D8%A8%D8%A7%D8%B1%DA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9%81%D9%84%D8%B3%D8%B7%DB%8C%D9%86_%D8%AA%D8%AD%D8%AA_%D9%82%DB%8C%D9%88%D9%85%DB%8C%D8%AA_%D8%A8%D8%B1%DB%8C%D8%AA%D8%A7%D9%86%DB%8C%D8%A7" TargetMode="External"/><Relationship Id="rId14" Type="http://schemas.openxmlformats.org/officeDocument/2006/relationships/hyperlink" Target="https://fa.wikipedia.org/wiki/%D8%B4%D9%85%D8%B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19DA-4A4B-40DD-B31C-F5C6594F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98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23</cp:revision>
  <dcterms:created xsi:type="dcterms:W3CDTF">2015-07-12T08:54:00Z</dcterms:created>
  <dcterms:modified xsi:type="dcterms:W3CDTF">2015-08-22T05:48:00Z</dcterms:modified>
</cp:coreProperties>
</file>