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14" w:rsidRPr="006E4D97" w:rsidRDefault="000E3714" w:rsidP="006E4D97">
      <w:pPr>
        <w:pStyle w:val="Heading1"/>
        <w:rPr>
          <w:rtl/>
        </w:rPr>
      </w:pPr>
      <w:bookmarkStart w:id="0" w:name="_Toc428446076"/>
      <w:r w:rsidRPr="006E4D97">
        <w:rPr>
          <w:rtl/>
        </w:rPr>
        <w:t>فهرست مطالب</w:t>
      </w:r>
      <w:bookmarkEnd w:id="0"/>
    </w:p>
    <w:p w:rsidR="000E3714" w:rsidRPr="006E4D97" w:rsidRDefault="000E3714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6E4D97">
        <w:rPr>
          <w:rFonts w:ascii="IRBadr" w:hAnsi="IRBadr" w:cs="IRBadr"/>
          <w:sz w:val="28"/>
          <w:rtl/>
        </w:rPr>
        <w:fldChar w:fldCharType="begin"/>
      </w:r>
      <w:r w:rsidRPr="006E4D97">
        <w:rPr>
          <w:rFonts w:ascii="IRBadr" w:hAnsi="IRBadr" w:cs="IRBadr"/>
          <w:sz w:val="28"/>
          <w:rtl/>
        </w:rPr>
        <w:instrText xml:space="preserve"> </w:instrText>
      </w:r>
      <w:r w:rsidRPr="006E4D97">
        <w:rPr>
          <w:rFonts w:ascii="IRBadr" w:hAnsi="IRBadr" w:cs="IRBadr"/>
          <w:sz w:val="28"/>
        </w:rPr>
        <w:instrText>TOC</w:instrText>
      </w:r>
      <w:r w:rsidRPr="006E4D97">
        <w:rPr>
          <w:rFonts w:ascii="IRBadr" w:hAnsi="IRBadr" w:cs="IRBadr"/>
          <w:sz w:val="28"/>
          <w:rtl/>
        </w:rPr>
        <w:instrText xml:space="preserve"> \</w:instrText>
      </w:r>
      <w:r w:rsidRPr="006E4D97">
        <w:rPr>
          <w:rFonts w:ascii="IRBadr" w:hAnsi="IRBadr" w:cs="IRBadr"/>
          <w:sz w:val="28"/>
        </w:rPr>
        <w:instrText>o "</w:instrText>
      </w:r>
      <w:r w:rsidRPr="006E4D97">
        <w:rPr>
          <w:rFonts w:ascii="IRBadr" w:hAnsi="IRBadr" w:cs="IRBadr"/>
          <w:sz w:val="28"/>
          <w:rtl/>
        </w:rPr>
        <w:instrText>1-3</w:instrText>
      </w:r>
      <w:r w:rsidRPr="006E4D97">
        <w:rPr>
          <w:rFonts w:ascii="IRBadr" w:hAnsi="IRBadr" w:cs="IRBadr"/>
          <w:sz w:val="28"/>
        </w:rPr>
        <w:instrText>" \h \z \u</w:instrText>
      </w:r>
      <w:r w:rsidRPr="006E4D97">
        <w:rPr>
          <w:rFonts w:ascii="IRBadr" w:hAnsi="IRBadr" w:cs="IRBadr"/>
          <w:sz w:val="28"/>
          <w:rtl/>
        </w:rPr>
        <w:instrText xml:space="preserve"> </w:instrText>
      </w:r>
      <w:r w:rsidRPr="006E4D97">
        <w:rPr>
          <w:rFonts w:ascii="IRBadr" w:hAnsi="IRBadr" w:cs="IRBadr"/>
          <w:sz w:val="28"/>
          <w:rtl/>
        </w:rPr>
        <w:fldChar w:fldCharType="separate"/>
      </w:r>
      <w:hyperlink w:anchor="_Toc428446077" w:history="1">
        <w:r w:rsidRPr="006E4D9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6E4D97">
          <w:rPr>
            <w:rFonts w:ascii="IRBadr" w:hAnsi="IRBadr" w:cs="IRBadr"/>
            <w:noProof/>
            <w:webHidden/>
            <w:sz w:val="28"/>
          </w:rPr>
          <w:tab/>
        </w:r>
        <w:r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6E4D97">
          <w:rPr>
            <w:rFonts w:ascii="IRBadr" w:hAnsi="IRBadr" w:cs="IRBadr"/>
            <w:noProof/>
            <w:webHidden/>
            <w:sz w:val="28"/>
          </w:rPr>
          <w:instrText xml:space="preserve"> PAGEREF _Toc428446077 \h </w:instrText>
        </w:r>
        <w:r w:rsidRPr="006E4D97">
          <w:rPr>
            <w:rFonts w:ascii="IRBadr" w:hAnsi="IRBadr" w:cs="IRBadr"/>
            <w:noProof/>
            <w:webHidden/>
            <w:sz w:val="28"/>
          </w:rPr>
        </w:r>
        <w:r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6E4D97">
          <w:rPr>
            <w:rFonts w:ascii="IRBadr" w:hAnsi="IRBadr" w:cs="IRBadr"/>
            <w:noProof/>
            <w:webHidden/>
            <w:sz w:val="28"/>
          </w:rPr>
          <w:t>2</w:t>
        </w:r>
        <w:r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78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اسراف و تبذیر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_Toc428446078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2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79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شخصیت حضرت زینب (ع)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_Toc428446079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2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0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1. وراثت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_Toc428446080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3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1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2. تربیت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_Toc428446081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3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2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3. محیط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_Toc428446082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4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3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 xml:space="preserve">فضایل و مناقب عقیله </w:t>
        </w:r>
        <w:r w:rsidR="006E4D97">
          <w:rPr>
            <w:rStyle w:val="Hyperlink"/>
            <w:rFonts w:ascii="IRBadr" w:hAnsi="IRBadr" w:cs="IRBadr"/>
            <w:noProof/>
            <w:sz w:val="28"/>
            <w:rtl/>
          </w:rPr>
          <w:t>بنی‌هاشم</w:t>
        </w:r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 xml:space="preserve"> (ع)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_Toc428446083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4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4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علم و دانش حضرت زینب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_Toc428446084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4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5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پرستش و عبادت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_Toc428446085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5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6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صبر و ثبات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_Toc428446086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5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7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شجاعت حضرت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_Toc428446087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6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8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فصاحت و بلاغت حضرت زینب (س)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_Toc428446088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6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89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_Toc428446089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7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0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فضیلت ماه رجب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_Toc428446090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7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1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اهم</w:t>
        </w:r>
        <w:r w:rsidR="004F6ADC" w:rsidRPr="006E4D97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ت و فض</w:t>
        </w:r>
        <w:r w:rsidR="004F6ADC" w:rsidRPr="006E4D97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لت اعت</w:t>
        </w:r>
        <w:r w:rsidR="004F6ADC" w:rsidRPr="006E4D97">
          <w:rPr>
            <w:rStyle w:val="Hyperlink"/>
            <w:rFonts w:ascii="IRBadr" w:hAnsi="IRBadr" w:cs="IRBadr"/>
            <w:noProof/>
            <w:sz w:val="28"/>
            <w:rtl/>
          </w:rPr>
          <w:t>ک</w:t>
        </w:r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اف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_Toc428446091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8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2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سالروز وحدت حوزه و دانشگاه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_Toc428446092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8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3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یادی از شهید مفتح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_Toc428446093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9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4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نقش خطیر روحانی و دانشجو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_Toc428446094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9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5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واگذاری تلفن در شهرستان میبد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_Toc428446095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9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Pr="006E4D97" w:rsidRDefault="00567749" w:rsidP="000E3714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446096" w:history="1">
        <w:r w:rsidR="000E3714" w:rsidRPr="006E4D97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tab/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E3714" w:rsidRPr="006E4D97">
          <w:rPr>
            <w:rFonts w:ascii="IRBadr" w:hAnsi="IRBadr" w:cs="IRBadr"/>
            <w:noProof/>
            <w:webHidden/>
            <w:sz w:val="28"/>
          </w:rPr>
          <w:instrText xml:space="preserve"> PAGEREF _Toc428446096 \h </w:instrText>
        </w:r>
        <w:r w:rsidR="000E3714" w:rsidRPr="006E4D97">
          <w:rPr>
            <w:rFonts w:ascii="IRBadr" w:hAnsi="IRBadr" w:cs="IRBadr"/>
            <w:noProof/>
            <w:webHidden/>
            <w:sz w:val="28"/>
          </w:rPr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E3714" w:rsidRPr="006E4D97">
          <w:rPr>
            <w:rFonts w:ascii="IRBadr" w:hAnsi="IRBadr" w:cs="IRBadr"/>
            <w:noProof/>
            <w:webHidden/>
            <w:sz w:val="28"/>
          </w:rPr>
          <w:t>10</w:t>
        </w:r>
        <w:r w:rsidR="000E3714" w:rsidRPr="006E4D9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E3714" w:rsidRDefault="000E3714" w:rsidP="006E4D97">
      <w:pPr>
        <w:pStyle w:val="Heading1"/>
        <w:rPr>
          <w:rtl/>
        </w:rPr>
      </w:pPr>
      <w:r w:rsidRPr="006E4D97">
        <w:rPr>
          <w:sz w:val="28"/>
          <w:szCs w:val="28"/>
          <w:rtl/>
        </w:rPr>
        <w:fldChar w:fldCharType="end"/>
      </w:r>
    </w:p>
    <w:p w:rsidR="000E3714" w:rsidRDefault="000E3714" w:rsidP="000E3714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4865D9" w:rsidRPr="00E52A4A" w:rsidRDefault="004865D9" w:rsidP="006E4D97">
      <w:pPr>
        <w:pStyle w:val="Heading1"/>
        <w:rPr>
          <w:rtl/>
        </w:rPr>
      </w:pPr>
      <w:bookmarkStart w:id="1" w:name="_Toc428446077"/>
      <w:r w:rsidRPr="00E52A4A">
        <w:rPr>
          <w:rtl/>
        </w:rPr>
        <w:lastRenderedPageBreak/>
        <w:t>خطبه اول</w:t>
      </w:r>
      <w:bookmarkEnd w:id="1"/>
    </w:p>
    <w:p w:rsidR="00C77216" w:rsidRDefault="006E4D97" w:rsidP="006E4D97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C77216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856693" w:rsidRPr="00E52A4A" w:rsidRDefault="006E4D97" w:rsidP="00C7721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C77216">
        <w:rPr>
          <w:rFonts w:ascii="IRBadr" w:hAnsi="IRBadr" w:cs="IRBadr"/>
          <w:sz w:val="28"/>
          <w:rtl/>
        </w:rPr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856693" w:rsidRPr="00E52A4A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856693" w:rsidRPr="00E52A4A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856693" w:rsidRPr="00E52A4A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865D9" w:rsidRPr="00E52A4A" w:rsidRDefault="004865D9" w:rsidP="006E4D97">
      <w:pPr>
        <w:pStyle w:val="Heading1"/>
        <w:rPr>
          <w:rtl/>
        </w:rPr>
      </w:pPr>
      <w:bookmarkStart w:id="2" w:name="_Toc428446078"/>
      <w:r w:rsidRPr="00E52A4A">
        <w:rPr>
          <w:rtl/>
        </w:rPr>
        <w:t>اسراف و تبذیر</w:t>
      </w:r>
      <w:bookmarkEnd w:id="2"/>
    </w:p>
    <w:p w:rsidR="004865D9" w:rsidRPr="00E52A4A" w:rsidRDefault="004865D9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دین اسلام، آیین زندگی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احکام و دستوراتش برای سعادت و خوشبختی انسان و جامعه بشری 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اسلام برای همه زوایای زندگی بشر برنامه دارد و تعادل در همه امور را به پیروان خود توصیه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ی‌نماید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اسراف یعنی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زیاده‌روی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تجاوز که متضاد آن قصد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میانه‌روی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می‌باشد. و حدود آن را گناهان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محرمات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شرعی، حکم عقل و معیارهای عقلی و عرف جامعه تعیین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تبذیر به معنای پراکندن است، تبذیر شامل به هدر دادن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زیاده‌روی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مصارف خوراکی،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ریخت‌وپاش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زندگی خواهد بود. قرآن کریم اسراف‌کاران را برادران شیطان خوانده است؛ رفتارهای متعددی دارند و در هر موقعیتی به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گونه‌ها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مختلف بروز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کسانی که با آگاهی و از روی عمد به اسراف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ی‌پردازند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با شیطان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همراه‌اند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کسی که در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بیت‌المال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عمر، هزینه زندگی با آگاهی و علم اسراف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از پرتو معارف دینی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به دور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صراط مستقیم که رهروانش در پناه لطف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الهی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هستند، هدایت شود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3" w:name="_Toc428446079"/>
      <w:r w:rsidRPr="00E52A4A">
        <w:rPr>
          <w:rtl/>
        </w:rPr>
        <w:lastRenderedPageBreak/>
        <w:t>شخصیت حضرت زینب (ع)</w:t>
      </w:r>
      <w:bookmarkEnd w:id="3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عوامل وراثت، تربیت، و محیط، در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تکو</w:t>
      </w:r>
      <w:r w:rsidR="006E4D97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ساختار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پا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شخصیت آدمی نقش بنیادی، دارند. درباره زینب (ع) سه اصل اساسی فوق جایگاه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ویژه‌ای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داشت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4D511F" w:rsidRPr="00E52A4A" w:rsidRDefault="004D511F" w:rsidP="006E4D97">
      <w:pPr>
        <w:pStyle w:val="Heading1"/>
      </w:pPr>
      <w:bookmarkStart w:id="4" w:name="_Toc428446080"/>
      <w:r w:rsidRPr="00E52A4A">
        <w:rPr>
          <w:rtl/>
        </w:rPr>
        <w:t>1. وراثت</w:t>
      </w:r>
      <w:bookmarkEnd w:id="4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او از سرچشمه نبوّت و ولایت، نشأت گرفت. جدش خاتم پی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امبران (ص) است که زینب از خمیر</w:t>
      </w:r>
      <w:r w:rsidR="006E4D97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ذات او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آفریده‌شده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رسول خدا (ص) فرمود: «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وُلْدُ فاطِمَةَ فَانَا وَ لِیُّهُم وَ عُصبَتُهُم، و هُم خُلِقُوا مِن طِینَتِی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...»</w:t>
      </w:r>
      <w:r w:rsidR="00E52A4A" w:rsidRPr="00E52A4A">
        <w:rPr>
          <w:rStyle w:val="FootnoteReference"/>
          <w:rFonts w:ascii="IRBadr" w:eastAsiaTheme="minorHAnsi" w:hAnsi="IRBadr" w:cs="IRBadr"/>
          <w:sz w:val="28"/>
          <w:szCs w:val="28"/>
          <w:rtl/>
          <w:lang w:bidi="fa-IR"/>
        </w:rPr>
        <w:footnoteReference w:id="3"/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؛ فرزندان فاطمه (حسن، حسین، زینب، و امّ کلثوم) که من ولی و سرپرست نَسَبی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هستم، از طینت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خم</w:t>
      </w:r>
      <w:r w:rsidR="006E4D97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ذات من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آفریده‌شده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بنابراین زینب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ژن رسول خدا را در خود دارد و او وارث خاتم پیامبران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شخصیت او از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خمیرمایه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وجود رسول اللّه ریشه گرفته 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مادر این بانو دختر پیامبر (ص) و بهترین زنان عالم است و پدرش مولای متقیان (ع) وصی رسول خدا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ازاین‌رو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شخصیت نازنین زینب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آمیزه‌ای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حالات ملکوتی رسول خدا (ص) و علی و فاطمه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است، و این بانو مراتب کمال خویش را از این سه شخصیت بزرگ به ارث گرفته 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5" w:name="_Toc428446081"/>
      <w:r w:rsidRPr="00E52A4A">
        <w:rPr>
          <w:rtl/>
        </w:rPr>
        <w:t>2. تربیت</w:t>
      </w:r>
      <w:bookmarkEnd w:id="5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از آغاز ولادت تا حدود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شش‌سالگی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دامان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پرمهر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پیامبر و علی تربیت یافت. او از سینه زهرا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شیر نوشید و در پرتو وجود علی (ع) و نظارت دقیق وی رشد نمود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رسول خدا (ص) فرمود: «</w:t>
      </w:r>
      <w:r w:rsidRPr="00C77216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مَا نَحَلَ وَالِدٌ وَلَدا نَحْلاً، اَفضَلُ مِن اَدَبٍ حَسَنٍ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»</w:t>
      </w:r>
      <w:r w:rsidR="00E52A4A" w:rsidRPr="00E52A4A">
        <w:rPr>
          <w:rStyle w:val="FootnoteReference"/>
          <w:rFonts w:ascii="IRBadr" w:eastAsiaTheme="minorHAnsi" w:hAnsi="IRBadr" w:cs="IRBadr"/>
          <w:sz w:val="28"/>
          <w:szCs w:val="28"/>
          <w:rtl/>
          <w:lang w:bidi="fa-IR"/>
        </w:rPr>
        <w:footnoteReference w:id="4"/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؛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هدیه‌ای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سوی پدر به فرزند، بهتر از حسن ادب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و تربیت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نیک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تربیت زینب، توسط پیامبر و علی، و مادری چون زهرا و برادرانی همانند حسن و حسین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سبب شد که این شخصیت والامقام به عنوان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سومین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بانوی جهان اسلام بعد از حضرت خدیجه و فاطمه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به شمار آید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6" w:name="_Toc428446082"/>
      <w:r w:rsidRPr="00E52A4A">
        <w:rPr>
          <w:rtl/>
        </w:rPr>
        <w:t>3. محیط</w:t>
      </w:r>
      <w:bookmarkEnd w:id="6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یکی دیگر از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پا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مهم ساختمان شخصیت آدمی محیط است.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زینب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در محیطی که کانون فضایل، صفا و صمیمیت بود، رشد و نمو یافت. محیط زندگی زینب، در شهر مدینه، خانه علی، فاطمه، حسن و حسین بود؛ همان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خانه‌ای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کعبه آمال و محبوب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دل‌ها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مؤمنان بوده و هست. چنین محیط نورانی و خانه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بابرکت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ارزش‌ها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والای دینی و انسانی را در وجود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پربرکت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زینب بارور و شکوفا ساخت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7" w:name="_Toc428446083"/>
      <w:r w:rsidRPr="00E52A4A">
        <w:rPr>
          <w:rtl/>
        </w:rPr>
        <w:t xml:space="preserve">فضایل و مناقب عقیله </w:t>
      </w:r>
      <w:r w:rsidR="006E4D97">
        <w:rPr>
          <w:rtl/>
        </w:rPr>
        <w:t>بنی‌هاشم</w:t>
      </w:r>
      <w:r w:rsidRPr="00E52A4A">
        <w:rPr>
          <w:rtl/>
        </w:rPr>
        <w:t xml:space="preserve"> (ع)</w:t>
      </w:r>
      <w:bookmarkEnd w:id="7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کبرا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دارای فضایل و مناقب فراوان بود.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همان‌گونه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اشاره رفت، این بانوی باعظمت را عالمه غیر معلّمه، عقیله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بنی‌هاشم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معصومه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صغرا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، امینة الله، نائبة الزهراء، نائبة الحسین، عقیلة النساء، شریکة الشهداء، بلیغه، فصیحه، عابده آل علی، فاضله، شریکة الحسین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...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لقب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داده‌اند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که توضیح هر کدام فرصتی دیگری را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ی‌طلبد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6E4D97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زینب بانوی بلند</w:t>
      </w:r>
      <w:r w:rsidR="004D511F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قامت، نیکو چهره و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عالی‌مقام</w:t>
      </w:r>
      <w:r w:rsidR="004D511F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بود. در وقار و شخصیت مانند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جده‌اش</w:t>
      </w:r>
      <w:r w:rsidR="004D511F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خدیجه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="004D511F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در حیا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عفت</w:t>
      </w:r>
      <w:r w:rsidR="004D511F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همچون مادرش فاطمه (س) در رسایی و شیوایی بیان، مانند پدرش علی (ع)، در حلم و بردباری چون امام حسن (ع) و در شجاعت و قوّت قلب، مانند برادرش حسین بود</w:t>
      </w:r>
      <w:r w:rsidR="004D511F"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8" w:name="_Toc428446084"/>
      <w:r w:rsidRPr="00E52A4A">
        <w:rPr>
          <w:rtl/>
        </w:rPr>
        <w:t>علم و دانش حضرت زینب</w:t>
      </w:r>
      <w:bookmarkEnd w:id="8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سخنان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خطبه‌ها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عالمانه، همراه با استدلال به آیات قرآن، در کربلا، بازار کوفه، مجلس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عبیدالله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زیاد، در بین راه کوفه و شام، و همچنین در دربار یزید، از سوی زینب هر کدام شاهدی بر عظمت دانش این بانو است. ابن عباس، گفتار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پرارج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فاطمه زهرا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را درباره فدک، از زینب نقل کرده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ی‌گوید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عقیله ما زینب دختر علی چنین گفت. افزون بر آن درس تفسیر قرآن از سوی زینب، برای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زن‌ها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کوفه در زمان حکومت پدرش علی (ع) بیانگر دانش اوست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مقام بیان روایت و حدیث را دارا بوده است،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چنان‌که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محمد بن عمرو، عطاء بن سایب، فاطمه بنت حسین و دیگران، از زینب نقل حدیث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کرده‌اند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عقیله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بنی‌هاشم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حتی آگاهی به حوادث آینده را از پدر بزرگوار خود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فراگرفته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همان‌گونه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بعضی از اصحاب پیامبر (ص) مانند سلمان، ابوذر و برخی از یاران علی (ع) مانند میثم تمار، رشید هجری، به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این‌گونه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اسرار آگاه بودند. زینب دانای اسرار بوده و خطبه او در مجلس یزید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پ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یشگویی‌هایش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شاهد این مدّعاست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زینب دانش سرشار داشت، طبیعی است کسی که از محضر پیامبر (ص) و علی (ع) کسب دانش نموده باشد، بایستی دریای علم باشد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9" w:name="_Toc428446085"/>
      <w:r w:rsidRPr="00E52A4A">
        <w:rPr>
          <w:rtl/>
        </w:rPr>
        <w:t>پرستش و عبادت</w:t>
      </w:r>
      <w:bookmarkEnd w:id="9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عبادت از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رف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یع‌ترین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مقام آدمی است. ائمه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هر کدام مرتبه اعلای این مقام را دارا بودند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باخدای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خویش انس و الفت ویژه داشتند. دخت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والاگهر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علی، نهایت عبادت و تعظیم را در برابر پروردگار داشته است. زینب از نیایش و نمازهای پیامبر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باخبر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چنان‌که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خداوند به او وحی کرده بود: ای پیامبر! ما قرآن را بر تو نازل نکردیم که، بر اثر عبادت خود را به مشقّت اندازی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نمازهای مادرش زهرا و پدرش علی را شاهد بود، او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یایش‌های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امام مجتبی 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(ع)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در دل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شب‌ها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روزها دیده بود، عبادت و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مناجات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حسین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را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شب و صبح عاشورا به تماشا نشسته بود و هر یک برای او درس و الگوی عبادت و مناجات بود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حضرت زینب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کبرا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شب‌ها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عبادت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ی‌پرداخت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و در دوران زندگی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هیچ‌گاه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تهجد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ترک نکرد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آن‌چنان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اشتغال به عبادت ورزید که ملقّب به عابده آل علی شد.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شب‌زنده‌داری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زینب، حتی در شب دهم و یازدهم عاشورا،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باآن‌همه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اندوه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مص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یبت‌ها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ترک نشد. فاطمه دختر امام حسین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می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گوید: در شب عاشورا، عمه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 پیوسته در محراب عبادت ایستاده بود، نماز و نیایش داشت و پیوسته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اشک‌ها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سرازیر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10" w:name="_Toc428446086"/>
      <w:r w:rsidRPr="00E52A4A">
        <w:rPr>
          <w:rtl/>
        </w:rPr>
        <w:lastRenderedPageBreak/>
        <w:t>صبر و ثبات</w:t>
      </w:r>
      <w:bookmarkEnd w:id="10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از منظر دین، صبر جایگاه بس والایی داشته و قرآن به صبر کنندگان بشارت داده 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مقام صبر نسبت به ایمان همانند سر برای بدن است. زینب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نمونه و 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تجسم عالی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صبر و پایداری است. مقاومت و شکیبایی در برابر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مصائب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مشکلات،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نهضت عاشورا، در راه پاسداری از حریم دین و کرامت انسانیت از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خص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یصه‌های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بارز این بانوی بزرگ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صبر و ثبات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شگفت‌انگیز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زینب، همگان را به اعجاب واداشته است؛ زیرا از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پنج‌سالگی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او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مصائب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جانکاه یکی پس از دیگری شروع شد؛ ولی زینب در برابر همه این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مص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یبت‌ها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، قامت برافراشت و صبر کرد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روزی زینب شاهد رحلت جدّ بزرگوارش رسول اللّه و تأثیر آن بر مسلمانان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 خاندان او بود؛ زمانی دیگر شاهد مظلومیت و شهادتِ بانوی نمونه اسلام، مادرش زهرا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بود؛ وی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پس‌ازآن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مصیبت شهادت پدر بزرگوارش امیر مؤمنان را تحمّل نمود؛ دختر علی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همچنان شاهد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لخته‌لخته</w:t>
      </w:r>
      <w:r w:rsidR="006E4D97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شدن جگر برادرش امام حسن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در اثر زهر جفا بود، ولی آنچه را که آن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مخدره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کربلا مشاهده کرد،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مصائب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جانکاه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وصف‌ناپذیری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کوه‌ها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تاب تحمّل آن را نداشت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6E4D97">
      <w:pPr>
        <w:pStyle w:val="Heading1"/>
      </w:pPr>
      <w:bookmarkStart w:id="11" w:name="_Toc428446087"/>
      <w:r w:rsidRPr="00E52A4A">
        <w:rPr>
          <w:rtl/>
        </w:rPr>
        <w:t xml:space="preserve">شجاعت </w:t>
      </w:r>
      <w:r w:rsidR="00E52A4A" w:rsidRPr="00E52A4A">
        <w:rPr>
          <w:rtl/>
        </w:rPr>
        <w:t>حضرت</w:t>
      </w:r>
      <w:bookmarkEnd w:id="11"/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یژگی‌های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عظیم بانوی کربلا، شجاعت است. شجاعتی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به‌سان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علی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)، که در قیام کربلا سخت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موردنیاز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بود. اگر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ذره‌ای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ترس از حکومت استبدادی یزید در وجود زینب راه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ی‌یافت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، پیروزی را ارمغان نداشت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در این ویژگی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یکه‌تاز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میدان بود.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خطبه‌ها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آتشین و افشاگرانه او بر ضد دستگاه امویان و گفتار کوبنده او در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فرصت‌ها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مختلف به دفاع از نهضت حسینی و صلابت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بی‌نظیر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در کوفه و شام، همه و همه بیانگر قهرمانی و شجاعت اوست. زینب به عنوان شیر زن کربلا و خطیب قهرمان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پیام‌رسان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خون شهیدان، در پیشانی اسلام تابید» و جهاد و دفاع او از اسلام و دیانت به ابدیت پیوست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D511F" w:rsidRPr="00E52A4A" w:rsidRDefault="004D511F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زینب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کبرا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شجاعت را از پدر به ارث برده بود. علی (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ع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) در نزد دوست و دشمن به شجاعت و شهامت معروف بود</w:t>
      </w:r>
      <w:r w:rsidR="00C73297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B482D" w:rsidRPr="00E52A4A" w:rsidRDefault="004B482D" w:rsidP="006E4D97">
      <w:pPr>
        <w:pStyle w:val="Heading1"/>
      </w:pPr>
      <w:bookmarkStart w:id="12" w:name="_Toc428446088"/>
      <w:r w:rsidRPr="00E52A4A">
        <w:rPr>
          <w:rtl/>
        </w:rPr>
        <w:lastRenderedPageBreak/>
        <w:t>فصاحت و بلاغت حضرت زینب (س)</w:t>
      </w:r>
      <w:bookmarkEnd w:id="12"/>
    </w:p>
    <w:p w:rsidR="004B482D" w:rsidRPr="00E52A4A" w:rsidRDefault="004B482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بانوی قهرمان کربلا، فصاحت و بلاغت را از پدر و مادر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گرام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ی‌اش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ارث برده بود. «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هنگامی‌که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سخن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ی‌گفت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گویی از زبان پدر ایراد سخن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ی‌کرد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». سخنانش در بازار کوفه و مجلس یزید و نیز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گفت‌وگوهای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با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عبدالله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بن زیاد،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بی‌شباهت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خطبه‌ها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امیرالمؤمنین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علی (ع) و خطبه فدکیّه مادرش زهرا (</w:t>
      </w:r>
      <w:r w:rsidR="00E52A4A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) نیست. این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خطبه‌ها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حالی ایراد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زینب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داغ‌ها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فراوانی در سینه داشت؛ گذشته از آنکه تشنه، گرسنه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بی‌خواب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بود، سختی سرپرستی کودکان و راه را نیز به دوش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ی‌کشید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B482D" w:rsidRPr="00E52A4A" w:rsidRDefault="004B482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وقتی زینب در بازار کوفه، آن خطبه فصیح، آتشین و شورانگیز را در میان انبوه جمعیت تماشاچی ایراد فرمود، مردم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دست‌ها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به دندان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ی‌گزیدند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با تعجب به هم نگاه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ی‌کردند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در همان موقع پیرمردی چنان از سخنان زینب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برانگیخته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درحالی‌که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ی‌گریست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محاسنش از اشک چشمش تر شده بود دست به سوی آسمان بلند کرد و گفت: «پدر و مادرم فدای ایشان که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سالخوردگانشان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بهترین سالخوردگان و کودکان ایشان بهترین خردسالان،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وزنانشان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بهترین زنان و نسل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والاتر و برتر از همه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نسل‌هاست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4B482D" w:rsidRPr="00E52A4A" w:rsidRDefault="004B482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بدان امید که شخصیت و جایگاه بلند 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بی‌بدیل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دختر کبرای علی (ع)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الگوی عملی زنان مسلمان قرار بگیرد،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انشاء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اللّه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F031A5" w:rsidRPr="00E52A4A" w:rsidRDefault="00F031A5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مِ إِنَّا أَعْطَ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نَا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الْ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وْثَرَ فَصَلِّ لِرَبِّ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وَانْحَرْ إِنَّ شَانِئَ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هُوَ الْأَبْتَرُ»</w:t>
      </w:r>
      <w:r w:rsidRPr="00E52A4A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AF066C" w:rsidRPr="00E52A4A" w:rsidRDefault="006F4533" w:rsidP="006E4D97">
      <w:pPr>
        <w:pStyle w:val="Heading1"/>
        <w:rPr>
          <w:rtl/>
        </w:rPr>
      </w:pPr>
      <w:bookmarkStart w:id="14" w:name="_Toc428446089"/>
      <w:r w:rsidRPr="00E52A4A">
        <w:rPr>
          <w:rtl/>
        </w:rPr>
        <w:t>خطبه دوم</w:t>
      </w:r>
      <w:bookmarkEnd w:id="14"/>
    </w:p>
    <w:p w:rsidR="00C77216" w:rsidRDefault="006E4D97" w:rsidP="006E4D9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C77216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C77216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856693" w:rsidRPr="00E52A4A" w:rsidRDefault="006E4D97" w:rsidP="00C7721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C77216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856693" w:rsidRPr="00E52A4A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56693" w:rsidRPr="00E52A4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856693" w:rsidRPr="00E52A4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854B2" w:rsidRPr="00E52A4A" w:rsidRDefault="00E854B2" w:rsidP="006E4D97">
      <w:pPr>
        <w:pStyle w:val="Heading1"/>
        <w:rPr>
          <w:rtl/>
        </w:rPr>
      </w:pPr>
      <w:bookmarkStart w:id="15" w:name="_Toc428446090"/>
      <w:r w:rsidRPr="00E52A4A">
        <w:rPr>
          <w:rtl/>
        </w:rPr>
        <w:t>فضیلت ماه رجب</w:t>
      </w:r>
      <w:bookmarkEnd w:id="15"/>
    </w:p>
    <w:p w:rsidR="006F4533" w:rsidRPr="00E52A4A" w:rsidRDefault="006F4533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ماه </w:t>
      </w:r>
      <w:hyperlink r:id="rId8" w:tgtFrame="_blank" w:history="1">
        <w:r w:rsidRPr="00E52A4A">
          <w:rPr>
            <w:rFonts w:ascii="IRBadr" w:eastAsiaTheme="minorHAnsi" w:hAnsi="IRBadr" w:cs="IRBadr"/>
            <w:sz w:val="28"/>
            <w:szCs w:val="28"/>
            <w:rtl/>
            <w:lang w:bidi="fa-IR"/>
          </w:rPr>
          <w:t>رجب</w:t>
        </w:r>
      </w:hyperlink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و ماه شعبان و ماه رمضان شرافت زیادی دارند و در فضیلت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روایات بسیاری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واردشده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از حضرت رسول (ص)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روایت‌شده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ه</w:t>
      </w:r>
      <w:r w:rsidR="00E854B2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: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ماه رجب ماه بزرگ خدا است و ماه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حرمت و فضیلت به آن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ی‌رسد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جنگیدن با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افران در این ماه حرام است و رجب ماه خدا است و شعبان ماه من است و ماه رمضان ماه امت من است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ه ی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روز از ماه رجب را روزه بگیرد، موجب خشنود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خدای بزرگ می‌گردد و غضب اله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او دور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ی‌گردد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در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درها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جهنم بر رو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بسته گردد.</w:t>
      </w:r>
    </w:p>
    <w:p w:rsidR="006F4533" w:rsidRPr="00E52A4A" w:rsidRDefault="006F4533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ماه رجب ماه خودسازی و تهذیب نفس است، برای وصول به ضیافت الهی امیدواریم که همه ما بتوانیم از دعاهای این ماه‌ها از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مناجات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، اذکار،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اوراد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اعمال این ماه‌ها استفاده کامل را ببریم. </w:t>
      </w:r>
      <w:r w:rsidR="00E001D2"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مردم سعی کنند که فرزندانتان را با روش درست و با شیوه بندگی خدا و توجه به نعمت‌های خدا و دستورات الهی آشنا بسازیم. خدایا تو را به اولیای بزرگ خود و به مقربان درگاهت قسم می‌دهیم که به ما بندگان عاجز و متضرع به درگاهت توفیق استفاده از این فرصت‌های باارزش را بدهی و ما را شامل رحمت و توفیقات خودت بگردانی.</w:t>
      </w:r>
    </w:p>
    <w:p w:rsidR="00E001D2" w:rsidRPr="00E52A4A" w:rsidRDefault="00E001D2" w:rsidP="006E4D97">
      <w:pPr>
        <w:pStyle w:val="Heading1"/>
      </w:pPr>
      <w:bookmarkStart w:id="16" w:name="_Toc428446091"/>
      <w:r w:rsidRPr="00E52A4A">
        <w:rPr>
          <w:rtl/>
        </w:rPr>
        <w:lastRenderedPageBreak/>
        <w:t>اهم</w:t>
      </w:r>
      <w:r w:rsidR="004F6ADC">
        <w:rPr>
          <w:rtl/>
        </w:rPr>
        <w:t>ی</w:t>
      </w:r>
      <w:r w:rsidRPr="00E52A4A">
        <w:rPr>
          <w:rtl/>
        </w:rPr>
        <w:t>ت و فض</w:t>
      </w:r>
      <w:r w:rsidR="004F6ADC">
        <w:rPr>
          <w:rtl/>
        </w:rPr>
        <w:t>ی</w:t>
      </w:r>
      <w:r w:rsidRPr="00E52A4A">
        <w:rPr>
          <w:rtl/>
        </w:rPr>
        <w:t>لت اعت</w:t>
      </w:r>
      <w:r w:rsidR="004F6ADC">
        <w:rPr>
          <w:rtl/>
        </w:rPr>
        <w:t>ک</w:t>
      </w:r>
      <w:r w:rsidRPr="00E52A4A">
        <w:rPr>
          <w:rtl/>
        </w:rPr>
        <w:t>اف</w:t>
      </w:r>
      <w:bookmarkEnd w:id="16"/>
    </w:p>
    <w:p w:rsidR="00E001D2" w:rsidRPr="00E52A4A" w:rsidRDefault="00E001D2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خداوند متعال هدف از خلقت را در قرآن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ر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م عبادت و بندگ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ان نمود. 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«وَ ما خَلَقْتُ الْجِنَّ وَ الْإِنْسَ إِلاَّ لِ</w:t>
      </w:r>
      <w:r w:rsidR="004F6ADC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عْبُدُونِ»</w:t>
      </w:r>
      <w:r w:rsidRPr="00E52A4A">
        <w:rPr>
          <w:rStyle w:val="FootnoteReference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E001D2" w:rsidRPr="00E52A4A" w:rsidRDefault="00E001D2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اعت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اف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ازآنجاکه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عمل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مطابقت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باهدف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ل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 آفر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نش دارد لذا مثل سا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ر عبادت از اهم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ت بسزا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برخوردار‌است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، منته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قابل‌توجه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 است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ه اعت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اف تنها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عبادت ن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ست بل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مجموعه‌ای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بهتر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عبادت است، روزه، نماز، حضور در مسجد، دعا، تهجد تلاوت قرآن و... از جمله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ارها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ه معت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>فان در طول روزها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اعت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اف به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E52A4A">
        <w:rPr>
          <w:rFonts w:eastAsiaTheme="minorHAnsi" w:hint="cs"/>
          <w:sz w:val="28"/>
          <w:szCs w:val="28"/>
          <w:rtl/>
          <w:lang w:bidi="fa-IR"/>
        </w:rPr>
        <w:t> 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مشغول‌اند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 w:hint="cs"/>
          <w:sz w:val="28"/>
          <w:szCs w:val="28"/>
          <w:rtl/>
          <w:lang w:bidi="fa-IR"/>
        </w:rPr>
        <w:t>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E52A4A">
        <w:rPr>
          <w:rFonts w:ascii="IRBadr" w:eastAsiaTheme="minorHAnsi" w:hAnsi="IRBadr" w:cs="IRBadr" w:hint="cs"/>
          <w:sz w:val="28"/>
          <w:szCs w:val="28"/>
          <w:rtl/>
          <w:lang w:bidi="fa-IR"/>
        </w:rPr>
        <w:t>هر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 w:hint="cs"/>
          <w:sz w:val="28"/>
          <w:szCs w:val="28"/>
          <w:rtl/>
          <w:lang w:bidi="fa-IR"/>
        </w:rPr>
        <w:t>دام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تأث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بسزا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رشد و تعال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روح انسان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سب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نقو</w:t>
      </w:r>
      <w:r w:rsidR="00965A70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دارد.</w:t>
      </w:r>
    </w:p>
    <w:p w:rsidR="00A01A47" w:rsidRPr="00E52A4A" w:rsidRDefault="00A01A47" w:rsidP="006E4D97">
      <w:pPr>
        <w:pStyle w:val="Heading1"/>
      </w:pPr>
      <w:bookmarkStart w:id="17" w:name="_Toc428446092"/>
      <w:r w:rsidRPr="00E52A4A">
        <w:rPr>
          <w:rtl/>
        </w:rPr>
        <w:t>سالروز وحدت حوزه و دانشگاه</w:t>
      </w:r>
      <w:bookmarkEnd w:id="17"/>
    </w:p>
    <w:p w:rsidR="00A01A47" w:rsidRPr="00E52A4A" w:rsidRDefault="00A01A47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بیست و هفتم آذرماه، یادآور عروج سرخِ مجاهدی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خستگی‌ناپذیر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عالمی ربانی، آیت اللّه مفتح، است که از پیشروان اندیشه وحدت حوزه و دانشگاه بود. این شهید والامقام در راه تحقق این اندیشه و آرمان بلند که از اندیشه بلند امام راحل (ره) برخاسته بود،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تلاش‌ها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بی‌وقفه‌ای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انجام داد.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به‌پاس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فعال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چشم‌گیر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شهید مفتح در راه تحقق وحدت حوزه و دانشگاه لزوم ارتباط، همکاری و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هم‌فکری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دو قشر اندیشمند، روز 27 آذر که سالروز شهادت دکتر مفتح نیز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ی‌باشد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روز وحدت حوزه و دانشگاه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نام‌گذاری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شده است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A3E0D" w:rsidRPr="00E52A4A" w:rsidRDefault="004A3E0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نظام اسلامی، علم و دین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پابه‌پا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باید حرکت کند. وحدت حوزه و دانشگاه یعنی این. وحدت حوزه و دانشگاه معنایش این نیست که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حتماً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بایستی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تخصص‌ها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حوزه‌ای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دانشگاه و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تخصص‌ها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دانشگاهی در حوزه دنبال بشود نه، لزومی ندارد. اگر حوزه و دانشگاه به هم وصل و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خوش‌بین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باشند و به هم کمک بکنند و با یکدیگر همکاری نمایند، دو شعبه از یک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مؤسسه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 و دین هستند. این مؤسسه دو شعبه دارد: یک شعبه،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حوزه‌ها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علمیه و شعبه دیگر،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دانشگاه‌ها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هستند ... طلاب و دانشجویان قدر یکدیگر را بدانند، با یکدیگر آشنا و مرتبط باشند، احساس بیگانگی نکنند. احساس خویشاوندی و برادری را حفظ کنند و روحانیون در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دانشگاه‌ها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عملاً کوشش کنند که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نمونه‌ها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کامل عالم دین و طلبه علوم دینی را به طلاب و دانشجویان و دانشگاهیان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ارائه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بدهند و نشان دهند که هر دو، نسبت به یکدیگر، با حساسیت مثبت و با علاقه همکاری می‌کنند. این، همکاری و وحدت حوزه و دانشگاه است. البته برای این کار باید برنامه‌ریزی و سازمان‌دهی بشود.</w:t>
      </w:r>
    </w:p>
    <w:p w:rsidR="00A01A47" w:rsidRPr="00E52A4A" w:rsidRDefault="00A01A47" w:rsidP="006E4D97">
      <w:pPr>
        <w:pStyle w:val="Heading1"/>
      </w:pPr>
      <w:bookmarkStart w:id="18" w:name="_Toc428446093"/>
      <w:r w:rsidRPr="00E52A4A">
        <w:rPr>
          <w:rtl/>
        </w:rPr>
        <w:t>یادی از شهید مفتح</w:t>
      </w:r>
      <w:bookmarkEnd w:id="18"/>
    </w:p>
    <w:p w:rsidR="00A01A47" w:rsidRPr="00E52A4A" w:rsidRDefault="00A01A47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شهید مفتح اندیشمندی بزرگ و عالمی متعهد بود. وی از محضر بزرگانی چون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سید محمد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حجت کوه کمری، بروجردی،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سید محمد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محقق داماد، علامه طباطبایی و امام خمینی (ره) بهره برد و خود مدرّسی بزرگ در حوزه گردید. آیت اللّه مفتح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درحالی‌که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شهر قم به عنوان استادی بزرگ مطرح بود، پا به عرصه دانشگاه گذاشت. او </w:t>
      </w:r>
      <w:r w:rsidR="006E4D97">
        <w:rPr>
          <w:rFonts w:ascii="IRBadr" w:eastAsiaTheme="minorHAnsi" w:hAnsi="IRBadr" w:cs="IRBadr"/>
          <w:sz w:val="28"/>
          <w:szCs w:val="28"/>
          <w:rtl/>
          <w:lang w:bidi="fa-IR"/>
        </w:rPr>
        <w:t>همان‌گونه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در حوزه به درجه اجتهاد رسیده بود، در دانشگاه نیز موفق به اخذ درجه دکتری شد. دکتر مفتح پس از گذراندن دوره دانشگاه، علاوه بر تدریس در حوزه به تدریس در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دب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یرستان‌های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شهر مقدس قم پرداخت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4A3E0D" w:rsidRPr="00E52A4A" w:rsidRDefault="004A3E0D" w:rsidP="006E4D97">
      <w:pPr>
        <w:pStyle w:val="Heading1"/>
      </w:pPr>
      <w:bookmarkStart w:id="19" w:name="_Toc428446094"/>
      <w:r w:rsidRPr="00E52A4A">
        <w:rPr>
          <w:rtl/>
        </w:rPr>
        <w:t>نقش خطیر روحانی و دانشجو</w:t>
      </w:r>
      <w:bookmarkEnd w:id="19"/>
    </w:p>
    <w:p w:rsidR="004A3E0D" w:rsidRPr="00E52A4A" w:rsidRDefault="004A3E0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نظام گذشته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تلاش‌ها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بسیاری برای منزوی کردن روحانیت و از سوی دیگر غربی کردن کشور و نهادهای فرهنگی و آموزشی،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به‌ویژه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دانشگاه‌ها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صورت پذیرفت. با پیروزی انقلاب و در سایه رهبری امام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رحمه‌الله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دو قشر روحانی و دانشجو برای پیروزی انقلاب اسلامی پیشگام گردیدند. روحانی و دانشجو با درک موقعیت حساس و مهم خود همواره نقش خود را در انقلاب حفظ کردند و پیشاپیش سایر اقشار برای ایفای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مسئول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یت‌های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خویش وارد عمل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شده‌اند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به دلیل اهمیت نقش این دو قشر در هدایت جامعه است که وحدت میان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همواره </w:t>
      </w:r>
      <w:r w:rsidR="00C77216">
        <w:rPr>
          <w:rFonts w:ascii="IRBadr" w:eastAsiaTheme="minorHAnsi" w:hAnsi="IRBadr" w:cs="IRBadr"/>
          <w:sz w:val="28"/>
          <w:szCs w:val="28"/>
          <w:rtl/>
          <w:lang w:bidi="fa-IR"/>
        </w:rPr>
        <w:t>مدنظر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امام راحل (ره) و مقام معظم رهبری بوده و هست</w:t>
      </w:r>
      <w:r w:rsidRPr="00E52A4A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1A6062" w:rsidRPr="00E52A4A" w:rsidRDefault="004A3E0D" w:rsidP="006E4D97">
      <w:pPr>
        <w:pStyle w:val="Heading1"/>
        <w:rPr>
          <w:rtl/>
        </w:rPr>
      </w:pPr>
      <w:bookmarkStart w:id="20" w:name="_Toc428446095"/>
      <w:r w:rsidRPr="00E52A4A">
        <w:rPr>
          <w:rtl/>
        </w:rPr>
        <w:t>واگذاری تلفن در شهرستان میبد</w:t>
      </w:r>
      <w:bookmarkEnd w:id="20"/>
    </w:p>
    <w:p w:rsidR="004A3E0D" w:rsidRPr="00E52A4A" w:rsidRDefault="004A3E0D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امروز از مخابرات و مسئولین مربوطه خواستار هستیم که شماره‌های سابق را هرچه </w:t>
      </w:r>
      <w:r w:rsidR="004F6ADC">
        <w:rPr>
          <w:rFonts w:ascii="IRBadr" w:eastAsiaTheme="minorHAnsi" w:hAnsi="IRBadr" w:cs="IRBadr"/>
          <w:sz w:val="28"/>
          <w:szCs w:val="28"/>
          <w:rtl/>
          <w:lang w:bidi="fa-IR"/>
        </w:rPr>
        <w:t>سر</w:t>
      </w:r>
      <w:r w:rsidR="004F6ADC">
        <w:rPr>
          <w:rFonts w:ascii="IRBadr" w:eastAsiaTheme="minorHAnsi" w:hAnsi="IRBadr" w:cs="IRBadr" w:hint="cs"/>
          <w:sz w:val="28"/>
          <w:szCs w:val="28"/>
          <w:rtl/>
          <w:lang w:bidi="fa-IR"/>
        </w:rPr>
        <w:t>یع‌تر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وصل کنند و روی چند هزار شماره جدیدی که به فروش رسیده است، با تمام توان کار کنند و به وعده خود عمل کنند. این کار برای توسعه و پیشرفت شهر لازم بود ولی بعضی اوقات شایعاتی می‌شنویم که بخشی از این پول‌های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به‌دست‌آمده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مصلا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نماز جمعه استفاده می‌شود. توجه داشته باشید که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به‌هیچ‌عنوان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این‌گونه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نیست. امیدواریم که یک مقداری از این سرمایه را به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مصلا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کمک کنند و این‌که مردم پیش‌قدم بشوند 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تا این امکان عملی شود که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تا اکنون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این‌گونه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نبوده است. در کل ما شاهد پیشرفت و توسعه شهر هستیم و امیدواریم که مسئولین محترم در تمام بخش‌های گوناگون </w:t>
      </w:r>
      <w:r w:rsidR="00965A70">
        <w:rPr>
          <w:rFonts w:ascii="IRBadr" w:eastAsiaTheme="minorHAnsi" w:hAnsi="IRBadr" w:cs="IRBadr"/>
          <w:sz w:val="28"/>
          <w:szCs w:val="28"/>
          <w:rtl/>
          <w:lang w:bidi="fa-IR"/>
        </w:rPr>
        <w:t>باهم</w:t>
      </w:r>
      <w:r w:rsidRPr="00E52A4A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وحدت داشته باشند در پیشرفت شهر تلاش کنند.</w:t>
      </w:r>
    </w:p>
    <w:p w:rsidR="00A80BC5" w:rsidRPr="00E52A4A" w:rsidRDefault="00A80BC5" w:rsidP="006E4D97">
      <w:pPr>
        <w:pStyle w:val="Heading1"/>
        <w:rPr>
          <w:rtl/>
        </w:rPr>
      </w:pPr>
      <w:bookmarkStart w:id="21" w:name="_Toc428446096"/>
      <w:r w:rsidRPr="00E52A4A">
        <w:rPr>
          <w:rtl/>
        </w:rPr>
        <w:t>دعا</w:t>
      </w:r>
      <w:bookmarkEnd w:id="21"/>
    </w:p>
    <w:p w:rsidR="006E4D97" w:rsidRDefault="006E4D97" w:rsidP="006E4D97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A80BC5" w:rsidRPr="00E52A4A" w:rsidRDefault="00A80BC5" w:rsidP="00E52A4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E52A4A">
        <w:rPr>
          <w:rFonts w:ascii="IRBadr" w:hAnsi="IRBadr" w:cs="IRBadr"/>
          <w:sz w:val="28"/>
          <w:szCs w:val="28"/>
          <w:rtl/>
        </w:rPr>
        <w:t xml:space="preserve">خدایا همه گرفتاری </w:t>
      </w:r>
      <w:r w:rsidR="004F6ADC">
        <w:rPr>
          <w:rFonts w:ascii="IRBadr" w:hAnsi="IRBadr" w:cs="IRBadr"/>
          <w:sz w:val="28"/>
          <w:szCs w:val="28"/>
          <w:rtl/>
        </w:rPr>
        <w:t>مسلمان‌ها</w:t>
      </w:r>
      <w:r w:rsidRPr="00E52A4A">
        <w:rPr>
          <w:rFonts w:ascii="IRBadr" w:hAnsi="IRBadr" w:cs="IRBadr"/>
          <w:sz w:val="28"/>
          <w:szCs w:val="28"/>
          <w:rtl/>
        </w:rPr>
        <w:t xml:space="preserve"> را مرتفع بفرما. مریض‌های اسلام جانبازان عزیز و گرامی را شفا عنایت بفرما 0 گرفتاری این امت و ملت اسلام را و همه مشکلات ملت و امت اسلام را مرتفع بفرما 0 خدایا ما را از سربازان بقیه اللّه الاعظم قرار بده. خدایا این انقلاب را از همه خطرها و آفات مصون بدار 0 خدایا به خانواده‌های شهدا، به جانبازان عزیز، به خانواده‌های مفقودین، به ایثارگران، به آزادگان و به همه کسانی که برای این انقلاب و دفاع از کشور اسلامی تلاش کردند و متحمل زحمات و </w:t>
      </w:r>
      <w:r w:rsidR="004F6ADC">
        <w:rPr>
          <w:rFonts w:ascii="IRBadr" w:hAnsi="IRBadr" w:cs="IRBadr"/>
          <w:sz w:val="28"/>
          <w:szCs w:val="28"/>
          <w:rtl/>
        </w:rPr>
        <w:t>سخت</w:t>
      </w:r>
      <w:r w:rsidR="004F6ADC">
        <w:rPr>
          <w:rFonts w:ascii="IRBadr" w:hAnsi="IRBadr" w:cs="IRBadr" w:hint="cs"/>
          <w:sz w:val="28"/>
          <w:szCs w:val="28"/>
          <w:rtl/>
        </w:rPr>
        <w:t>ی‌</w:t>
      </w:r>
      <w:r w:rsidR="004F6ADC">
        <w:rPr>
          <w:rFonts w:ascii="IRBadr" w:hAnsi="IRBadr" w:cs="IRBadr" w:hint="eastAsia"/>
          <w:sz w:val="28"/>
          <w:szCs w:val="28"/>
          <w:rtl/>
        </w:rPr>
        <w:t>ها</w:t>
      </w:r>
      <w:r w:rsidRPr="00E52A4A">
        <w:rPr>
          <w:rFonts w:ascii="IRBadr" w:hAnsi="IRBadr" w:cs="IRBadr"/>
          <w:sz w:val="28"/>
          <w:szCs w:val="28"/>
          <w:rtl/>
        </w:rPr>
        <w:t xml:space="preserve"> شدند خدایا به همه </w:t>
      </w:r>
      <w:r w:rsidR="004F6ADC">
        <w:rPr>
          <w:rFonts w:ascii="IRBadr" w:hAnsi="IRBadr" w:cs="IRBadr"/>
          <w:sz w:val="28"/>
          <w:szCs w:val="28"/>
          <w:rtl/>
        </w:rPr>
        <w:t>آن‌ها</w:t>
      </w:r>
      <w:r w:rsidRPr="00E52A4A">
        <w:rPr>
          <w:rFonts w:ascii="IRBadr" w:hAnsi="IRBadr" w:cs="IRBadr"/>
          <w:sz w:val="28"/>
          <w:szCs w:val="28"/>
          <w:rtl/>
        </w:rPr>
        <w:t xml:space="preserve"> و به همه </w:t>
      </w:r>
      <w:r w:rsidR="00965A70">
        <w:rPr>
          <w:rFonts w:ascii="IRBadr" w:hAnsi="IRBadr" w:cs="IRBadr"/>
          <w:sz w:val="28"/>
          <w:szCs w:val="28"/>
          <w:rtl/>
        </w:rPr>
        <w:t>حزب‌الله</w:t>
      </w:r>
      <w:r w:rsidRPr="00E52A4A">
        <w:rPr>
          <w:rFonts w:ascii="IRBadr" w:hAnsi="IRBadr" w:cs="IRBadr"/>
          <w:sz w:val="28"/>
          <w:szCs w:val="28"/>
          <w:rtl/>
        </w:rPr>
        <w:t xml:space="preserve"> ما و امت فداکار ما صبر، مقاومت، اجر، پایداری و استقامت در راه خدا عنایت بفرما 0 برکات خدا بر این امت و بر ما نازل بفرما 0 اعمال و عبادات ما را، جمعه </w:t>
      </w:r>
      <w:r w:rsidR="00965A70">
        <w:rPr>
          <w:rFonts w:ascii="IRBadr" w:hAnsi="IRBadr" w:cs="IRBadr"/>
          <w:sz w:val="28"/>
          <w:szCs w:val="28"/>
          <w:rtl/>
        </w:rPr>
        <w:t>و جماعات</w:t>
      </w:r>
      <w:r w:rsidRPr="00E52A4A">
        <w:rPr>
          <w:rFonts w:ascii="IRBadr" w:hAnsi="IRBadr" w:cs="IRBadr"/>
          <w:sz w:val="28"/>
          <w:szCs w:val="28"/>
          <w:rtl/>
        </w:rPr>
        <w:t xml:space="preserve"> ما را مقبول خودت </w:t>
      </w:r>
      <w:r w:rsidR="00965A70">
        <w:rPr>
          <w:rFonts w:ascii="IRBadr" w:hAnsi="IRBadr" w:cs="IRBadr"/>
          <w:sz w:val="28"/>
          <w:szCs w:val="28"/>
          <w:rtl/>
        </w:rPr>
        <w:t>قرار بده</w:t>
      </w:r>
      <w:r w:rsidRPr="00E52A4A">
        <w:rPr>
          <w:rFonts w:ascii="IRBadr" w:hAnsi="IRBadr" w:cs="IRBadr"/>
          <w:sz w:val="28"/>
          <w:szCs w:val="28"/>
          <w:rtl/>
        </w:rPr>
        <w:t xml:space="preserve">. خدایا نسل جوان ما را، دختران و پسران گرامی ما را که </w:t>
      </w:r>
      <w:r w:rsidR="00965A70">
        <w:rPr>
          <w:rFonts w:ascii="IRBadr" w:hAnsi="IRBadr" w:cs="IRBadr"/>
          <w:sz w:val="28"/>
          <w:szCs w:val="28"/>
          <w:rtl/>
        </w:rPr>
        <w:t>آینده‌سازان</w:t>
      </w:r>
      <w:r w:rsidRPr="00E52A4A">
        <w:rPr>
          <w:rFonts w:ascii="IRBadr" w:hAnsi="IRBadr" w:cs="IRBadr"/>
          <w:sz w:val="28"/>
          <w:szCs w:val="28"/>
          <w:rtl/>
        </w:rPr>
        <w:t xml:space="preserve"> این کشورند خدایا در مسیر تحصیل علم و تهذیب نفس همواره موفق و </w:t>
      </w:r>
      <w:r w:rsidR="00965A70">
        <w:rPr>
          <w:rFonts w:ascii="IRBadr" w:hAnsi="IRBadr" w:cs="IRBadr"/>
          <w:sz w:val="28"/>
          <w:szCs w:val="28"/>
          <w:rtl/>
        </w:rPr>
        <w:t>مؤید</w:t>
      </w:r>
      <w:r w:rsidRPr="00E52A4A">
        <w:rPr>
          <w:rFonts w:ascii="IRBadr" w:hAnsi="IRBadr" w:cs="IRBadr"/>
          <w:sz w:val="28"/>
          <w:szCs w:val="28"/>
          <w:rtl/>
        </w:rPr>
        <w:t xml:space="preserve"> بدار 0 سلام‌های خالصانه ما را به </w:t>
      </w:r>
      <w:r w:rsidR="00965A70">
        <w:rPr>
          <w:rFonts w:ascii="IRBadr" w:hAnsi="IRBadr" w:cs="IRBadr"/>
          <w:sz w:val="28"/>
          <w:szCs w:val="28"/>
          <w:rtl/>
        </w:rPr>
        <w:t>محضر حضرت</w:t>
      </w:r>
      <w:r w:rsidRPr="00E52A4A">
        <w:rPr>
          <w:rFonts w:ascii="IRBadr" w:hAnsi="IRBadr" w:cs="IRBadr"/>
          <w:sz w:val="28"/>
          <w:szCs w:val="28"/>
          <w:rtl/>
        </w:rPr>
        <w:t xml:space="preserve"> بقیه الله الاعظم ابلاغ بفرما 0 ارواح شهدا، روح مطهر امام، ارواح بزرگان </w:t>
      </w:r>
      <w:r w:rsidR="00965A70">
        <w:rPr>
          <w:rFonts w:ascii="IRBadr" w:hAnsi="IRBadr" w:cs="IRBadr"/>
          <w:sz w:val="28"/>
          <w:szCs w:val="28"/>
          <w:rtl/>
        </w:rPr>
        <w:t>و کسانی</w:t>
      </w:r>
      <w:r w:rsidRPr="00E52A4A">
        <w:rPr>
          <w:rFonts w:ascii="IRBadr" w:hAnsi="IRBadr" w:cs="IRBadr"/>
          <w:sz w:val="28"/>
          <w:szCs w:val="28"/>
          <w:rtl/>
        </w:rPr>
        <w:t xml:space="preserve"> که بر ما حق دارند با اولیای الهی محشور بفرما 0 بر فرج حضرت بقیه الله تعجیل بفرما.</w:t>
      </w:r>
    </w:p>
    <w:p w:rsidR="004865D9" w:rsidRPr="00E52A4A" w:rsidRDefault="004865D9" w:rsidP="00E52A4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152670" w:rsidRPr="00E52A4A" w:rsidRDefault="004865D9" w:rsidP="00E52A4A">
      <w:pPr>
        <w:tabs>
          <w:tab w:val="left" w:pos="2091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52A4A">
        <w:rPr>
          <w:rFonts w:ascii="IRBadr" w:hAnsi="IRBadr" w:cs="IRBadr"/>
          <w:sz w:val="28"/>
          <w:rtl/>
        </w:rPr>
        <w:tab/>
      </w:r>
    </w:p>
    <w:sectPr w:rsidR="00152670" w:rsidRPr="00E52A4A" w:rsidSect="00A56FFD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49" w:rsidRDefault="00567749" w:rsidP="000D5800">
      <w:r>
        <w:separator/>
      </w:r>
    </w:p>
  </w:endnote>
  <w:endnote w:type="continuationSeparator" w:id="0">
    <w:p w:rsidR="00567749" w:rsidRDefault="0056774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0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49" w:rsidRDefault="00567749" w:rsidP="00FB69FB">
      <w:pPr>
        <w:bidi/>
      </w:pPr>
      <w:r>
        <w:separator/>
      </w:r>
    </w:p>
  </w:footnote>
  <w:footnote w:type="continuationSeparator" w:id="0">
    <w:p w:rsidR="00567749" w:rsidRDefault="00567749" w:rsidP="000D5800">
      <w:r>
        <w:continuationSeparator/>
      </w:r>
    </w:p>
  </w:footnote>
  <w:footnote w:id="1">
    <w:p w:rsidR="006E4D97" w:rsidRPr="000140B3" w:rsidRDefault="006E4D97" w:rsidP="006E4D97">
      <w:pPr>
        <w:pStyle w:val="FootnoteText"/>
        <w:bidi/>
        <w:jc w:val="both"/>
        <w:rPr>
          <w:rFonts w:ascii="IRBadr" w:hAnsi="IRBadr" w:cs="IRBadr"/>
          <w:bCs/>
          <w:rtl/>
        </w:rPr>
      </w:pPr>
      <w:r w:rsidRPr="000140B3">
        <w:rPr>
          <w:rStyle w:val="FootnoteReference"/>
          <w:rFonts w:ascii="IRBadr" w:eastAsia="2  Lotus" w:hAnsi="IRBadr" w:cs="IRBadr"/>
          <w:bCs/>
        </w:rPr>
        <w:footnoteRef/>
      </w:r>
      <w:r w:rsidRPr="000140B3">
        <w:rPr>
          <w:rFonts w:ascii="IRBadr" w:hAnsi="IRBadr" w:cs="IRBadr"/>
          <w:bCs/>
          <w:rtl/>
        </w:rPr>
        <w:t xml:space="preserve">. </w:t>
      </w:r>
      <w:r w:rsidRPr="000140B3">
        <w:rPr>
          <w:rFonts w:ascii="IRBadr" w:hAnsi="IRBadr" w:cs="IRBadr" w:hint="cs"/>
          <w:bCs/>
          <w:rtl/>
        </w:rPr>
        <w:t xml:space="preserve">سوره </w:t>
      </w:r>
      <w:r w:rsidRPr="000140B3">
        <w:rPr>
          <w:rFonts w:ascii="IRBadr" w:hAnsi="IRBadr" w:cs="IRBadr"/>
          <w:bCs/>
          <w:rtl/>
        </w:rPr>
        <w:t>اعراف</w:t>
      </w:r>
      <w:r w:rsidRPr="000140B3">
        <w:rPr>
          <w:rFonts w:ascii="IRBadr" w:hAnsi="IRBadr" w:cs="IRBadr" w:hint="cs"/>
          <w:bCs/>
          <w:rtl/>
        </w:rPr>
        <w:t>،</w:t>
      </w:r>
      <w:r w:rsidRPr="000140B3">
        <w:rPr>
          <w:rFonts w:ascii="IRBadr" w:hAnsi="IRBadr" w:cs="IRBadr"/>
          <w:bCs/>
          <w:rtl/>
        </w:rPr>
        <w:t xml:space="preserve"> </w:t>
      </w:r>
      <w:r w:rsidRPr="000140B3">
        <w:rPr>
          <w:rFonts w:ascii="IRBadr" w:hAnsi="IRBadr" w:cs="IRBadr" w:hint="cs"/>
          <w:bCs/>
          <w:rtl/>
        </w:rPr>
        <w:t xml:space="preserve">آیه </w:t>
      </w:r>
      <w:r w:rsidRPr="000140B3">
        <w:rPr>
          <w:rFonts w:ascii="IRBadr" w:hAnsi="IRBadr" w:cs="IRBadr"/>
          <w:bCs/>
          <w:rtl/>
        </w:rPr>
        <w:t>43.</w:t>
      </w:r>
    </w:p>
  </w:footnote>
  <w:footnote w:id="2">
    <w:p w:rsidR="00856693" w:rsidRPr="000140B3" w:rsidRDefault="00856693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>. حشر، آیه 18.</w:t>
      </w:r>
    </w:p>
  </w:footnote>
  <w:footnote w:id="3">
    <w:p w:rsidR="00E52A4A" w:rsidRPr="000140B3" w:rsidRDefault="00E52A4A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>. بحارالانوار،</w:t>
      </w:r>
      <w:r w:rsidRPr="000140B3">
        <w:rPr>
          <w:rFonts w:ascii="Times New Roman" w:eastAsiaTheme="minorHAnsi" w:hAnsi="Times New Roman" w:cs="Times New Roman"/>
          <w:bCs/>
        </w:rPr>
        <w:t> </w:t>
      </w:r>
      <w:r w:rsidRPr="000140B3">
        <w:rPr>
          <w:rFonts w:ascii="IRBadr" w:eastAsiaTheme="minorHAnsi" w:hAnsi="IRBadr" w:cs="IRBadr"/>
          <w:bCs/>
          <w:rtl/>
        </w:rPr>
        <w:t>مجلسی، ج 29، ص 123</w:t>
      </w:r>
    </w:p>
  </w:footnote>
  <w:footnote w:id="4">
    <w:p w:rsidR="00E52A4A" w:rsidRPr="000140B3" w:rsidRDefault="00E52A4A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>.</w:t>
      </w:r>
      <w:r w:rsidR="004F6ADC" w:rsidRPr="000140B3">
        <w:rPr>
          <w:rFonts w:ascii="IRBadr" w:eastAsiaTheme="minorHAnsi" w:hAnsi="IRBadr" w:cs="IRBadr"/>
          <w:bCs/>
          <w:rtl/>
        </w:rPr>
        <w:t xml:space="preserve"> </w:t>
      </w:r>
      <w:r w:rsidR="00965A70" w:rsidRPr="000140B3">
        <w:rPr>
          <w:rFonts w:ascii="IRBadr" w:eastAsiaTheme="minorHAnsi" w:hAnsi="IRBadr" w:cs="IRBadr"/>
          <w:bCs/>
          <w:rtl/>
        </w:rPr>
        <w:t>تحفه</w:t>
      </w:r>
      <w:r w:rsidRPr="000140B3">
        <w:rPr>
          <w:rFonts w:ascii="IRBadr" w:eastAsiaTheme="minorHAnsi" w:hAnsi="IRBadr" w:cs="IRBadr"/>
          <w:bCs/>
          <w:rtl/>
        </w:rPr>
        <w:t xml:space="preserve"> الاحوذی فی شرح جامع الترمذی، جزء 6، صفحه 84 و 85.</w:t>
      </w:r>
    </w:p>
  </w:footnote>
  <w:footnote w:id="5">
    <w:p w:rsidR="00F031A5" w:rsidRPr="000140B3" w:rsidRDefault="00F031A5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>. سوره کوثر</w:t>
      </w:r>
      <w:bookmarkStart w:id="13" w:name="_GoBack"/>
      <w:bookmarkEnd w:id="13"/>
      <w:r w:rsidRPr="000140B3">
        <w:rPr>
          <w:rFonts w:ascii="IRBadr" w:eastAsiaTheme="minorHAnsi" w:hAnsi="IRBadr" w:cs="IRBadr"/>
          <w:bCs/>
          <w:rtl/>
        </w:rPr>
        <w:t>.</w:t>
      </w:r>
    </w:p>
  </w:footnote>
  <w:footnote w:id="6">
    <w:p w:rsidR="00856693" w:rsidRPr="000140B3" w:rsidRDefault="00856693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 xml:space="preserve">. </w:t>
      </w:r>
      <w:r w:rsidR="00965A70" w:rsidRPr="000140B3">
        <w:rPr>
          <w:rFonts w:ascii="IRBadr" w:eastAsiaTheme="minorHAnsi" w:hAnsi="IRBadr" w:cs="IRBadr"/>
          <w:bCs/>
          <w:rtl/>
        </w:rPr>
        <w:t>آل‌عمران</w:t>
      </w:r>
      <w:r w:rsidRPr="000140B3">
        <w:rPr>
          <w:rFonts w:ascii="IRBadr" w:eastAsiaTheme="minorHAnsi" w:hAnsi="IRBadr" w:cs="IRBadr"/>
          <w:bCs/>
          <w:rtl/>
        </w:rPr>
        <w:t>، آیه 102.</w:t>
      </w:r>
    </w:p>
  </w:footnote>
  <w:footnote w:id="7">
    <w:p w:rsidR="00E001D2" w:rsidRPr="000140B3" w:rsidRDefault="00E001D2" w:rsidP="00FB69FB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0140B3">
        <w:rPr>
          <w:rFonts w:ascii="IRBadr" w:eastAsiaTheme="minorHAnsi" w:hAnsi="IRBadr" w:cs="IRBadr"/>
          <w:bCs/>
        </w:rPr>
        <w:footnoteRef/>
      </w:r>
      <w:r w:rsidRPr="000140B3">
        <w:rPr>
          <w:rFonts w:ascii="IRBadr" w:eastAsiaTheme="minorHAnsi" w:hAnsi="IRBadr" w:cs="IRBadr"/>
          <w:bCs/>
          <w:rtl/>
        </w:rPr>
        <w:t>. ذاریات، آیه 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6E4D97" w:rsidRDefault="00A56FFD" w:rsidP="006E4D97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</w:rPr>
    </w:pPr>
    <w:bookmarkStart w:id="22" w:name="OLE_LINK1"/>
    <w:bookmarkStart w:id="23" w:name="OLE_LINK2"/>
    <w:r w:rsidRPr="006E4D97">
      <w:rPr>
        <w:rFonts w:ascii="IRBadr" w:hAnsi="IRBadr" w:cs="IRBadr"/>
        <w:noProof/>
        <w:sz w:val="28"/>
      </w:rPr>
      <w:drawing>
        <wp:anchor distT="0" distB="0" distL="114300" distR="114300" simplePos="0" relativeHeight="251660288" behindDoc="0" locked="0" layoutInCell="1" allowOverlap="1" wp14:anchorId="2290BCDA" wp14:editId="25A9C61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 w:rsidR="000D5800" w:rsidRPr="006E4D97">
      <w:rPr>
        <w:rFonts w:ascii="IRBadr" w:hAnsi="IRBadr" w:cs="IRBadr"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216AD2" wp14:editId="060BEDE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7B0062" w:rsidRPr="006E4D97">
      <w:rPr>
        <w:rFonts w:ascii="IRBadr" w:hAnsi="IRBadr" w:cs="IRBadr"/>
        <w:sz w:val="28"/>
        <w:rtl/>
      </w:rPr>
      <w:t xml:space="preserve">                                                           </w:t>
    </w:r>
    <w:r w:rsidR="000D5800" w:rsidRPr="006E4D97">
      <w:rPr>
        <w:rFonts w:ascii="IRBadr" w:hAnsi="IRBadr" w:cs="IRBadr"/>
        <w:sz w:val="28"/>
        <w:rtl/>
      </w:rPr>
      <w:t xml:space="preserve">             </w:t>
    </w:r>
    <w:r w:rsidR="006E4D97" w:rsidRPr="006E4D97">
      <w:rPr>
        <w:rFonts w:ascii="IRBadr" w:hAnsi="IRBadr" w:cs="IRBadr"/>
        <w:sz w:val="28"/>
        <w:rtl/>
      </w:rPr>
      <w:t>شماره ثبت:541</w:t>
    </w:r>
    <w:r w:rsidR="000D5800" w:rsidRPr="006E4D97">
      <w:rPr>
        <w:rFonts w:ascii="IRBadr" w:hAnsi="IRBadr" w:cs="IRBadr"/>
        <w:sz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40B3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3714"/>
    <w:rsid w:val="000F1897"/>
    <w:rsid w:val="000F7E72"/>
    <w:rsid w:val="00100F49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6062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D654D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65D9"/>
    <w:rsid w:val="004A3E0D"/>
    <w:rsid w:val="004A72C8"/>
    <w:rsid w:val="004B337F"/>
    <w:rsid w:val="004B482D"/>
    <w:rsid w:val="004D511F"/>
    <w:rsid w:val="004F3596"/>
    <w:rsid w:val="004F6ADC"/>
    <w:rsid w:val="00530FD7"/>
    <w:rsid w:val="00567749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E4D97"/>
    <w:rsid w:val="006F01B4"/>
    <w:rsid w:val="006F4533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693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5A70"/>
    <w:rsid w:val="00980643"/>
    <w:rsid w:val="009B46BC"/>
    <w:rsid w:val="009B61C3"/>
    <w:rsid w:val="009C7B4F"/>
    <w:rsid w:val="009F4EB3"/>
    <w:rsid w:val="00A01A47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0BC5"/>
    <w:rsid w:val="00A810A5"/>
    <w:rsid w:val="00A9616A"/>
    <w:rsid w:val="00A96F68"/>
    <w:rsid w:val="00A973BA"/>
    <w:rsid w:val="00AA2342"/>
    <w:rsid w:val="00AD0304"/>
    <w:rsid w:val="00AD27BE"/>
    <w:rsid w:val="00AF066C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3297"/>
    <w:rsid w:val="00C763DD"/>
    <w:rsid w:val="00C77216"/>
    <w:rsid w:val="00C84FC0"/>
    <w:rsid w:val="00C9244A"/>
    <w:rsid w:val="00CB5DA3"/>
    <w:rsid w:val="00CE09B7"/>
    <w:rsid w:val="00CE31E6"/>
    <w:rsid w:val="00CE3B74"/>
    <w:rsid w:val="00CF42E2"/>
    <w:rsid w:val="00CF7916"/>
    <w:rsid w:val="00D1073B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01D2"/>
    <w:rsid w:val="00E0639C"/>
    <w:rsid w:val="00E067E6"/>
    <w:rsid w:val="00E12531"/>
    <w:rsid w:val="00E12D3B"/>
    <w:rsid w:val="00E143B0"/>
    <w:rsid w:val="00E52A4A"/>
    <w:rsid w:val="00E55891"/>
    <w:rsid w:val="00E57920"/>
    <w:rsid w:val="00E6283A"/>
    <w:rsid w:val="00E732A3"/>
    <w:rsid w:val="00E83A85"/>
    <w:rsid w:val="00E854B2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1A5"/>
    <w:rsid w:val="00F034CE"/>
    <w:rsid w:val="00F10A0F"/>
    <w:rsid w:val="00F40284"/>
    <w:rsid w:val="00F67976"/>
    <w:rsid w:val="00F70BE1"/>
    <w:rsid w:val="00FB69F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4D9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4D9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6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03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45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01D2"/>
    <w:rPr>
      <w:b/>
      <w:bCs/>
    </w:rPr>
  </w:style>
  <w:style w:type="character" w:customStyle="1" w:styleId="st">
    <w:name w:val="st"/>
    <w:basedOn w:val="DefaultParagraphFont"/>
    <w:rsid w:val="00E001D2"/>
  </w:style>
  <w:style w:type="character" w:customStyle="1" w:styleId="content">
    <w:name w:val="content"/>
    <w:basedOn w:val="DefaultParagraphFont"/>
    <w:rsid w:val="00A80BC5"/>
  </w:style>
  <w:style w:type="character" w:customStyle="1" w:styleId="apple-converted-space">
    <w:name w:val="apple-converted-space"/>
    <w:basedOn w:val="DefaultParagraphFont"/>
    <w:rsid w:val="00E5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4D9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4D9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6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03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45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01D2"/>
    <w:rPr>
      <w:b/>
      <w:bCs/>
    </w:rPr>
  </w:style>
  <w:style w:type="character" w:customStyle="1" w:styleId="st">
    <w:name w:val="st"/>
    <w:basedOn w:val="DefaultParagraphFont"/>
    <w:rsid w:val="00E001D2"/>
  </w:style>
  <w:style w:type="character" w:customStyle="1" w:styleId="content">
    <w:name w:val="content"/>
    <w:basedOn w:val="DefaultParagraphFont"/>
    <w:rsid w:val="00A80BC5"/>
  </w:style>
  <w:style w:type="character" w:customStyle="1" w:styleId="apple-converted-space">
    <w:name w:val="apple-converted-space"/>
    <w:basedOn w:val="DefaultParagraphFont"/>
    <w:rsid w:val="00E5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religious/grateful/works-month-raja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D9A3-4488-446A-9562-80C16A5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63</TotalTime>
  <Pages>11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24</cp:revision>
  <dcterms:created xsi:type="dcterms:W3CDTF">2015-07-12T08:54:00Z</dcterms:created>
  <dcterms:modified xsi:type="dcterms:W3CDTF">2015-08-30T07:41:00Z</dcterms:modified>
</cp:coreProperties>
</file>