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2128814096"/>
        <w:docPartObj>
          <w:docPartGallery w:val="Table of Contents"/>
          <w:docPartUnique/>
        </w:docPartObj>
      </w:sdtPr>
      <w:sdtEndPr>
        <w:rPr>
          <w:b/>
          <w:noProof/>
        </w:rPr>
      </w:sdtEndPr>
      <w:sdtContent>
        <w:bookmarkEnd w:id="0" w:displacedByCustomXml="prev"/>
        <w:p w:rsidR="00D15074" w:rsidRDefault="00D15074" w:rsidP="00D15074">
          <w:pPr>
            <w:pStyle w:val="TOCHeading"/>
          </w:pPr>
          <w:r>
            <w:rPr>
              <w:rFonts w:hint="cs"/>
              <w:rtl/>
            </w:rPr>
            <w:t>فهرست</w:t>
          </w:r>
        </w:p>
        <w:p w:rsidR="00D15074" w:rsidRDefault="00D15074" w:rsidP="00D15074">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5793598" w:history="1">
            <w:r w:rsidRPr="00DB1781">
              <w:rPr>
                <w:rStyle w:val="Hyperlink"/>
                <w:noProof/>
                <w:rtl/>
              </w:rPr>
              <w:t>مقدمه</w:t>
            </w:r>
            <w:r>
              <w:rPr>
                <w:noProof/>
                <w:webHidden/>
              </w:rPr>
              <w:tab/>
            </w:r>
            <w:r>
              <w:rPr>
                <w:noProof/>
                <w:webHidden/>
              </w:rPr>
              <w:fldChar w:fldCharType="begin"/>
            </w:r>
            <w:r>
              <w:rPr>
                <w:noProof/>
                <w:webHidden/>
              </w:rPr>
              <w:instrText xml:space="preserve"> PAGEREF _Toc55793598 \h </w:instrText>
            </w:r>
            <w:r>
              <w:rPr>
                <w:noProof/>
                <w:webHidden/>
              </w:rPr>
            </w:r>
            <w:r>
              <w:rPr>
                <w:noProof/>
                <w:webHidden/>
              </w:rPr>
              <w:fldChar w:fldCharType="separate"/>
            </w:r>
            <w:r>
              <w:rPr>
                <w:noProof/>
                <w:webHidden/>
              </w:rPr>
              <w:t>2</w:t>
            </w:r>
            <w:r>
              <w:rPr>
                <w:noProof/>
                <w:webHidden/>
              </w:rPr>
              <w:fldChar w:fldCharType="end"/>
            </w:r>
          </w:hyperlink>
        </w:p>
        <w:p w:rsidR="00D15074" w:rsidRDefault="00A764CB" w:rsidP="00D15074">
          <w:pPr>
            <w:pStyle w:val="TOC2"/>
            <w:tabs>
              <w:tab w:val="right" w:leader="dot" w:pos="9350"/>
            </w:tabs>
            <w:rPr>
              <w:rFonts w:asciiTheme="minorHAnsi" w:hAnsiTheme="minorHAnsi" w:cstheme="minorBidi"/>
              <w:noProof/>
              <w:sz w:val="22"/>
              <w:szCs w:val="22"/>
              <w:lang w:bidi="ar-SA"/>
            </w:rPr>
          </w:pPr>
          <w:hyperlink w:anchor="_Toc55793599" w:history="1">
            <w:r w:rsidR="00D15074" w:rsidRPr="00DB1781">
              <w:rPr>
                <w:rStyle w:val="Hyperlink"/>
                <w:noProof/>
                <w:rtl/>
              </w:rPr>
              <w:t>تقر</w:t>
            </w:r>
            <w:r w:rsidR="00D15074" w:rsidRPr="00DB1781">
              <w:rPr>
                <w:rStyle w:val="Hyperlink"/>
                <w:rFonts w:hint="cs"/>
                <w:noProof/>
                <w:rtl/>
              </w:rPr>
              <w:t>ی</w:t>
            </w:r>
            <w:r w:rsidR="00D15074" w:rsidRPr="00DB1781">
              <w:rPr>
                <w:rStyle w:val="Hyperlink"/>
                <w:rFonts w:hint="eastAsia"/>
                <w:noProof/>
                <w:rtl/>
              </w:rPr>
              <w:t>ر</w:t>
            </w:r>
            <w:r w:rsidR="00D15074" w:rsidRPr="00DB1781">
              <w:rPr>
                <w:rStyle w:val="Hyperlink"/>
                <w:noProof/>
                <w:rtl/>
              </w:rPr>
              <w:t xml:space="preserve"> دوم</w:t>
            </w:r>
            <w:r w:rsidR="00D15074">
              <w:rPr>
                <w:noProof/>
                <w:webHidden/>
              </w:rPr>
              <w:tab/>
            </w:r>
            <w:r w:rsidR="00D15074">
              <w:rPr>
                <w:noProof/>
                <w:webHidden/>
              </w:rPr>
              <w:fldChar w:fldCharType="begin"/>
            </w:r>
            <w:r w:rsidR="00D15074">
              <w:rPr>
                <w:noProof/>
                <w:webHidden/>
              </w:rPr>
              <w:instrText xml:space="preserve"> PAGEREF _Toc55793599 \h </w:instrText>
            </w:r>
            <w:r w:rsidR="00D15074">
              <w:rPr>
                <w:noProof/>
                <w:webHidden/>
              </w:rPr>
            </w:r>
            <w:r w:rsidR="00D15074">
              <w:rPr>
                <w:noProof/>
                <w:webHidden/>
              </w:rPr>
              <w:fldChar w:fldCharType="separate"/>
            </w:r>
            <w:r w:rsidR="00D15074">
              <w:rPr>
                <w:noProof/>
                <w:webHidden/>
              </w:rPr>
              <w:t>2</w:t>
            </w:r>
            <w:r w:rsidR="00D15074">
              <w:rPr>
                <w:noProof/>
                <w:webHidden/>
              </w:rPr>
              <w:fldChar w:fldCharType="end"/>
            </w:r>
          </w:hyperlink>
        </w:p>
        <w:p w:rsidR="00D15074" w:rsidRDefault="00A764CB" w:rsidP="00D15074">
          <w:pPr>
            <w:pStyle w:val="TOC3"/>
            <w:rPr>
              <w:rFonts w:asciiTheme="minorHAnsi" w:eastAsiaTheme="minorEastAsia" w:hAnsiTheme="minorHAnsi" w:cstheme="minorBidi"/>
              <w:noProof/>
              <w:sz w:val="22"/>
              <w:szCs w:val="22"/>
              <w:lang w:bidi="ar-SA"/>
            </w:rPr>
          </w:pPr>
          <w:hyperlink w:anchor="_Toc55793600" w:history="1">
            <w:r w:rsidR="00D15074" w:rsidRPr="00DB1781">
              <w:rPr>
                <w:rStyle w:val="Hyperlink"/>
                <w:noProof/>
                <w:rtl/>
              </w:rPr>
              <w:t>مقدمه اول:</w:t>
            </w:r>
            <w:r w:rsidR="00D15074">
              <w:rPr>
                <w:noProof/>
                <w:webHidden/>
              </w:rPr>
              <w:tab/>
            </w:r>
            <w:r w:rsidR="00D15074">
              <w:rPr>
                <w:noProof/>
                <w:webHidden/>
              </w:rPr>
              <w:fldChar w:fldCharType="begin"/>
            </w:r>
            <w:r w:rsidR="00D15074">
              <w:rPr>
                <w:noProof/>
                <w:webHidden/>
              </w:rPr>
              <w:instrText xml:space="preserve"> PAGEREF _Toc55793600 \h </w:instrText>
            </w:r>
            <w:r w:rsidR="00D15074">
              <w:rPr>
                <w:noProof/>
                <w:webHidden/>
              </w:rPr>
            </w:r>
            <w:r w:rsidR="00D15074">
              <w:rPr>
                <w:noProof/>
                <w:webHidden/>
              </w:rPr>
              <w:fldChar w:fldCharType="separate"/>
            </w:r>
            <w:r w:rsidR="00D15074">
              <w:rPr>
                <w:noProof/>
                <w:webHidden/>
              </w:rPr>
              <w:t>2</w:t>
            </w:r>
            <w:r w:rsidR="00D15074">
              <w:rPr>
                <w:noProof/>
                <w:webHidden/>
              </w:rPr>
              <w:fldChar w:fldCharType="end"/>
            </w:r>
          </w:hyperlink>
        </w:p>
        <w:p w:rsidR="00D15074" w:rsidRDefault="00A764CB" w:rsidP="00D15074">
          <w:pPr>
            <w:pStyle w:val="TOC3"/>
            <w:rPr>
              <w:rFonts w:asciiTheme="minorHAnsi" w:eastAsiaTheme="minorEastAsia" w:hAnsiTheme="minorHAnsi" w:cstheme="minorBidi"/>
              <w:noProof/>
              <w:sz w:val="22"/>
              <w:szCs w:val="22"/>
              <w:lang w:bidi="ar-SA"/>
            </w:rPr>
          </w:pPr>
          <w:hyperlink w:anchor="_Toc55793601" w:history="1">
            <w:r w:rsidR="00D15074" w:rsidRPr="00DB1781">
              <w:rPr>
                <w:rStyle w:val="Hyperlink"/>
                <w:noProof/>
                <w:rtl/>
              </w:rPr>
              <w:t>مقدمه دوم</w:t>
            </w:r>
            <w:r w:rsidR="00D15074">
              <w:rPr>
                <w:noProof/>
                <w:webHidden/>
              </w:rPr>
              <w:tab/>
            </w:r>
            <w:r w:rsidR="00D15074">
              <w:rPr>
                <w:noProof/>
                <w:webHidden/>
              </w:rPr>
              <w:fldChar w:fldCharType="begin"/>
            </w:r>
            <w:r w:rsidR="00D15074">
              <w:rPr>
                <w:noProof/>
                <w:webHidden/>
              </w:rPr>
              <w:instrText xml:space="preserve"> PAGEREF _Toc55793601 \h </w:instrText>
            </w:r>
            <w:r w:rsidR="00D15074">
              <w:rPr>
                <w:noProof/>
                <w:webHidden/>
              </w:rPr>
            </w:r>
            <w:r w:rsidR="00D15074">
              <w:rPr>
                <w:noProof/>
                <w:webHidden/>
              </w:rPr>
              <w:fldChar w:fldCharType="separate"/>
            </w:r>
            <w:r w:rsidR="00D15074">
              <w:rPr>
                <w:noProof/>
                <w:webHidden/>
              </w:rPr>
              <w:t>4</w:t>
            </w:r>
            <w:r w:rsidR="00D15074">
              <w:rPr>
                <w:noProof/>
                <w:webHidden/>
              </w:rPr>
              <w:fldChar w:fldCharType="end"/>
            </w:r>
          </w:hyperlink>
        </w:p>
        <w:p w:rsidR="00D15074" w:rsidRDefault="00A764CB" w:rsidP="00D15074">
          <w:pPr>
            <w:pStyle w:val="TOC3"/>
            <w:rPr>
              <w:rFonts w:asciiTheme="minorHAnsi" w:eastAsiaTheme="minorEastAsia" w:hAnsiTheme="minorHAnsi" w:cstheme="minorBidi"/>
              <w:noProof/>
              <w:sz w:val="22"/>
              <w:szCs w:val="22"/>
              <w:lang w:bidi="ar-SA"/>
            </w:rPr>
          </w:pPr>
          <w:hyperlink w:anchor="_Toc55793602" w:history="1">
            <w:r w:rsidR="00D15074" w:rsidRPr="00DB1781">
              <w:rPr>
                <w:rStyle w:val="Hyperlink"/>
                <w:noProof/>
                <w:rtl/>
              </w:rPr>
              <w:t>مقدمه سوم:</w:t>
            </w:r>
            <w:r w:rsidR="00D15074">
              <w:rPr>
                <w:noProof/>
                <w:webHidden/>
              </w:rPr>
              <w:tab/>
            </w:r>
            <w:r w:rsidR="00D15074">
              <w:rPr>
                <w:noProof/>
                <w:webHidden/>
              </w:rPr>
              <w:fldChar w:fldCharType="begin"/>
            </w:r>
            <w:r w:rsidR="00D15074">
              <w:rPr>
                <w:noProof/>
                <w:webHidden/>
              </w:rPr>
              <w:instrText xml:space="preserve"> PAGEREF _Toc55793602 \h </w:instrText>
            </w:r>
            <w:r w:rsidR="00D15074">
              <w:rPr>
                <w:noProof/>
                <w:webHidden/>
              </w:rPr>
            </w:r>
            <w:r w:rsidR="00D15074">
              <w:rPr>
                <w:noProof/>
                <w:webHidden/>
              </w:rPr>
              <w:fldChar w:fldCharType="separate"/>
            </w:r>
            <w:r w:rsidR="00D15074">
              <w:rPr>
                <w:noProof/>
                <w:webHidden/>
              </w:rPr>
              <w:t>4</w:t>
            </w:r>
            <w:r w:rsidR="00D15074">
              <w:rPr>
                <w:noProof/>
                <w:webHidden/>
              </w:rPr>
              <w:fldChar w:fldCharType="end"/>
            </w:r>
          </w:hyperlink>
        </w:p>
        <w:p w:rsidR="00D15074" w:rsidRDefault="00A764CB" w:rsidP="00D15074">
          <w:pPr>
            <w:pStyle w:val="TOC3"/>
            <w:rPr>
              <w:rFonts w:asciiTheme="minorHAnsi" w:eastAsiaTheme="minorEastAsia" w:hAnsiTheme="minorHAnsi" w:cstheme="minorBidi"/>
              <w:noProof/>
              <w:sz w:val="22"/>
              <w:szCs w:val="22"/>
              <w:lang w:bidi="ar-SA"/>
            </w:rPr>
          </w:pPr>
          <w:hyperlink w:anchor="_Toc55793603" w:history="1">
            <w:r w:rsidR="00D15074" w:rsidRPr="00DB1781">
              <w:rPr>
                <w:rStyle w:val="Hyperlink"/>
                <w:noProof/>
                <w:rtl/>
              </w:rPr>
              <w:t>نت</w:t>
            </w:r>
            <w:r w:rsidR="00D15074" w:rsidRPr="00DB1781">
              <w:rPr>
                <w:rStyle w:val="Hyperlink"/>
                <w:rFonts w:hint="cs"/>
                <w:noProof/>
                <w:rtl/>
              </w:rPr>
              <w:t>ی</w:t>
            </w:r>
            <w:r w:rsidR="00D15074" w:rsidRPr="00DB1781">
              <w:rPr>
                <w:rStyle w:val="Hyperlink"/>
                <w:rFonts w:hint="eastAsia"/>
                <w:noProof/>
                <w:rtl/>
              </w:rPr>
              <w:t>جه</w:t>
            </w:r>
            <w:r w:rsidR="00D15074" w:rsidRPr="00DB1781">
              <w:rPr>
                <w:rStyle w:val="Hyperlink"/>
                <w:noProof/>
                <w:rtl/>
              </w:rPr>
              <w:t>:</w:t>
            </w:r>
            <w:r w:rsidR="00D15074">
              <w:rPr>
                <w:noProof/>
                <w:webHidden/>
              </w:rPr>
              <w:tab/>
            </w:r>
            <w:r w:rsidR="00D15074">
              <w:rPr>
                <w:noProof/>
                <w:webHidden/>
              </w:rPr>
              <w:fldChar w:fldCharType="begin"/>
            </w:r>
            <w:r w:rsidR="00D15074">
              <w:rPr>
                <w:noProof/>
                <w:webHidden/>
              </w:rPr>
              <w:instrText xml:space="preserve"> PAGEREF _Toc55793603 \h </w:instrText>
            </w:r>
            <w:r w:rsidR="00D15074">
              <w:rPr>
                <w:noProof/>
                <w:webHidden/>
              </w:rPr>
            </w:r>
            <w:r w:rsidR="00D15074">
              <w:rPr>
                <w:noProof/>
                <w:webHidden/>
              </w:rPr>
              <w:fldChar w:fldCharType="separate"/>
            </w:r>
            <w:r w:rsidR="00D15074">
              <w:rPr>
                <w:noProof/>
                <w:webHidden/>
              </w:rPr>
              <w:t>4</w:t>
            </w:r>
            <w:r w:rsidR="00D15074">
              <w:rPr>
                <w:noProof/>
                <w:webHidden/>
              </w:rPr>
              <w:fldChar w:fldCharType="end"/>
            </w:r>
          </w:hyperlink>
        </w:p>
        <w:p w:rsidR="00D15074" w:rsidRDefault="00A764CB" w:rsidP="00D15074">
          <w:pPr>
            <w:pStyle w:val="TOC2"/>
            <w:tabs>
              <w:tab w:val="right" w:leader="dot" w:pos="9350"/>
            </w:tabs>
            <w:rPr>
              <w:rFonts w:asciiTheme="minorHAnsi" w:hAnsiTheme="minorHAnsi" w:cstheme="minorBidi"/>
              <w:noProof/>
              <w:sz w:val="22"/>
              <w:szCs w:val="22"/>
              <w:lang w:bidi="ar-SA"/>
            </w:rPr>
          </w:pPr>
          <w:hyperlink w:anchor="_Toc55793604" w:history="1">
            <w:r w:rsidR="00D15074" w:rsidRPr="00DB1781">
              <w:rPr>
                <w:rStyle w:val="Hyperlink"/>
                <w:noProof/>
                <w:rtl/>
              </w:rPr>
              <w:t>مناقشه در تقر</w:t>
            </w:r>
            <w:r w:rsidR="00D15074" w:rsidRPr="00DB1781">
              <w:rPr>
                <w:rStyle w:val="Hyperlink"/>
                <w:rFonts w:hint="cs"/>
                <w:noProof/>
                <w:rtl/>
              </w:rPr>
              <w:t>ی</w:t>
            </w:r>
            <w:r w:rsidR="00D15074" w:rsidRPr="00DB1781">
              <w:rPr>
                <w:rStyle w:val="Hyperlink"/>
                <w:rFonts w:hint="eastAsia"/>
                <w:noProof/>
                <w:rtl/>
              </w:rPr>
              <w:t>ر</w:t>
            </w:r>
            <w:r w:rsidR="00D15074" w:rsidRPr="00DB1781">
              <w:rPr>
                <w:rStyle w:val="Hyperlink"/>
                <w:noProof/>
                <w:rtl/>
              </w:rPr>
              <w:t xml:space="preserve"> دوم</w:t>
            </w:r>
            <w:r w:rsidR="00D15074">
              <w:rPr>
                <w:noProof/>
                <w:webHidden/>
              </w:rPr>
              <w:tab/>
            </w:r>
            <w:r w:rsidR="00D15074">
              <w:rPr>
                <w:noProof/>
                <w:webHidden/>
              </w:rPr>
              <w:fldChar w:fldCharType="begin"/>
            </w:r>
            <w:r w:rsidR="00D15074">
              <w:rPr>
                <w:noProof/>
                <w:webHidden/>
              </w:rPr>
              <w:instrText xml:space="preserve"> PAGEREF _Toc55793604 \h </w:instrText>
            </w:r>
            <w:r w:rsidR="00D15074">
              <w:rPr>
                <w:noProof/>
                <w:webHidden/>
              </w:rPr>
            </w:r>
            <w:r w:rsidR="00D15074">
              <w:rPr>
                <w:noProof/>
                <w:webHidden/>
              </w:rPr>
              <w:fldChar w:fldCharType="separate"/>
            </w:r>
            <w:r w:rsidR="00D15074">
              <w:rPr>
                <w:noProof/>
                <w:webHidden/>
              </w:rPr>
              <w:t>5</w:t>
            </w:r>
            <w:r w:rsidR="00D15074">
              <w:rPr>
                <w:noProof/>
                <w:webHidden/>
              </w:rPr>
              <w:fldChar w:fldCharType="end"/>
            </w:r>
          </w:hyperlink>
        </w:p>
        <w:p w:rsidR="00D15074" w:rsidRDefault="00A764CB" w:rsidP="00D15074">
          <w:pPr>
            <w:pStyle w:val="TOC2"/>
            <w:tabs>
              <w:tab w:val="right" w:leader="dot" w:pos="9350"/>
            </w:tabs>
            <w:rPr>
              <w:rFonts w:asciiTheme="minorHAnsi" w:hAnsiTheme="minorHAnsi" w:cstheme="minorBidi"/>
              <w:noProof/>
              <w:sz w:val="22"/>
              <w:szCs w:val="22"/>
              <w:lang w:bidi="ar-SA"/>
            </w:rPr>
          </w:pPr>
          <w:hyperlink w:anchor="_Toc55793605" w:history="1">
            <w:r w:rsidR="00D15074" w:rsidRPr="00DB1781">
              <w:rPr>
                <w:rStyle w:val="Hyperlink"/>
                <w:noProof/>
                <w:rtl/>
              </w:rPr>
              <w:t>نسخه د</w:t>
            </w:r>
            <w:r w:rsidR="00D15074" w:rsidRPr="00DB1781">
              <w:rPr>
                <w:rStyle w:val="Hyperlink"/>
                <w:rFonts w:hint="cs"/>
                <w:noProof/>
                <w:rtl/>
              </w:rPr>
              <w:t>ی</w:t>
            </w:r>
            <w:r w:rsidR="00D15074" w:rsidRPr="00DB1781">
              <w:rPr>
                <w:rStyle w:val="Hyperlink"/>
                <w:rFonts w:hint="eastAsia"/>
                <w:noProof/>
                <w:rtl/>
              </w:rPr>
              <w:t>گر</w:t>
            </w:r>
            <w:r w:rsidR="00D15074" w:rsidRPr="00DB1781">
              <w:rPr>
                <w:rStyle w:val="Hyperlink"/>
                <w:noProof/>
                <w:rtl/>
              </w:rPr>
              <w:t xml:space="preserve"> روا</w:t>
            </w:r>
            <w:r w:rsidR="00D15074" w:rsidRPr="00DB1781">
              <w:rPr>
                <w:rStyle w:val="Hyperlink"/>
                <w:rFonts w:hint="cs"/>
                <w:noProof/>
                <w:rtl/>
              </w:rPr>
              <w:t>ی</w:t>
            </w:r>
            <w:r w:rsidR="00D15074" w:rsidRPr="00DB1781">
              <w:rPr>
                <w:rStyle w:val="Hyperlink"/>
                <w:rFonts w:hint="eastAsia"/>
                <w:noProof/>
                <w:rtl/>
              </w:rPr>
              <w:t>ت</w:t>
            </w:r>
            <w:r w:rsidR="00D15074" w:rsidRPr="00DB1781">
              <w:rPr>
                <w:rStyle w:val="Hyperlink"/>
                <w:noProof/>
                <w:rtl/>
              </w:rPr>
              <w:t>:</w:t>
            </w:r>
            <w:r w:rsidR="00D15074">
              <w:rPr>
                <w:noProof/>
                <w:webHidden/>
              </w:rPr>
              <w:tab/>
            </w:r>
            <w:r w:rsidR="00D15074">
              <w:rPr>
                <w:noProof/>
                <w:webHidden/>
              </w:rPr>
              <w:fldChar w:fldCharType="begin"/>
            </w:r>
            <w:r w:rsidR="00D15074">
              <w:rPr>
                <w:noProof/>
                <w:webHidden/>
              </w:rPr>
              <w:instrText xml:space="preserve"> PAGEREF _Toc55793605 \h </w:instrText>
            </w:r>
            <w:r w:rsidR="00D15074">
              <w:rPr>
                <w:noProof/>
                <w:webHidden/>
              </w:rPr>
            </w:r>
            <w:r w:rsidR="00D15074">
              <w:rPr>
                <w:noProof/>
                <w:webHidden/>
              </w:rPr>
              <w:fldChar w:fldCharType="separate"/>
            </w:r>
            <w:r w:rsidR="00D15074">
              <w:rPr>
                <w:noProof/>
                <w:webHidden/>
              </w:rPr>
              <w:t>5</w:t>
            </w:r>
            <w:r w:rsidR="00D15074">
              <w:rPr>
                <w:noProof/>
                <w:webHidden/>
              </w:rPr>
              <w:fldChar w:fldCharType="end"/>
            </w:r>
          </w:hyperlink>
        </w:p>
        <w:p w:rsidR="00D15074" w:rsidRDefault="00D15074" w:rsidP="00D15074">
          <w:r>
            <w:rPr>
              <w:b/>
              <w:bCs/>
              <w:noProof/>
            </w:rPr>
            <w:fldChar w:fldCharType="end"/>
          </w:r>
        </w:p>
      </w:sdtContent>
    </w:sdt>
    <w:p w:rsidR="00D15074" w:rsidRDefault="00D15074" w:rsidP="00D15074">
      <w:pPr>
        <w:rPr>
          <w:rtl/>
        </w:rPr>
      </w:pPr>
    </w:p>
    <w:p w:rsidR="00D15074" w:rsidRDefault="00D15074" w:rsidP="00D15074">
      <w:pPr>
        <w:spacing w:after="0"/>
        <w:ind w:firstLine="0"/>
        <w:jc w:val="left"/>
        <w:rPr>
          <w:rtl/>
        </w:rPr>
      </w:pPr>
      <w:r>
        <w:rPr>
          <w:rtl/>
        </w:rPr>
        <w:br w:type="page"/>
      </w:r>
    </w:p>
    <w:p w:rsidR="00B1058E" w:rsidRPr="00DD2B3B" w:rsidRDefault="00B1058E" w:rsidP="00B1058E">
      <w:pPr>
        <w:jc w:val="center"/>
      </w:pPr>
      <w:bookmarkStart w:id="1" w:name="_Toc52629501"/>
      <w:bookmarkStart w:id="2" w:name="_Toc55762589"/>
      <w:r w:rsidRPr="00DD2B3B">
        <w:rPr>
          <w:rFonts w:hint="cs"/>
          <w:rtl/>
        </w:rPr>
        <w:lastRenderedPageBreak/>
        <w:t>بسم الله الرحمن الرحیم</w:t>
      </w:r>
    </w:p>
    <w:p w:rsidR="00B1058E" w:rsidRPr="00DD2B3B" w:rsidRDefault="00B1058E" w:rsidP="00B1058E">
      <w:pPr>
        <w:pStyle w:val="Heading1"/>
        <w:jc w:val="both"/>
        <w:rPr>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DD2B3B">
        <w:rPr>
          <w:rFonts w:hint="cs"/>
          <w:rtl/>
        </w:rPr>
        <w:t xml:space="preserve">موضوع: </w:t>
      </w:r>
      <w:r w:rsidRPr="00DD2B3B">
        <w:rPr>
          <w:rFonts w:hint="cs"/>
          <w:color w:val="auto"/>
          <w:rtl/>
        </w:rPr>
        <w:t>فقه / نکاح</w:t>
      </w:r>
      <w:bookmarkEnd w:id="3"/>
      <w:bookmarkEnd w:id="4"/>
      <w:bookmarkEnd w:id="5"/>
      <w:bookmarkEnd w:id="6"/>
      <w:bookmarkEnd w:id="7"/>
      <w:bookmarkEnd w:id="8"/>
      <w:bookmarkEnd w:id="9"/>
      <w:bookmarkEnd w:id="10"/>
    </w:p>
    <w:bookmarkEnd w:id="1"/>
    <w:p w:rsidR="00CC1B41" w:rsidRDefault="00B1058E" w:rsidP="00B1058E">
      <w:pPr>
        <w:pStyle w:val="Heading1"/>
        <w:rPr>
          <w:rtl/>
        </w:rPr>
      </w:pPr>
      <w:r w:rsidRPr="001E1366">
        <w:rPr>
          <w:rFonts w:hint="cs"/>
          <w:rtl/>
        </w:rPr>
        <w:t>مقدمه</w:t>
      </w:r>
      <w:bookmarkEnd w:id="2"/>
    </w:p>
    <w:p w:rsidR="00CC1B41" w:rsidRPr="00B1058E" w:rsidRDefault="00CC1B41" w:rsidP="00643046">
      <w:pPr>
        <w:rPr>
          <w:rtl/>
        </w:rPr>
      </w:pPr>
      <w:r>
        <w:rPr>
          <w:rFonts w:hint="cs"/>
          <w:rtl/>
        </w:rPr>
        <w:t xml:space="preserve">سخن در دلیل هفتم در ادله جواز نظر به وجه و کفین اجنبیه بود. ادله قبلی در کلمات متقدمین از صاحب جواهر تا آقای خوئی بود اما این دلیل طبق تتبع ما در کلمات مرحوم داماد بوده و </w:t>
      </w:r>
      <w:r w:rsidR="00D15074">
        <w:rPr>
          <w:rFonts w:hint="cs"/>
          <w:rtl/>
        </w:rPr>
        <w:t>ظاهراً</w:t>
      </w:r>
      <w:r>
        <w:rPr>
          <w:rFonts w:hint="cs"/>
          <w:rtl/>
        </w:rPr>
        <w:t xml:space="preserve"> قبلش نبوده. استظهار </w:t>
      </w:r>
      <w:r w:rsidR="00D15074">
        <w:rPr>
          <w:rFonts w:hint="cs"/>
          <w:rtl/>
        </w:rPr>
        <w:t>نسبتاً</w:t>
      </w:r>
      <w:r>
        <w:rPr>
          <w:rFonts w:hint="cs"/>
          <w:rtl/>
        </w:rPr>
        <w:t xml:space="preserve"> دقیق و مناسبی هم هست. گفته شد در این حدیث دو تقریر برای استدلال وجود دارد که تقریر اول را بحث کردیم و آنچه در کلام مرحوم داماد و تقریر آمده بود را بسط دادیم </w:t>
      </w:r>
      <w:r w:rsidR="00D15074" w:rsidRPr="00B1058E">
        <w:rPr>
          <w:rFonts w:hint="cs"/>
          <w:rtl/>
        </w:rPr>
        <w:t>نهایتاً</w:t>
      </w:r>
      <w:r w:rsidRPr="00B1058E">
        <w:rPr>
          <w:rFonts w:hint="cs"/>
          <w:rtl/>
        </w:rPr>
        <w:t xml:space="preserve"> ترجیح داده شد که چنین ارتکاز و تأییدی نسبت به آن در روایت وجود دارد.</w:t>
      </w:r>
    </w:p>
    <w:p w:rsidR="008F1823" w:rsidRPr="00B1058E" w:rsidRDefault="008F1823" w:rsidP="008F1823">
      <w:pPr>
        <w:spacing w:before="100" w:beforeAutospacing="1" w:after="100" w:afterAutospacing="1"/>
        <w:ind w:firstLine="0"/>
        <w:rPr>
          <w:rFonts w:eastAsia="Times New Roman"/>
          <w:sz w:val="30"/>
          <w:szCs w:val="30"/>
          <w:rtl/>
        </w:rPr>
      </w:pPr>
      <w:r w:rsidRPr="00B1058E">
        <w:rPr>
          <w:rFonts w:eastAsia="Times New Roman"/>
          <w:sz w:val="30"/>
          <w:szCs w:val="30"/>
          <w:rtl/>
        </w:rPr>
        <w:t xml:space="preserve">عَبْدُ اللَّهِ بْنُ جَعْفَرٍ فِي قُرْبِ الْإِسْنَادِ عَنْ أَحْمَدَ بْنِ مُحَمَّدِ بْنِ عِيسَى عَنْ أَحْمَدَ بْنِ مُحَمَّدِ بْنِ أَبِي نَصْرٍ عَنِ الرِّضَا ع قَالَ: </w:t>
      </w:r>
      <w:r w:rsidR="00B1058E">
        <w:rPr>
          <w:rFonts w:eastAsia="Times New Roman" w:hint="cs"/>
          <w:sz w:val="30"/>
          <w:szCs w:val="30"/>
          <w:rtl/>
        </w:rPr>
        <w:t>«</w:t>
      </w:r>
      <w:r w:rsidRPr="00B1058E">
        <w:rPr>
          <w:rFonts w:eastAsia="Times New Roman"/>
          <w:color w:val="008000"/>
          <w:sz w:val="30"/>
          <w:szCs w:val="30"/>
          <w:rtl/>
        </w:rPr>
        <w:t>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r w:rsidR="00B1058E">
        <w:rPr>
          <w:rFonts w:eastAsia="Times New Roman" w:hint="cs"/>
          <w:sz w:val="30"/>
          <w:szCs w:val="30"/>
          <w:rtl/>
        </w:rPr>
        <w:t>»</w:t>
      </w:r>
      <w:r w:rsidRPr="00B1058E">
        <w:rPr>
          <w:rFonts w:eastAsia="Times New Roman"/>
          <w:sz w:val="30"/>
          <w:szCs w:val="30"/>
          <w:rtl/>
        </w:rPr>
        <w:t>.</w:t>
      </w:r>
      <w:r w:rsidRPr="00B1058E">
        <w:rPr>
          <w:rFonts w:eastAsia="2  Lotus"/>
          <w:sz w:val="30"/>
          <w:szCs w:val="30"/>
          <w:vertAlign w:val="superscript"/>
          <w:rtl/>
        </w:rPr>
        <w:footnoteReference w:id="1"/>
      </w:r>
    </w:p>
    <w:p w:rsidR="00D15074" w:rsidRPr="008F1823" w:rsidRDefault="00D15074" w:rsidP="00D15074">
      <w:pPr>
        <w:pStyle w:val="Heading2"/>
        <w:rPr>
          <w:color w:val="552B2B"/>
          <w:rtl/>
        </w:rPr>
      </w:pPr>
      <w:bookmarkStart w:id="11" w:name="_Toc55793599"/>
      <w:r>
        <w:rPr>
          <w:rFonts w:hint="cs"/>
          <w:rtl/>
        </w:rPr>
        <w:t>تقریر دوم</w:t>
      </w:r>
      <w:bookmarkEnd w:id="11"/>
    </w:p>
    <w:p w:rsidR="00CC1B41" w:rsidRDefault="00CC1B41" w:rsidP="00CC1B41">
      <w:pPr>
        <w:rPr>
          <w:rtl/>
        </w:rPr>
      </w:pPr>
      <w:r>
        <w:rPr>
          <w:rFonts w:hint="cs"/>
          <w:rtl/>
        </w:rPr>
        <w:t xml:space="preserve">تقریر دوم برای استدلال به این حدیث </w:t>
      </w:r>
      <w:r w:rsidR="00D15074">
        <w:rPr>
          <w:rFonts w:hint="cs"/>
          <w:rtl/>
        </w:rPr>
        <w:t>به‌منظور</w:t>
      </w:r>
      <w:r>
        <w:rPr>
          <w:rFonts w:hint="cs"/>
          <w:rtl/>
        </w:rPr>
        <w:t xml:space="preserve"> اثبات جواز نظر بیان تعلیقه این تقریر است </w:t>
      </w:r>
      <w:r w:rsidR="00D15074">
        <w:rPr>
          <w:rFonts w:hint="cs"/>
          <w:rtl/>
        </w:rPr>
        <w:t>ظاهراً</w:t>
      </w:r>
      <w:r>
        <w:rPr>
          <w:rFonts w:hint="cs"/>
          <w:rtl/>
        </w:rPr>
        <w:t xml:space="preserve"> </w:t>
      </w:r>
      <w:r w:rsidR="00D15074">
        <w:rPr>
          <w:rFonts w:hint="cs"/>
          <w:rtl/>
        </w:rPr>
        <w:t>از خود</w:t>
      </w:r>
      <w:r>
        <w:rPr>
          <w:rFonts w:hint="cs"/>
          <w:rtl/>
        </w:rPr>
        <w:t xml:space="preserve"> مرحوم </w:t>
      </w:r>
      <w:r w:rsidR="00D15074">
        <w:rPr>
          <w:rFonts w:hint="cs"/>
          <w:rtl/>
        </w:rPr>
        <w:t>مؤمن</w:t>
      </w:r>
      <w:r>
        <w:rPr>
          <w:rFonts w:hint="cs"/>
          <w:rtl/>
        </w:rPr>
        <w:t xml:space="preserve"> است. بیان دوم این است که در ذیل که بزنطی </w:t>
      </w:r>
      <w:r w:rsidR="00D15074">
        <w:rPr>
          <w:rFonts w:hint="cs"/>
          <w:rtl/>
        </w:rPr>
        <w:t>سؤال</w:t>
      </w:r>
      <w:r>
        <w:rPr>
          <w:rFonts w:hint="cs"/>
          <w:rtl/>
        </w:rPr>
        <w:t xml:space="preserve"> کرد که </w:t>
      </w:r>
      <w:r w:rsidR="00247A40">
        <w:rPr>
          <w:rFonts w:hint="cs"/>
          <w:rtl/>
        </w:rPr>
        <w:t>«</w:t>
      </w:r>
      <w:r w:rsidRPr="00247A40">
        <w:rPr>
          <w:rFonts w:hint="cs"/>
          <w:color w:val="008000"/>
          <w:rtl/>
        </w:rPr>
        <w:t>فما لی من النظر الیهم منها</w:t>
      </w:r>
      <w:r w:rsidR="00247A40">
        <w:rPr>
          <w:rFonts w:hint="cs"/>
          <w:rtl/>
        </w:rPr>
        <w:t>»</w:t>
      </w:r>
      <w:r>
        <w:rPr>
          <w:rFonts w:hint="cs"/>
          <w:rtl/>
        </w:rPr>
        <w:t xml:space="preserve"> امام فرمود </w:t>
      </w:r>
      <w:r w:rsidR="00247A40">
        <w:rPr>
          <w:rFonts w:hint="cs"/>
          <w:rtl/>
        </w:rPr>
        <w:t>«</w:t>
      </w:r>
      <w:r w:rsidRPr="00247A40">
        <w:rPr>
          <w:rFonts w:hint="cs"/>
          <w:color w:val="008000"/>
          <w:rtl/>
        </w:rPr>
        <w:t>شعرها و ذراعها</w:t>
      </w:r>
      <w:r w:rsidR="00247A40">
        <w:rPr>
          <w:rFonts w:hint="cs"/>
          <w:rtl/>
        </w:rPr>
        <w:t>»</w:t>
      </w:r>
      <w:r>
        <w:rPr>
          <w:rFonts w:hint="cs"/>
          <w:rtl/>
        </w:rPr>
        <w:t xml:space="preserve"> این پرسش و پاسخ </w:t>
      </w:r>
      <w:r w:rsidR="00D15074">
        <w:rPr>
          <w:rFonts w:hint="cs"/>
          <w:rtl/>
        </w:rPr>
        <w:t>می‌تواند</w:t>
      </w:r>
      <w:r>
        <w:rPr>
          <w:rFonts w:hint="cs"/>
          <w:rtl/>
        </w:rPr>
        <w:t xml:space="preserve"> با همان نگاه مورد مداقه قرار بگیرد و از </w:t>
      </w:r>
      <w:r w:rsidR="00D15074">
        <w:rPr>
          <w:rFonts w:hint="cs"/>
          <w:rtl/>
        </w:rPr>
        <w:t>آن‌یک</w:t>
      </w:r>
      <w:r>
        <w:rPr>
          <w:rFonts w:hint="cs"/>
          <w:rtl/>
        </w:rPr>
        <w:t xml:space="preserve"> مدلول التزامی فراتر </w:t>
      </w:r>
      <w:r w:rsidR="00D15074">
        <w:rPr>
          <w:rFonts w:hint="cs"/>
          <w:rtl/>
        </w:rPr>
        <w:t>ازآنچه</w:t>
      </w:r>
      <w:r>
        <w:rPr>
          <w:rFonts w:hint="cs"/>
          <w:rtl/>
        </w:rPr>
        <w:t xml:space="preserve"> در متن آمده استفاده کرد. </w:t>
      </w:r>
      <w:r w:rsidR="00D15074">
        <w:rPr>
          <w:rFonts w:hint="cs"/>
          <w:rtl/>
        </w:rPr>
        <w:t>طبعاً</w:t>
      </w:r>
      <w:r>
        <w:rPr>
          <w:rFonts w:hint="cs"/>
          <w:rtl/>
        </w:rPr>
        <w:t xml:space="preserve"> مدلول مطابقی و دلالت صریح در اینجا نیست اما نکاتی وجود دارد که </w:t>
      </w:r>
      <w:r w:rsidR="00D15074">
        <w:rPr>
          <w:rFonts w:hint="cs"/>
          <w:rtl/>
        </w:rPr>
        <w:t>می‌شود</w:t>
      </w:r>
      <w:r>
        <w:rPr>
          <w:rFonts w:hint="cs"/>
          <w:rtl/>
        </w:rPr>
        <w:t xml:space="preserve"> مدلول التزامی و غیر تصریحی را استفاده کرد. نکاتی را باید توجه کرد:</w:t>
      </w:r>
    </w:p>
    <w:p w:rsidR="00CC1B41" w:rsidRDefault="00D15074" w:rsidP="00D15074">
      <w:pPr>
        <w:pStyle w:val="Heading3"/>
        <w:rPr>
          <w:rtl/>
        </w:rPr>
      </w:pPr>
      <w:bookmarkStart w:id="12" w:name="_Toc55793600"/>
      <w:r>
        <w:rPr>
          <w:rFonts w:hint="cs"/>
          <w:rtl/>
        </w:rPr>
        <w:t>مقدمه</w:t>
      </w:r>
      <w:r w:rsidR="00CC1B41">
        <w:rPr>
          <w:rFonts w:hint="cs"/>
          <w:rtl/>
        </w:rPr>
        <w:t xml:space="preserve"> اول:</w:t>
      </w:r>
      <w:bookmarkEnd w:id="12"/>
      <w:r w:rsidR="00CC1B41">
        <w:rPr>
          <w:rFonts w:hint="cs"/>
          <w:rtl/>
        </w:rPr>
        <w:t xml:space="preserve"> </w:t>
      </w:r>
    </w:p>
    <w:p w:rsidR="00CC1B41" w:rsidRDefault="00CC1B41" w:rsidP="00CC1B41">
      <w:pPr>
        <w:rPr>
          <w:rtl/>
        </w:rPr>
      </w:pPr>
      <w:r>
        <w:rPr>
          <w:rFonts w:hint="cs"/>
          <w:rtl/>
        </w:rPr>
        <w:t xml:space="preserve">حصر از این بخش روایت استفاده </w:t>
      </w:r>
      <w:r w:rsidR="00D15074">
        <w:rPr>
          <w:rFonts w:hint="cs"/>
          <w:rtl/>
        </w:rPr>
        <w:t>می‌شود</w:t>
      </w:r>
      <w:r w:rsidR="00247A40">
        <w:rPr>
          <w:rtl/>
        </w:rPr>
        <w:t xml:space="preserve">؛ </w:t>
      </w:r>
      <w:r>
        <w:rPr>
          <w:rFonts w:hint="cs"/>
          <w:rtl/>
        </w:rPr>
        <w:t xml:space="preserve">زیرا سائل </w:t>
      </w:r>
      <w:r w:rsidR="00D15074">
        <w:rPr>
          <w:rFonts w:hint="cs"/>
          <w:rtl/>
        </w:rPr>
        <w:t>می‌گوید</w:t>
      </w:r>
      <w:r>
        <w:rPr>
          <w:rFonts w:hint="cs"/>
          <w:rtl/>
        </w:rPr>
        <w:t xml:space="preserve"> مالی من النظر الیهم منها؟ </w:t>
      </w:r>
      <w:r w:rsidR="00D15074">
        <w:rPr>
          <w:rFonts w:hint="cs"/>
          <w:rtl/>
        </w:rPr>
        <w:t>سؤال</w:t>
      </w:r>
      <w:r>
        <w:rPr>
          <w:rFonts w:hint="cs"/>
          <w:rtl/>
        </w:rPr>
        <w:t xml:space="preserve"> از امام به این منظور است که امام تحدید کند و همه جوانب مسئله نسبت به زنان قواعد را مشخص کند. زنان بازنشسته و دارای سن بالا که امام فرمود نگاه جایز است به ذهن سائل آمد به کدام </w:t>
      </w:r>
      <w:r w:rsidR="00D15074">
        <w:rPr>
          <w:rFonts w:hint="cs"/>
          <w:rtl/>
        </w:rPr>
        <w:t>قسمت‌ها</w:t>
      </w:r>
      <w:r>
        <w:rPr>
          <w:rFonts w:hint="cs"/>
          <w:rtl/>
        </w:rPr>
        <w:t xml:space="preserve"> از بدن او </w:t>
      </w:r>
      <w:r w:rsidR="00D15074">
        <w:rPr>
          <w:rFonts w:hint="cs"/>
          <w:rtl/>
        </w:rPr>
        <w:t>می‌شود</w:t>
      </w:r>
      <w:r>
        <w:rPr>
          <w:rFonts w:hint="cs"/>
          <w:rtl/>
        </w:rPr>
        <w:t xml:space="preserve"> نگاه کرد؟ </w:t>
      </w:r>
      <w:r w:rsidR="00D15074">
        <w:rPr>
          <w:rFonts w:hint="cs"/>
          <w:rtl/>
        </w:rPr>
        <w:t>سؤال</w:t>
      </w:r>
      <w:r>
        <w:rPr>
          <w:rFonts w:hint="cs"/>
          <w:rtl/>
        </w:rPr>
        <w:t xml:space="preserve"> او از تمام آنچه جواز نگاه کرد دارد است. </w:t>
      </w:r>
      <w:r w:rsidR="00247A40">
        <w:rPr>
          <w:rFonts w:hint="cs"/>
          <w:rtl/>
        </w:rPr>
        <w:t>«</w:t>
      </w:r>
      <w:r w:rsidRPr="00247A40">
        <w:rPr>
          <w:rFonts w:hint="cs"/>
          <w:color w:val="008000"/>
          <w:rtl/>
        </w:rPr>
        <w:t>فما لی من النظر الیه منها</w:t>
      </w:r>
      <w:r w:rsidR="00247A40">
        <w:rPr>
          <w:rFonts w:hint="cs"/>
          <w:rtl/>
        </w:rPr>
        <w:t>»</w:t>
      </w:r>
      <w:r>
        <w:rPr>
          <w:rFonts w:hint="cs"/>
          <w:rtl/>
        </w:rPr>
        <w:t xml:space="preserve">. چه عضوهایی از قواعد را </w:t>
      </w:r>
      <w:r w:rsidR="00D15074">
        <w:rPr>
          <w:rFonts w:hint="cs"/>
          <w:rtl/>
        </w:rPr>
        <w:t>می‌شود</w:t>
      </w:r>
      <w:r>
        <w:rPr>
          <w:rFonts w:hint="cs"/>
          <w:rtl/>
        </w:rPr>
        <w:t xml:space="preserve"> نگاه کرد؟ </w:t>
      </w:r>
      <w:r w:rsidR="00D15074">
        <w:rPr>
          <w:rFonts w:hint="cs"/>
          <w:rtl/>
        </w:rPr>
        <w:t>استفاده‌اش</w:t>
      </w:r>
      <w:r>
        <w:rPr>
          <w:rFonts w:hint="cs"/>
          <w:rtl/>
        </w:rPr>
        <w:t xml:space="preserve"> این است که اصل این است که نگاه ن</w:t>
      </w:r>
      <w:r w:rsidR="00D15074">
        <w:rPr>
          <w:rFonts w:hint="cs"/>
          <w:rtl/>
        </w:rPr>
        <w:t>می‌شود</w:t>
      </w:r>
      <w:r>
        <w:rPr>
          <w:rFonts w:hint="cs"/>
          <w:rtl/>
        </w:rPr>
        <w:t xml:space="preserve"> و </w:t>
      </w:r>
      <w:r w:rsidR="00D15074">
        <w:rPr>
          <w:rFonts w:hint="cs"/>
          <w:rtl/>
        </w:rPr>
        <w:t>سؤال</w:t>
      </w:r>
      <w:r>
        <w:rPr>
          <w:rFonts w:hint="cs"/>
          <w:rtl/>
        </w:rPr>
        <w:t xml:space="preserve"> از تمام آن اعضایی است که </w:t>
      </w:r>
      <w:r w:rsidR="00D15074">
        <w:rPr>
          <w:rFonts w:hint="cs"/>
          <w:rtl/>
        </w:rPr>
        <w:t>می‌شود</w:t>
      </w:r>
      <w:r>
        <w:rPr>
          <w:rFonts w:hint="cs"/>
          <w:rtl/>
        </w:rPr>
        <w:t xml:space="preserve"> به آن نگاه کرد. چون </w:t>
      </w:r>
      <w:r w:rsidR="00D15074">
        <w:rPr>
          <w:rFonts w:hint="cs"/>
          <w:rtl/>
        </w:rPr>
        <w:t>سؤال</w:t>
      </w:r>
      <w:r>
        <w:rPr>
          <w:rFonts w:hint="cs"/>
          <w:rtl/>
        </w:rPr>
        <w:t xml:space="preserve"> از تمام آن چیزی است که نظر به آن جایز است جواب امام هم </w:t>
      </w:r>
      <w:r>
        <w:rPr>
          <w:rFonts w:hint="cs"/>
          <w:rtl/>
        </w:rPr>
        <w:lastRenderedPageBreak/>
        <w:t xml:space="preserve">معطوف به همین است. در اینجا ادات حصر نداریم اما </w:t>
      </w:r>
      <w:r w:rsidR="00D15074">
        <w:rPr>
          <w:rFonts w:hint="cs"/>
          <w:rtl/>
        </w:rPr>
        <w:t>مناسب‌های</w:t>
      </w:r>
      <w:r>
        <w:rPr>
          <w:rFonts w:hint="cs"/>
          <w:rtl/>
        </w:rPr>
        <w:t xml:space="preserve"> حکم و موضوع و قرائنی که در روایت وجود دارد که </w:t>
      </w:r>
      <w:r w:rsidR="00D15074">
        <w:rPr>
          <w:rFonts w:hint="cs"/>
          <w:rtl/>
        </w:rPr>
        <w:t>عمدتاً</w:t>
      </w:r>
      <w:r>
        <w:rPr>
          <w:rFonts w:hint="cs"/>
          <w:rtl/>
        </w:rPr>
        <w:t xml:space="preserve"> انتظار راوی است و با ادات حصر نیامده است و </w:t>
      </w:r>
      <w:r w:rsidR="00D15074">
        <w:rPr>
          <w:rFonts w:hint="cs"/>
          <w:rtl/>
        </w:rPr>
        <w:t>به‌صراحت</w:t>
      </w:r>
      <w:r>
        <w:rPr>
          <w:rFonts w:hint="cs"/>
          <w:rtl/>
        </w:rPr>
        <w:t xml:space="preserve"> نگفته تمام موارد را برای من بگویید ولی مقام این را افاده </w:t>
      </w:r>
      <w:r w:rsidR="00D15074">
        <w:rPr>
          <w:rFonts w:hint="cs"/>
          <w:rtl/>
        </w:rPr>
        <w:t>می‌کند</w:t>
      </w:r>
      <w:r>
        <w:rPr>
          <w:rFonts w:hint="cs"/>
          <w:rtl/>
        </w:rPr>
        <w:t xml:space="preserve">. </w:t>
      </w:r>
    </w:p>
    <w:p w:rsidR="00CC1B41" w:rsidRDefault="00CC1B41" w:rsidP="00CC1B41">
      <w:pPr>
        <w:rPr>
          <w:rtl/>
        </w:rPr>
      </w:pPr>
      <w:r>
        <w:rPr>
          <w:rFonts w:hint="cs"/>
          <w:rtl/>
        </w:rPr>
        <w:t xml:space="preserve">پس نکته اول این است که انتظار حصری از </w:t>
      </w:r>
      <w:r w:rsidR="00D15074">
        <w:rPr>
          <w:rFonts w:hint="cs"/>
          <w:rtl/>
        </w:rPr>
        <w:t>سؤال</w:t>
      </w:r>
      <w:r>
        <w:rPr>
          <w:rFonts w:hint="cs"/>
          <w:rtl/>
        </w:rPr>
        <w:t xml:space="preserve"> به دست </w:t>
      </w:r>
      <w:r w:rsidR="00D15074">
        <w:rPr>
          <w:rFonts w:hint="cs"/>
          <w:rtl/>
        </w:rPr>
        <w:t>می‌آید</w:t>
      </w:r>
      <w:r>
        <w:rPr>
          <w:rFonts w:hint="cs"/>
          <w:rtl/>
        </w:rPr>
        <w:t xml:space="preserve">. ولو اینکه ادات حصر در </w:t>
      </w:r>
      <w:r w:rsidR="00D15074">
        <w:rPr>
          <w:rFonts w:hint="cs"/>
          <w:rtl/>
        </w:rPr>
        <w:t>سؤال</w:t>
      </w:r>
      <w:r>
        <w:rPr>
          <w:rFonts w:hint="cs"/>
          <w:rtl/>
        </w:rPr>
        <w:t xml:space="preserve"> نیست ولی سائل </w:t>
      </w:r>
      <w:r w:rsidR="00D15074">
        <w:rPr>
          <w:rFonts w:hint="cs"/>
          <w:rtl/>
        </w:rPr>
        <w:t>می‌گوید</w:t>
      </w:r>
      <w:r>
        <w:rPr>
          <w:rFonts w:hint="cs"/>
          <w:rtl/>
        </w:rPr>
        <w:t xml:space="preserve"> مالی من النظر الیه منها. چه مقدار را </w:t>
      </w:r>
      <w:r w:rsidR="00D15074">
        <w:rPr>
          <w:rFonts w:hint="cs"/>
          <w:rtl/>
        </w:rPr>
        <w:t>می‌توانم</w:t>
      </w:r>
      <w:r>
        <w:rPr>
          <w:rFonts w:hint="cs"/>
          <w:rtl/>
        </w:rPr>
        <w:t xml:space="preserve"> نگاه کنم. قاعده این است که امام هم که این را جواب </w:t>
      </w:r>
      <w:r w:rsidR="00D15074">
        <w:rPr>
          <w:rFonts w:hint="cs"/>
          <w:rtl/>
        </w:rPr>
        <w:t>می‌دهند</w:t>
      </w:r>
      <w:r>
        <w:rPr>
          <w:rFonts w:hint="cs"/>
          <w:rtl/>
        </w:rPr>
        <w:t xml:space="preserve"> امری که متفاهم از </w:t>
      </w:r>
      <w:r w:rsidR="00D15074">
        <w:rPr>
          <w:rFonts w:hint="cs"/>
          <w:rtl/>
        </w:rPr>
        <w:t>سؤال</w:t>
      </w:r>
      <w:r>
        <w:rPr>
          <w:rFonts w:hint="cs"/>
          <w:rtl/>
        </w:rPr>
        <w:t xml:space="preserve"> که حصر است را جواب </w:t>
      </w:r>
      <w:r w:rsidR="00D15074">
        <w:rPr>
          <w:rFonts w:hint="cs"/>
          <w:rtl/>
        </w:rPr>
        <w:t>می‌دهند</w:t>
      </w:r>
      <w:r>
        <w:rPr>
          <w:rFonts w:hint="cs"/>
          <w:rtl/>
        </w:rPr>
        <w:t>. امام تنها اثباتا</w:t>
      </w:r>
      <w:r w:rsidR="00247A40">
        <w:rPr>
          <w:rFonts w:hint="cs"/>
          <w:rtl/>
        </w:rPr>
        <w:t>ً</w:t>
      </w:r>
      <w:r>
        <w:rPr>
          <w:rFonts w:hint="cs"/>
          <w:rtl/>
        </w:rPr>
        <w:t xml:space="preserve"> </w:t>
      </w:r>
      <w:r w:rsidR="00D15074">
        <w:rPr>
          <w:rFonts w:hint="cs"/>
          <w:rtl/>
        </w:rPr>
        <w:t>نمی‌گویند</w:t>
      </w:r>
      <w:r>
        <w:rPr>
          <w:rFonts w:hint="cs"/>
          <w:rtl/>
        </w:rPr>
        <w:t xml:space="preserve"> </w:t>
      </w:r>
      <w:r w:rsidR="00D15074">
        <w:rPr>
          <w:rFonts w:hint="cs"/>
          <w:rtl/>
        </w:rPr>
        <w:t>این‌ها</w:t>
      </w:r>
      <w:r>
        <w:rPr>
          <w:rFonts w:hint="cs"/>
          <w:rtl/>
        </w:rPr>
        <w:t xml:space="preserve"> جایز است بلکه </w:t>
      </w:r>
      <w:r w:rsidR="00D15074">
        <w:rPr>
          <w:rFonts w:hint="cs"/>
          <w:rtl/>
        </w:rPr>
        <w:t>می‌گویند</w:t>
      </w:r>
      <w:r>
        <w:rPr>
          <w:rFonts w:hint="cs"/>
          <w:rtl/>
        </w:rPr>
        <w:t xml:space="preserve"> </w:t>
      </w:r>
      <w:r w:rsidR="00D15074">
        <w:rPr>
          <w:rFonts w:hint="cs"/>
          <w:rtl/>
        </w:rPr>
        <w:t>این‌ها</w:t>
      </w:r>
      <w:r>
        <w:rPr>
          <w:rFonts w:hint="cs"/>
          <w:rtl/>
        </w:rPr>
        <w:t xml:space="preserve"> جایز است و غیر </w:t>
      </w:r>
      <w:r w:rsidR="00D15074">
        <w:rPr>
          <w:rFonts w:hint="cs"/>
          <w:rtl/>
        </w:rPr>
        <w:t>این‌ها</w:t>
      </w:r>
      <w:r>
        <w:rPr>
          <w:rFonts w:hint="cs"/>
          <w:rtl/>
        </w:rPr>
        <w:t xml:space="preserve"> جایز نیست. </w:t>
      </w:r>
      <w:r w:rsidR="00D15074">
        <w:rPr>
          <w:rFonts w:hint="cs"/>
          <w:rtl/>
        </w:rPr>
        <w:t>بااینکه</w:t>
      </w:r>
      <w:r>
        <w:rPr>
          <w:rFonts w:hint="cs"/>
          <w:rtl/>
        </w:rPr>
        <w:t xml:space="preserve"> نه در کلام سائل نه جواب امام نشانی از ادات حصر نیست اما از قرائن حصر را به دست </w:t>
      </w:r>
      <w:r w:rsidR="00D15074">
        <w:rPr>
          <w:rFonts w:hint="cs"/>
          <w:rtl/>
        </w:rPr>
        <w:t>می‌آوریم</w:t>
      </w:r>
      <w:r>
        <w:rPr>
          <w:rFonts w:hint="cs"/>
          <w:rtl/>
        </w:rPr>
        <w:t xml:space="preserve">. قرینه این است که با توجه به مجموعه مرتکزات سائل </w:t>
      </w:r>
      <w:r w:rsidR="00D15074">
        <w:rPr>
          <w:rFonts w:hint="cs"/>
          <w:rtl/>
        </w:rPr>
        <w:t>می‌گوید</w:t>
      </w:r>
      <w:r>
        <w:rPr>
          <w:rFonts w:hint="cs"/>
          <w:rtl/>
        </w:rPr>
        <w:t xml:space="preserve"> قواعد که از زنان نامحرم استثنا شده تمام آنچه استثنا شده را بگویید. </w:t>
      </w:r>
      <w:r w:rsidR="00D15074">
        <w:rPr>
          <w:rFonts w:hint="cs"/>
          <w:rtl/>
        </w:rPr>
        <w:t>قاعدتاً</w:t>
      </w:r>
      <w:r>
        <w:rPr>
          <w:rFonts w:hint="cs"/>
          <w:rtl/>
        </w:rPr>
        <w:t xml:space="preserve"> امام باید تمام </w:t>
      </w:r>
      <w:r w:rsidR="00D15074">
        <w:rPr>
          <w:rFonts w:hint="cs"/>
          <w:rtl/>
        </w:rPr>
        <w:t>سؤال</w:t>
      </w:r>
      <w:r>
        <w:rPr>
          <w:rFonts w:hint="cs"/>
          <w:rtl/>
        </w:rPr>
        <w:t xml:space="preserve"> را جواب دهد. این استفاده عرف است. پس برای وجود حصر </w:t>
      </w:r>
      <w:r w:rsidR="00D15074">
        <w:rPr>
          <w:rFonts w:hint="cs"/>
          <w:rtl/>
        </w:rPr>
        <w:t>علی‌رغم</w:t>
      </w:r>
      <w:r>
        <w:rPr>
          <w:rFonts w:hint="cs"/>
          <w:rtl/>
        </w:rPr>
        <w:t xml:space="preserve"> عدم وجود ادات حصر دو مقدمه را باید طی کنیم:</w:t>
      </w:r>
    </w:p>
    <w:p w:rsidR="00CC1B41" w:rsidRDefault="00CC1B41" w:rsidP="00CC1B41">
      <w:pPr>
        <w:pStyle w:val="ListParagraph"/>
        <w:numPr>
          <w:ilvl w:val="0"/>
          <w:numId w:val="33"/>
        </w:numPr>
      </w:pPr>
      <w:r>
        <w:rPr>
          <w:rFonts w:hint="cs"/>
          <w:rtl/>
        </w:rPr>
        <w:t xml:space="preserve">در </w:t>
      </w:r>
      <w:r w:rsidR="00D15074">
        <w:rPr>
          <w:rFonts w:hint="cs"/>
          <w:rtl/>
        </w:rPr>
        <w:t>سؤال</w:t>
      </w:r>
      <w:r>
        <w:rPr>
          <w:rFonts w:hint="cs"/>
          <w:rtl/>
        </w:rPr>
        <w:t xml:space="preserve"> انتظار و توقع بیان تمام آنچه یجوز النظر الیها هست عرفا استفاده </w:t>
      </w:r>
      <w:r w:rsidR="00D15074">
        <w:rPr>
          <w:rFonts w:hint="cs"/>
          <w:rtl/>
        </w:rPr>
        <w:t>می‌شود</w:t>
      </w:r>
      <w:r>
        <w:rPr>
          <w:rFonts w:hint="cs"/>
          <w:rtl/>
        </w:rPr>
        <w:t xml:space="preserve">. </w:t>
      </w:r>
    </w:p>
    <w:p w:rsidR="00CC1B41" w:rsidRDefault="00CC1B41" w:rsidP="00CC1B41">
      <w:pPr>
        <w:pStyle w:val="ListParagraph"/>
        <w:numPr>
          <w:ilvl w:val="0"/>
          <w:numId w:val="33"/>
        </w:numPr>
      </w:pPr>
      <w:r>
        <w:rPr>
          <w:rFonts w:hint="cs"/>
          <w:rtl/>
        </w:rPr>
        <w:t xml:space="preserve">امام هم </w:t>
      </w:r>
      <w:r w:rsidR="00D15074">
        <w:rPr>
          <w:rFonts w:hint="cs"/>
          <w:rtl/>
        </w:rPr>
        <w:t>قاعدتاً</w:t>
      </w:r>
      <w:r>
        <w:rPr>
          <w:rFonts w:hint="cs"/>
          <w:rtl/>
        </w:rPr>
        <w:t xml:space="preserve"> به تمام آنچه سائل </w:t>
      </w:r>
      <w:r w:rsidR="00D15074">
        <w:rPr>
          <w:rFonts w:hint="cs"/>
          <w:rtl/>
        </w:rPr>
        <w:t>سؤال</w:t>
      </w:r>
      <w:r>
        <w:rPr>
          <w:rFonts w:hint="cs"/>
          <w:rtl/>
        </w:rPr>
        <w:t xml:space="preserve"> کرده جواب </w:t>
      </w:r>
      <w:r w:rsidR="00D15074">
        <w:rPr>
          <w:rFonts w:hint="cs"/>
          <w:rtl/>
        </w:rPr>
        <w:t>می‌دهد</w:t>
      </w:r>
      <w:r>
        <w:rPr>
          <w:rFonts w:hint="cs"/>
          <w:rtl/>
        </w:rPr>
        <w:t xml:space="preserve">. اصل عقلایی این است. قواعد اصولی اینجا به کار </w:t>
      </w:r>
      <w:r w:rsidR="00D15074">
        <w:rPr>
          <w:rFonts w:hint="cs"/>
          <w:rtl/>
        </w:rPr>
        <w:t>می‌رود</w:t>
      </w:r>
      <w:r>
        <w:rPr>
          <w:rFonts w:hint="cs"/>
          <w:rtl/>
        </w:rPr>
        <w:t>.</w:t>
      </w:r>
    </w:p>
    <w:p w:rsidR="00CC1B41" w:rsidRDefault="00CC1B41" w:rsidP="00CC1B41">
      <w:pPr>
        <w:rPr>
          <w:rtl/>
        </w:rPr>
      </w:pPr>
      <w:r>
        <w:rPr>
          <w:rFonts w:hint="cs"/>
          <w:rtl/>
        </w:rPr>
        <w:t xml:space="preserve">نتیجه این </w:t>
      </w:r>
      <w:r w:rsidR="00D15074">
        <w:rPr>
          <w:rFonts w:hint="cs"/>
          <w:rtl/>
        </w:rPr>
        <w:t>می‌شود</w:t>
      </w:r>
      <w:r>
        <w:rPr>
          <w:rFonts w:hint="cs"/>
          <w:rtl/>
        </w:rPr>
        <w:t xml:space="preserve"> که امام در مقام حصر است. شبیه اطلاق مقامی است. در مقام بیان تمام چیزی است که از او </w:t>
      </w:r>
      <w:r w:rsidR="00D15074">
        <w:rPr>
          <w:rFonts w:hint="cs"/>
          <w:rtl/>
        </w:rPr>
        <w:t>سؤال</w:t>
      </w:r>
      <w:r>
        <w:rPr>
          <w:rFonts w:hint="cs"/>
          <w:rtl/>
        </w:rPr>
        <w:t xml:space="preserve"> شده و فقط گفته شعرها و ذراعها. پس این روایت را در خاطر </w:t>
      </w:r>
      <w:r w:rsidR="00D15074">
        <w:rPr>
          <w:rFonts w:hint="cs"/>
          <w:rtl/>
        </w:rPr>
        <w:t>نگاه‌دارید</w:t>
      </w:r>
      <w:r>
        <w:rPr>
          <w:rFonts w:hint="cs"/>
          <w:rtl/>
        </w:rPr>
        <w:t xml:space="preserve"> وقتی در مورد قواعد بحث کردیم این روایت دلیل است که فقط شعر و ذراع استثنا است و روایت دیگر که توسعه </w:t>
      </w:r>
      <w:r w:rsidR="00D15074">
        <w:rPr>
          <w:rFonts w:hint="cs"/>
          <w:rtl/>
        </w:rPr>
        <w:t>می‌دهد</w:t>
      </w:r>
      <w:r>
        <w:rPr>
          <w:rFonts w:hint="cs"/>
          <w:rtl/>
        </w:rPr>
        <w:t xml:space="preserve"> نستبش را </w:t>
      </w:r>
      <w:r w:rsidR="00D15074">
        <w:rPr>
          <w:rFonts w:hint="cs"/>
          <w:rtl/>
        </w:rPr>
        <w:t>باملاحظه</w:t>
      </w:r>
      <w:r>
        <w:rPr>
          <w:rFonts w:hint="cs"/>
          <w:rtl/>
        </w:rPr>
        <w:t xml:space="preserve"> این حصر ببینیم که جناب آقای پور اکبر معارضه </w:t>
      </w:r>
      <w:r w:rsidR="00D15074">
        <w:rPr>
          <w:rFonts w:hint="cs"/>
          <w:rtl/>
        </w:rPr>
        <w:t>می‌بینند</w:t>
      </w:r>
      <w:r>
        <w:rPr>
          <w:rFonts w:hint="cs"/>
          <w:rtl/>
        </w:rPr>
        <w:t xml:space="preserve"> اما ما </w:t>
      </w:r>
      <w:r w:rsidR="00D15074">
        <w:rPr>
          <w:rFonts w:hint="cs"/>
          <w:rtl/>
        </w:rPr>
        <w:t>نمی‌بینیم</w:t>
      </w:r>
      <w:r>
        <w:rPr>
          <w:rFonts w:hint="cs"/>
          <w:rtl/>
        </w:rPr>
        <w:t>. باید جمع کرد.</w:t>
      </w:r>
      <w:r w:rsidR="00F73561">
        <w:rPr>
          <w:rFonts w:hint="cs"/>
          <w:rtl/>
        </w:rPr>
        <w:t xml:space="preserve"> پس روایت دو حکم را بیان </w:t>
      </w:r>
      <w:r w:rsidR="00D15074">
        <w:rPr>
          <w:rFonts w:hint="cs"/>
          <w:rtl/>
        </w:rPr>
        <w:t>می‌کند</w:t>
      </w:r>
      <w:r w:rsidR="00F73561">
        <w:rPr>
          <w:rFonts w:hint="cs"/>
          <w:rtl/>
        </w:rPr>
        <w:t xml:space="preserve"> یجوز النظر الی الشعر و الذراع فی القواعد و لا یجوز النظر غیر الشعر و الذراع</w:t>
      </w:r>
      <w:r w:rsidR="00247A40">
        <w:rPr>
          <w:rFonts w:hint="cs"/>
          <w:rtl/>
        </w:rPr>
        <w:t>.</w:t>
      </w:r>
    </w:p>
    <w:p w:rsidR="00F73561" w:rsidRDefault="00D15074" w:rsidP="00CC1B41">
      <w:pPr>
        <w:rPr>
          <w:rtl/>
        </w:rPr>
      </w:pPr>
      <w:r>
        <w:rPr>
          <w:rFonts w:hint="cs"/>
          <w:rtl/>
        </w:rPr>
        <w:t>سؤال</w:t>
      </w:r>
      <w:r w:rsidR="00F73561">
        <w:rPr>
          <w:rFonts w:hint="cs"/>
          <w:rtl/>
        </w:rPr>
        <w:t xml:space="preserve">: حصری که </w:t>
      </w:r>
      <w:r>
        <w:rPr>
          <w:rFonts w:hint="cs"/>
          <w:rtl/>
        </w:rPr>
        <w:t>می‌فرمایید</w:t>
      </w:r>
      <w:r w:rsidR="00F73561">
        <w:rPr>
          <w:rFonts w:hint="cs"/>
          <w:rtl/>
        </w:rPr>
        <w:t xml:space="preserve"> ناظر به </w:t>
      </w:r>
      <w:r>
        <w:rPr>
          <w:rFonts w:hint="cs"/>
          <w:rtl/>
        </w:rPr>
        <w:t>سؤال</w:t>
      </w:r>
      <w:r w:rsidR="00F73561">
        <w:rPr>
          <w:rFonts w:hint="cs"/>
          <w:rtl/>
        </w:rPr>
        <w:t xml:space="preserve"> است؟ اطلاق مقامی درست است اما حصر چطور؟</w:t>
      </w:r>
    </w:p>
    <w:p w:rsidR="00F73561" w:rsidRDefault="00F73561" w:rsidP="00CC1B41">
      <w:pPr>
        <w:rPr>
          <w:rtl/>
        </w:rPr>
      </w:pPr>
      <w:r>
        <w:rPr>
          <w:rFonts w:hint="cs"/>
          <w:rtl/>
        </w:rPr>
        <w:t xml:space="preserve">جواب: جواب ناظر به </w:t>
      </w:r>
      <w:r w:rsidR="00D15074">
        <w:rPr>
          <w:rFonts w:hint="cs"/>
          <w:rtl/>
        </w:rPr>
        <w:t>سؤال</w:t>
      </w:r>
      <w:r>
        <w:rPr>
          <w:rFonts w:hint="cs"/>
          <w:rtl/>
        </w:rPr>
        <w:t xml:space="preserve"> است و سائل چه انتظاری از امام داشته؟ آنچه تمام جواب است را بگویید</w:t>
      </w:r>
      <w:r w:rsidR="00247A40">
        <w:rPr>
          <w:rtl/>
        </w:rPr>
        <w:t xml:space="preserve">؛ </w:t>
      </w:r>
      <w:r>
        <w:rPr>
          <w:rFonts w:hint="cs"/>
          <w:rtl/>
        </w:rPr>
        <w:t xml:space="preserve">یعنی آن را اگر بدانم </w:t>
      </w:r>
      <w:r w:rsidR="00D15074">
        <w:rPr>
          <w:rFonts w:hint="cs"/>
          <w:rtl/>
        </w:rPr>
        <w:t>می‌فهمم</w:t>
      </w:r>
      <w:r>
        <w:rPr>
          <w:rFonts w:hint="cs"/>
          <w:rtl/>
        </w:rPr>
        <w:t xml:space="preserve"> بقیه جایز نیست.</w:t>
      </w:r>
    </w:p>
    <w:p w:rsidR="00F73561" w:rsidRDefault="00D15074" w:rsidP="00CC1B41">
      <w:pPr>
        <w:rPr>
          <w:rtl/>
        </w:rPr>
      </w:pPr>
      <w:r>
        <w:rPr>
          <w:rFonts w:hint="cs"/>
          <w:rtl/>
        </w:rPr>
        <w:t>سؤال</w:t>
      </w:r>
      <w:r w:rsidR="00F73561">
        <w:rPr>
          <w:rFonts w:hint="cs"/>
          <w:rtl/>
        </w:rPr>
        <w:t xml:space="preserve">: فقط در مورد </w:t>
      </w:r>
      <w:r>
        <w:rPr>
          <w:rFonts w:hint="cs"/>
          <w:rtl/>
        </w:rPr>
        <w:t>سؤال‌ها</w:t>
      </w:r>
      <w:r w:rsidR="00F73561">
        <w:rPr>
          <w:rFonts w:hint="cs"/>
          <w:rtl/>
        </w:rPr>
        <w:t xml:space="preserve"> حصر است؟</w:t>
      </w:r>
    </w:p>
    <w:p w:rsidR="00F73561" w:rsidRDefault="00F73561" w:rsidP="00CC1B41">
      <w:pPr>
        <w:rPr>
          <w:rtl/>
        </w:rPr>
      </w:pPr>
      <w:r>
        <w:rPr>
          <w:rFonts w:hint="cs"/>
          <w:rtl/>
        </w:rPr>
        <w:t xml:space="preserve">جواب: </w:t>
      </w:r>
      <w:r w:rsidR="00D15074">
        <w:rPr>
          <w:rFonts w:hint="cs"/>
          <w:rtl/>
        </w:rPr>
        <w:t>این‌یکی</w:t>
      </w:r>
      <w:r>
        <w:rPr>
          <w:rFonts w:hint="cs"/>
          <w:rtl/>
        </w:rPr>
        <w:t xml:space="preserve"> از </w:t>
      </w:r>
      <w:r w:rsidR="00D15074">
        <w:rPr>
          <w:rFonts w:hint="cs"/>
          <w:rtl/>
        </w:rPr>
        <w:t>شیوه‌های</w:t>
      </w:r>
      <w:r>
        <w:rPr>
          <w:rFonts w:hint="cs"/>
          <w:rtl/>
        </w:rPr>
        <w:t xml:space="preserve"> بیانی حصر است که بدون ادات حصر فهمیده </w:t>
      </w:r>
      <w:r w:rsidR="00D15074">
        <w:rPr>
          <w:rFonts w:hint="cs"/>
          <w:rtl/>
        </w:rPr>
        <w:t>می‌شود</w:t>
      </w:r>
      <w:r>
        <w:rPr>
          <w:rFonts w:hint="cs"/>
          <w:rtl/>
        </w:rPr>
        <w:t xml:space="preserve">. فقط یک شیوه نیست. </w:t>
      </w:r>
      <w:r w:rsidR="00D15074">
        <w:rPr>
          <w:rFonts w:hint="cs"/>
          <w:rtl/>
        </w:rPr>
        <w:t>راه‌های</w:t>
      </w:r>
      <w:r>
        <w:rPr>
          <w:rFonts w:hint="cs"/>
          <w:rtl/>
        </w:rPr>
        <w:t xml:space="preserve"> دیگر است. </w:t>
      </w:r>
      <w:r w:rsidR="00D15074">
        <w:rPr>
          <w:rFonts w:hint="cs"/>
          <w:rtl/>
        </w:rPr>
        <w:t>یکجاهایی</w:t>
      </w:r>
      <w:r>
        <w:rPr>
          <w:rFonts w:hint="cs"/>
          <w:rtl/>
        </w:rPr>
        <w:t xml:space="preserve"> اطلاق مقامی به دست </w:t>
      </w:r>
      <w:r w:rsidR="00D15074">
        <w:rPr>
          <w:rFonts w:hint="cs"/>
          <w:rtl/>
        </w:rPr>
        <w:t>می‌آوریم</w:t>
      </w:r>
      <w:r>
        <w:rPr>
          <w:rFonts w:hint="cs"/>
          <w:rtl/>
        </w:rPr>
        <w:t xml:space="preserve">. فقط از </w:t>
      </w:r>
      <w:r w:rsidR="00D15074">
        <w:rPr>
          <w:rFonts w:hint="cs"/>
          <w:rtl/>
        </w:rPr>
        <w:t>سؤال</w:t>
      </w:r>
      <w:r>
        <w:rPr>
          <w:rFonts w:hint="cs"/>
          <w:rtl/>
        </w:rPr>
        <w:t xml:space="preserve"> نیست از </w:t>
      </w:r>
      <w:r w:rsidR="00D15074">
        <w:rPr>
          <w:rFonts w:hint="cs"/>
          <w:rtl/>
        </w:rPr>
        <w:t>راه‌های</w:t>
      </w:r>
      <w:r>
        <w:rPr>
          <w:rFonts w:hint="cs"/>
          <w:rtl/>
        </w:rPr>
        <w:t xml:space="preserve"> دیگر هم </w:t>
      </w:r>
      <w:r w:rsidR="00D15074">
        <w:rPr>
          <w:rFonts w:hint="cs"/>
          <w:rtl/>
        </w:rPr>
        <w:t>می‌فهمیم</w:t>
      </w:r>
      <w:r>
        <w:rPr>
          <w:rFonts w:hint="cs"/>
          <w:rtl/>
        </w:rPr>
        <w:t xml:space="preserve"> که در مقام بی</w:t>
      </w:r>
      <w:r w:rsidR="00247A40">
        <w:rPr>
          <w:rFonts w:hint="cs"/>
          <w:rtl/>
        </w:rPr>
        <w:t>ا</w:t>
      </w:r>
      <w:r w:rsidR="00D15074">
        <w:rPr>
          <w:rFonts w:hint="cs"/>
          <w:rtl/>
        </w:rPr>
        <w:t>ن‌</w:t>
      </w:r>
      <w:r w:rsidR="00247A40">
        <w:rPr>
          <w:rFonts w:hint="cs"/>
          <w:rtl/>
        </w:rPr>
        <w:t xml:space="preserve"> </w:t>
      </w:r>
      <w:r w:rsidR="00D15074">
        <w:rPr>
          <w:rFonts w:hint="cs"/>
          <w:rtl/>
        </w:rPr>
        <w:t>هم</w:t>
      </w:r>
      <w:r>
        <w:rPr>
          <w:rFonts w:hint="cs"/>
          <w:rtl/>
        </w:rPr>
        <w:t xml:space="preserve">ه اجزاء است. اینجا کون الامام فی الجواب فی مقام بیان جمیع ما یجوز النظر الیه منها و بیان حصر آن را از </w:t>
      </w:r>
      <w:r w:rsidR="00D15074">
        <w:rPr>
          <w:rFonts w:hint="cs"/>
          <w:rtl/>
        </w:rPr>
        <w:t>سؤال</w:t>
      </w:r>
      <w:r>
        <w:rPr>
          <w:rFonts w:hint="cs"/>
          <w:rtl/>
        </w:rPr>
        <w:t xml:space="preserve"> فهمیدیم.</w:t>
      </w:r>
    </w:p>
    <w:p w:rsidR="00F73561" w:rsidRDefault="00D15074" w:rsidP="00CC1B41">
      <w:pPr>
        <w:rPr>
          <w:rtl/>
        </w:rPr>
      </w:pPr>
      <w:r>
        <w:rPr>
          <w:rFonts w:hint="cs"/>
          <w:rtl/>
        </w:rPr>
        <w:t>سؤال</w:t>
      </w:r>
      <w:r w:rsidR="00F73561">
        <w:rPr>
          <w:rFonts w:hint="cs"/>
          <w:rtl/>
        </w:rPr>
        <w:t>: اطلاق مقامی یک بعد دارد و جنبه ایجابی دارد و حصر بعد دیگری دارد</w:t>
      </w:r>
    </w:p>
    <w:p w:rsidR="00F73561" w:rsidRDefault="00F73561" w:rsidP="00CC1B41">
      <w:pPr>
        <w:rPr>
          <w:rtl/>
        </w:rPr>
      </w:pPr>
      <w:r>
        <w:rPr>
          <w:rFonts w:hint="cs"/>
          <w:rtl/>
        </w:rPr>
        <w:t xml:space="preserve">جواب: اطلاق مقام به نحوی حصر را </w:t>
      </w:r>
      <w:r w:rsidR="00D15074">
        <w:rPr>
          <w:rFonts w:hint="cs"/>
          <w:rtl/>
        </w:rPr>
        <w:t>می‌رساند</w:t>
      </w:r>
      <w:r>
        <w:rPr>
          <w:rFonts w:hint="cs"/>
          <w:rtl/>
        </w:rPr>
        <w:t xml:space="preserve">. امام در مقام این است که همه اجزاء نماز را بفرماید این را فهمیدیم. اینجا جزء قنوت را نگفت </w:t>
      </w:r>
      <w:r w:rsidR="00D15074">
        <w:rPr>
          <w:rFonts w:hint="cs"/>
          <w:rtl/>
        </w:rPr>
        <w:t>می‌فهمیم</w:t>
      </w:r>
      <w:r>
        <w:rPr>
          <w:rFonts w:hint="cs"/>
          <w:rtl/>
        </w:rPr>
        <w:t xml:space="preserve"> جزء نیست. اطلاق مقامی مفید حصر است. اینکه کون الامام فی مقام بیان تمام الاجزاء والشرایط است را گاهی از سایر قرائن </w:t>
      </w:r>
      <w:r w:rsidR="00D15074">
        <w:rPr>
          <w:rFonts w:hint="cs"/>
          <w:rtl/>
        </w:rPr>
        <w:t>می‌فهمیم</w:t>
      </w:r>
      <w:r>
        <w:rPr>
          <w:rFonts w:hint="cs"/>
          <w:rtl/>
        </w:rPr>
        <w:t xml:space="preserve"> اینجا از </w:t>
      </w:r>
      <w:r w:rsidR="00D15074">
        <w:rPr>
          <w:rFonts w:hint="cs"/>
          <w:rtl/>
        </w:rPr>
        <w:t>سؤال</w:t>
      </w:r>
      <w:r>
        <w:rPr>
          <w:rFonts w:hint="cs"/>
          <w:rtl/>
        </w:rPr>
        <w:t xml:space="preserve"> شروع </w:t>
      </w:r>
      <w:r w:rsidR="00D15074">
        <w:rPr>
          <w:rFonts w:hint="cs"/>
          <w:rtl/>
        </w:rPr>
        <w:t>می‌شود</w:t>
      </w:r>
      <w:r>
        <w:rPr>
          <w:rFonts w:hint="cs"/>
          <w:rtl/>
        </w:rPr>
        <w:t>. چون سائل این انتظار را دارد امام در مقام بی</w:t>
      </w:r>
      <w:r w:rsidR="00247A40">
        <w:rPr>
          <w:rFonts w:hint="cs"/>
          <w:rtl/>
        </w:rPr>
        <w:t>ا</w:t>
      </w:r>
      <w:r w:rsidR="00D15074">
        <w:rPr>
          <w:rFonts w:hint="cs"/>
          <w:rtl/>
        </w:rPr>
        <w:t>ن</w:t>
      </w:r>
      <w:r w:rsidR="00247A40">
        <w:rPr>
          <w:rFonts w:hint="cs"/>
          <w:rtl/>
        </w:rPr>
        <w:t xml:space="preserve"> </w:t>
      </w:r>
      <w:r w:rsidR="00D15074">
        <w:rPr>
          <w:rFonts w:hint="cs"/>
          <w:rtl/>
        </w:rPr>
        <w:t>‌هم</w:t>
      </w:r>
      <w:r>
        <w:rPr>
          <w:rFonts w:hint="cs"/>
          <w:rtl/>
        </w:rPr>
        <w:t>ه است.</w:t>
      </w:r>
    </w:p>
    <w:p w:rsidR="00F73561" w:rsidRDefault="00D15074" w:rsidP="00CC1B41">
      <w:pPr>
        <w:rPr>
          <w:rtl/>
        </w:rPr>
      </w:pPr>
      <w:r>
        <w:rPr>
          <w:rFonts w:hint="cs"/>
          <w:rtl/>
        </w:rPr>
        <w:lastRenderedPageBreak/>
        <w:t>سؤال</w:t>
      </w:r>
      <w:r w:rsidR="00F73561">
        <w:rPr>
          <w:rFonts w:hint="cs"/>
          <w:rtl/>
        </w:rPr>
        <w:t xml:space="preserve">: ارتکاز سائل این است که حوزه جواز </w:t>
      </w:r>
      <w:r>
        <w:rPr>
          <w:rFonts w:hint="cs"/>
          <w:rtl/>
        </w:rPr>
        <w:t>وسیع‌تر</w:t>
      </w:r>
      <w:r w:rsidR="00F73561">
        <w:rPr>
          <w:rFonts w:hint="cs"/>
          <w:rtl/>
        </w:rPr>
        <w:t xml:space="preserve"> است.</w:t>
      </w:r>
    </w:p>
    <w:p w:rsidR="00F73561" w:rsidRDefault="00F73561" w:rsidP="00CC1B41">
      <w:pPr>
        <w:rPr>
          <w:rtl/>
        </w:rPr>
      </w:pPr>
      <w:r>
        <w:rPr>
          <w:rFonts w:hint="cs"/>
          <w:rtl/>
        </w:rPr>
        <w:t xml:space="preserve">جواب: </w:t>
      </w:r>
      <w:r w:rsidR="00247A40">
        <w:rPr>
          <w:rtl/>
        </w:rPr>
        <w:t>ارتکاز را</w:t>
      </w:r>
      <w:r>
        <w:rPr>
          <w:rFonts w:hint="cs"/>
          <w:rtl/>
        </w:rPr>
        <w:t xml:space="preserve"> </w:t>
      </w:r>
      <w:r w:rsidR="00D15074">
        <w:rPr>
          <w:rFonts w:hint="cs"/>
          <w:rtl/>
        </w:rPr>
        <w:t>نمی‌داند</w:t>
      </w:r>
      <w:r>
        <w:rPr>
          <w:rFonts w:hint="cs"/>
          <w:rtl/>
        </w:rPr>
        <w:t>. مطلب بعدی را بگوییم شاید حرف شما همان باشد.</w:t>
      </w:r>
    </w:p>
    <w:p w:rsidR="00F73561" w:rsidRDefault="00D15074" w:rsidP="00CC1B41">
      <w:pPr>
        <w:rPr>
          <w:rtl/>
        </w:rPr>
      </w:pPr>
      <w:r>
        <w:rPr>
          <w:rFonts w:hint="cs"/>
          <w:rtl/>
        </w:rPr>
        <w:t>سؤال</w:t>
      </w:r>
      <w:r w:rsidR="00F73561">
        <w:rPr>
          <w:rFonts w:hint="cs"/>
          <w:rtl/>
        </w:rPr>
        <w:t xml:space="preserve">: مقدمات حکمت پس </w:t>
      </w:r>
      <w:r>
        <w:rPr>
          <w:rFonts w:hint="cs"/>
          <w:rtl/>
        </w:rPr>
        <w:t>ازیک‌طرف</w:t>
      </w:r>
      <w:r w:rsidR="00F73561">
        <w:rPr>
          <w:rFonts w:hint="cs"/>
          <w:rtl/>
        </w:rPr>
        <w:t xml:space="preserve"> اطلاق دارد از طرف دیگر حصر</w:t>
      </w:r>
    </w:p>
    <w:p w:rsidR="00F73561" w:rsidRDefault="00F73561" w:rsidP="00CC1B41">
      <w:pPr>
        <w:rPr>
          <w:rtl/>
        </w:rPr>
      </w:pPr>
      <w:r>
        <w:rPr>
          <w:rFonts w:hint="cs"/>
          <w:rtl/>
        </w:rPr>
        <w:t xml:space="preserve">جواب: ذات اطلاق مقامی این است که </w:t>
      </w:r>
      <w:r w:rsidR="00D15074">
        <w:rPr>
          <w:rFonts w:hint="cs"/>
          <w:rtl/>
        </w:rPr>
        <w:t>این‌ها</w:t>
      </w:r>
      <w:r>
        <w:rPr>
          <w:rFonts w:hint="cs"/>
          <w:rtl/>
        </w:rPr>
        <w:t xml:space="preserve"> هست و چیز دیگری نیست. </w:t>
      </w:r>
    </w:p>
    <w:p w:rsidR="00F73561" w:rsidRDefault="00F73561" w:rsidP="00CC1B41">
      <w:pPr>
        <w:rPr>
          <w:rtl/>
        </w:rPr>
      </w:pPr>
      <w:r>
        <w:rPr>
          <w:rFonts w:hint="cs"/>
          <w:rtl/>
        </w:rPr>
        <w:t xml:space="preserve">جواب: از خود الا که آمده نوعی از حصر در قواعد فهمیده </w:t>
      </w:r>
      <w:r w:rsidR="00D15074">
        <w:rPr>
          <w:rFonts w:hint="cs"/>
          <w:rtl/>
        </w:rPr>
        <w:t>می‌شود</w:t>
      </w:r>
      <w:r>
        <w:rPr>
          <w:rFonts w:hint="cs"/>
          <w:rtl/>
        </w:rPr>
        <w:t xml:space="preserve">. فمالی دنباله حصر است. </w:t>
      </w:r>
    </w:p>
    <w:p w:rsidR="00F73561" w:rsidRDefault="00F73561" w:rsidP="00CC1B41">
      <w:pPr>
        <w:rPr>
          <w:rtl/>
        </w:rPr>
      </w:pPr>
      <w:r>
        <w:rPr>
          <w:rFonts w:hint="cs"/>
          <w:rtl/>
        </w:rPr>
        <w:t xml:space="preserve">جواب: ادات حصری آنجا داشتیم که </w:t>
      </w:r>
      <w:r w:rsidR="00D15074">
        <w:rPr>
          <w:rFonts w:hint="cs"/>
          <w:rtl/>
        </w:rPr>
        <w:t>مؤثر</w:t>
      </w:r>
      <w:r>
        <w:rPr>
          <w:rFonts w:hint="cs"/>
          <w:rtl/>
        </w:rPr>
        <w:t xml:space="preserve"> روی این است اما نه مستقیم. آنجا </w:t>
      </w:r>
      <w:r w:rsidR="00D15074">
        <w:rPr>
          <w:rFonts w:hint="cs"/>
          <w:rtl/>
        </w:rPr>
        <w:t>می‌گوید</w:t>
      </w:r>
      <w:r>
        <w:rPr>
          <w:rFonts w:hint="cs"/>
          <w:rtl/>
        </w:rPr>
        <w:t xml:space="preserve"> نگاه جایز نیست الا به قواعد. در ذهن سائل </w:t>
      </w:r>
      <w:r w:rsidR="00D15074">
        <w:rPr>
          <w:rFonts w:hint="cs"/>
          <w:rtl/>
        </w:rPr>
        <w:t>می‌آید</w:t>
      </w:r>
      <w:r>
        <w:rPr>
          <w:rFonts w:hint="cs"/>
          <w:rtl/>
        </w:rPr>
        <w:t xml:space="preserve"> که قواعد استثنا شد </w:t>
      </w:r>
      <w:r w:rsidR="00D15074">
        <w:rPr>
          <w:rFonts w:hint="cs"/>
          <w:rtl/>
        </w:rPr>
        <w:t>کلاً</w:t>
      </w:r>
      <w:r>
        <w:rPr>
          <w:rFonts w:hint="cs"/>
          <w:rtl/>
        </w:rPr>
        <w:t xml:space="preserve"> استثنا شد یا بخش خاصی. </w:t>
      </w:r>
    </w:p>
    <w:p w:rsidR="00F73561" w:rsidRDefault="00F73561" w:rsidP="00D15074">
      <w:pPr>
        <w:pStyle w:val="Heading3"/>
        <w:rPr>
          <w:rtl/>
        </w:rPr>
      </w:pPr>
      <w:bookmarkStart w:id="13" w:name="_Toc55793601"/>
      <w:r>
        <w:rPr>
          <w:rFonts w:hint="cs"/>
          <w:rtl/>
        </w:rPr>
        <w:t>مقدمه دوم</w:t>
      </w:r>
      <w:bookmarkEnd w:id="13"/>
    </w:p>
    <w:p w:rsidR="00F73561" w:rsidRDefault="00F73561" w:rsidP="00247A40">
      <w:pPr>
        <w:rPr>
          <w:rtl/>
        </w:rPr>
      </w:pPr>
      <w:r>
        <w:rPr>
          <w:rFonts w:hint="cs"/>
          <w:rtl/>
        </w:rPr>
        <w:t xml:space="preserve">حصر ناظر به آن چیزی است که از حیث قواعد استثنا شده است. حصری که در شعر و ذراع شده است حصر در چیزی است که از حیث قواعد نظر به او جایز است. کار به چیزهایی که با </w:t>
      </w:r>
      <w:r w:rsidR="00D15074">
        <w:rPr>
          <w:rFonts w:hint="cs"/>
          <w:rtl/>
        </w:rPr>
        <w:t>قطع‌نظر</w:t>
      </w:r>
      <w:r>
        <w:rPr>
          <w:rFonts w:hint="cs"/>
          <w:rtl/>
        </w:rPr>
        <w:t xml:space="preserve"> از قواعد دارد ندارد.</w:t>
      </w:r>
      <w:r w:rsidR="00247A40">
        <w:rPr>
          <w:rtl/>
        </w:rPr>
        <w:t xml:space="preserve"> نم</w:t>
      </w:r>
      <w:r w:rsidR="00247A40">
        <w:rPr>
          <w:rFonts w:hint="cs"/>
          <w:rtl/>
        </w:rPr>
        <w:t>ی</w:t>
      </w:r>
      <w:r w:rsidR="00D15074">
        <w:rPr>
          <w:rFonts w:hint="cs"/>
          <w:rtl/>
        </w:rPr>
        <w:t>‌گوید</w:t>
      </w:r>
      <w:r>
        <w:rPr>
          <w:rFonts w:hint="cs"/>
          <w:rtl/>
        </w:rPr>
        <w:t xml:space="preserve"> که حصر برای مطلق نظر به </w:t>
      </w:r>
      <w:r w:rsidR="00247A40">
        <w:rPr>
          <w:rtl/>
        </w:rPr>
        <w:t>زن‌هاست</w:t>
      </w:r>
      <w:r>
        <w:rPr>
          <w:rFonts w:hint="cs"/>
          <w:rtl/>
        </w:rPr>
        <w:t>. حصر جواز در شعر و ذراع اختصاص به قواعد دارد</w:t>
      </w:r>
      <w:r w:rsidR="00247A40">
        <w:rPr>
          <w:rtl/>
        </w:rPr>
        <w:t>؛ و</w:t>
      </w:r>
      <w:r>
        <w:rPr>
          <w:rFonts w:hint="cs"/>
          <w:rtl/>
        </w:rPr>
        <w:t xml:space="preserve"> الا وجه و کفین را هم باید </w:t>
      </w:r>
      <w:r w:rsidR="00D15074">
        <w:rPr>
          <w:rFonts w:hint="cs"/>
          <w:rtl/>
        </w:rPr>
        <w:t>می‌گفت</w:t>
      </w:r>
      <w:r>
        <w:rPr>
          <w:rFonts w:hint="cs"/>
          <w:rtl/>
        </w:rPr>
        <w:t xml:space="preserve">. پس حصری که </w:t>
      </w:r>
      <w:r w:rsidR="00D15074">
        <w:rPr>
          <w:rFonts w:hint="cs"/>
          <w:rtl/>
        </w:rPr>
        <w:t>انجام‌شده</w:t>
      </w:r>
      <w:r>
        <w:rPr>
          <w:rFonts w:hint="cs"/>
          <w:rtl/>
        </w:rPr>
        <w:t xml:space="preserve"> که جواز نظر در شعر و ذراع منحصر است جواز نظری است که ناشی از قعود است. این اقتضا </w:t>
      </w:r>
      <w:r w:rsidR="00D15074">
        <w:rPr>
          <w:rFonts w:hint="cs"/>
          <w:rtl/>
        </w:rPr>
        <w:t>می‌کند</w:t>
      </w:r>
      <w:r>
        <w:rPr>
          <w:rFonts w:hint="cs"/>
          <w:rtl/>
        </w:rPr>
        <w:t xml:space="preserve"> که به شعر و ذراع فقط بشود نگاه کرد</w:t>
      </w:r>
      <w:r w:rsidR="00247A40">
        <w:rPr>
          <w:rtl/>
        </w:rPr>
        <w:t xml:space="preserve">؛ </w:t>
      </w:r>
      <w:r>
        <w:rPr>
          <w:rFonts w:hint="cs"/>
          <w:rtl/>
        </w:rPr>
        <w:t xml:space="preserve">اما وجه و کفین و چیزهایی که ربطی به قعود ندارد دیگر در مقام بیان آن نیست. بلکه در مقام بیان جواز نظر به چیزهایی است که قعود آن را اقتضا </w:t>
      </w:r>
      <w:r w:rsidR="00D15074">
        <w:rPr>
          <w:rFonts w:hint="cs"/>
          <w:rtl/>
        </w:rPr>
        <w:t>می‌کند</w:t>
      </w:r>
      <w:r>
        <w:rPr>
          <w:rFonts w:hint="cs"/>
          <w:rtl/>
        </w:rPr>
        <w:t>. چیزهایی که قعود اقتضا ن</w:t>
      </w:r>
      <w:r w:rsidR="00D15074">
        <w:rPr>
          <w:rFonts w:hint="cs"/>
          <w:rtl/>
        </w:rPr>
        <w:t>می‌کند</w:t>
      </w:r>
      <w:r>
        <w:rPr>
          <w:rFonts w:hint="cs"/>
          <w:rtl/>
        </w:rPr>
        <w:t xml:space="preserve"> و </w:t>
      </w:r>
      <w:r w:rsidR="00D15074">
        <w:rPr>
          <w:rFonts w:hint="cs"/>
          <w:rtl/>
        </w:rPr>
        <w:t>ذاتاً</w:t>
      </w:r>
      <w:r>
        <w:rPr>
          <w:rFonts w:hint="cs"/>
          <w:rtl/>
        </w:rPr>
        <w:t xml:space="preserve"> نظر جایز است آن را دیگر بیان ن</w:t>
      </w:r>
      <w:r w:rsidR="00D15074">
        <w:rPr>
          <w:rFonts w:hint="cs"/>
          <w:rtl/>
        </w:rPr>
        <w:t>می‌کند</w:t>
      </w:r>
      <w:r>
        <w:rPr>
          <w:rFonts w:hint="cs"/>
          <w:rtl/>
        </w:rPr>
        <w:t xml:space="preserve"> و در مقام بیان آن نیست. تعبیر خود آقای </w:t>
      </w:r>
      <w:r w:rsidR="00D15074">
        <w:rPr>
          <w:rFonts w:hint="cs"/>
          <w:rtl/>
        </w:rPr>
        <w:t>مؤمن</w:t>
      </w:r>
      <w:r>
        <w:rPr>
          <w:rFonts w:hint="cs"/>
          <w:rtl/>
        </w:rPr>
        <w:t xml:space="preserve"> این است: بعد ما سئل عن جمیع ما یجوز النظر من القواعد اجاب بقوله شعرها و ذراعها فحصر موضع الجواز الذی اقتضاه القعود فی الشعر و الذراع. موضع جوازی که ناشی از قعود است را در شعر و ذراع حصر کرده. این نکته دوم است که حصر در موضوع خودش که قواعد است می</w:t>
      </w:r>
      <w:r w:rsidR="00247A40">
        <w:rPr>
          <w:rFonts w:hint="cs"/>
          <w:rtl/>
        </w:rPr>
        <w:t>‌</w:t>
      </w:r>
      <w:r>
        <w:rPr>
          <w:rFonts w:hint="cs"/>
          <w:rtl/>
        </w:rPr>
        <w:t>باشد. جواز ناشی از قعود را حصر کرد. حصر نظر به مطلق اجنبیه نیست بلکه به قواعد است.</w:t>
      </w:r>
    </w:p>
    <w:p w:rsidR="00F73561" w:rsidRDefault="00F73561" w:rsidP="00D15074">
      <w:pPr>
        <w:pStyle w:val="Heading3"/>
        <w:rPr>
          <w:rtl/>
        </w:rPr>
      </w:pPr>
      <w:bookmarkStart w:id="14" w:name="_Toc55793602"/>
      <w:r>
        <w:rPr>
          <w:rFonts w:hint="cs"/>
          <w:rtl/>
        </w:rPr>
        <w:t>مقدمه سوم:</w:t>
      </w:r>
      <w:bookmarkEnd w:id="14"/>
    </w:p>
    <w:p w:rsidR="00F73561" w:rsidRDefault="00F73561" w:rsidP="00CC1B41">
      <w:pPr>
        <w:rPr>
          <w:rtl/>
        </w:rPr>
      </w:pPr>
      <w:r>
        <w:rPr>
          <w:rFonts w:hint="cs"/>
          <w:rtl/>
        </w:rPr>
        <w:t xml:space="preserve">وجه و کفین هم در اینجا جایز است </w:t>
      </w:r>
      <w:r w:rsidR="00247A40">
        <w:rPr>
          <w:rtl/>
        </w:rPr>
        <w:t>قطعاً</w:t>
      </w:r>
      <w:r>
        <w:rPr>
          <w:rFonts w:hint="cs"/>
          <w:rtl/>
        </w:rPr>
        <w:t>.</w:t>
      </w:r>
    </w:p>
    <w:p w:rsidR="00F73561" w:rsidRDefault="00F73561" w:rsidP="00D15074">
      <w:pPr>
        <w:pStyle w:val="Heading3"/>
        <w:rPr>
          <w:rtl/>
        </w:rPr>
      </w:pPr>
      <w:bookmarkStart w:id="15" w:name="_Toc55793603"/>
      <w:r>
        <w:rPr>
          <w:rFonts w:hint="cs"/>
          <w:rtl/>
        </w:rPr>
        <w:t>نتیجه:</w:t>
      </w:r>
      <w:bookmarkEnd w:id="15"/>
    </w:p>
    <w:p w:rsidR="00F73561" w:rsidRDefault="00F73561" w:rsidP="00CC1B41">
      <w:pPr>
        <w:rPr>
          <w:rtl/>
        </w:rPr>
      </w:pPr>
      <w:r>
        <w:rPr>
          <w:rFonts w:hint="cs"/>
          <w:rtl/>
        </w:rPr>
        <w:t xml:space="preserve">از همین جمله استفاده </w:t>
      </w:r>
      <w:r w:rsidR="00D15074">
        <w:rPr>
          <w:rFonts w:hint="cs"/>
          <w:rtl/>
        </w:rPr>
        <w:t>می‌کنیم</w:t>
      </w:r>
      <w:r>
        <w:rPr>
          <w:rFonts w:hint="cs"/>
          <w:rtl/>
        </w:rPr>
        <w:t xml:space="preserve"> که امام در جواز نظر به قواعد فقط شعر و ذراع </w:t>
      </w:r>
      <w:r w:rsidR="00D15074">
        <w:rPr>
          <w:rFonts w:hint="cs"/>
          <w:rtl/>
        </w:rPr>
        <w:t>می‌گوید</w:t>
      </w:r>
      <w:r>
        <w:rPr>
          <w:rFonts w:hint="cs"/>
          <w:rtl/>
        </w:rPr>
        <w:t xml:space="preserve"> </w:t>
      </w:r>
      <w:r w:rsidR="00D15074">
        <w:rPr>
          <w:rFonts w:hint="cs"/>
          <w:rtl/>
        </w:rPr>
        <w:t>درحالی‌که</w:t>
      </w:r>
      <w:r>
        <w:rPr>
          <w:rFonts w:hint="cs"/>
          <w:rtl/>
        </w:rPr>
        <w:t xml:space="preserve"> وجه و کفین هم </w:t>
      </w:r>
      <w:r w:rsidR="00247A40">
        <w:rPr>
          <w:rFonts w:hint="cs"/>
          <w:rtl/>
        </w:rPr>
        <w:t>قطعاً</w:t>
      </w:r>
      <w:r>
        <w:rPr>
          <w:rFonts w:hint="cs"/>
          <w:rtl/>
        </w:rPr>
        <w:t xml:space="preserve"> جایز است. چرا امام </w:t>
      </w:r>
      <w:r w:rsidR="00D15074">
        <w:rPr>
          <w:rFonts w:hint="cs"/>
          <w:rtl/>
        </w:rPr>
        <w:t>بااینکه</w:t>
      </w:r>
      <w:r>
        <w:rPr>
          <w:rFonts w:hint="cs"/>
          <w:rtl/>
        </w:rPr>
        <w:t xml:space="preserve"> در مقام </w:t>
      </w:r>
      <w:r w:rsidR="00D15074">
        <w:rPr>
          <w:rFonts w:hint="cs"/>
          <w:rtl/>
        </w:rPr>
        <w:t>حصرند</w:t>
      </w:r>
      <w:r>
        <w:rPr>
          <w:rFonts w:hint="cs"/>
          <w:rtl/>
        </w:rPr>
        <w:t xml:space="preserve"> وجه و کفین را </w:t>
      </w:r>
      <w:r w:rsidR="00D15074">
        <w:rPr>
          <w:rFonts w:hint="cs"/>
          <w:rtl/>
        </w:rPr>
        <w:t>نگفته‌اند</w:t>
      </w:r>
      <w:r>
        <w:rPr>
          <w:rFonts w:hint="cs"/>
          <w:rtl/>
        </w:rPr>
        <w:t xml:space="preserve">؟ گفته </w:t>
      </w:r>
      <w:r w:rsidR="00D15074">
        <w:rPr>
          <w:rFonts w:hint="cs"/>
          <w:rtl/>
        </w:rPr>
        <w:t>می‌شود</w:t>
      </w:r>
      <w:r>
        <w:rPr>
          <w:rFonts w:hint="cs"/>
          <w:rtl/>
        </w:rPr>
        <w:t xml:space="preserve"> امام در مقام حصر در این استثنا است که شعر و ذراع </w:t>
      </w:r>
      <w:r w:rsidR="00D15074">
        <w:rPr>
          <w:rFonts w:hint="cs"/>
          <w:rtl/>
        </w:rPr>
        <w:t>گفته‌اند</w:t>
      </w:r>
      <w:r>
        <w:rPr>
          <w:rFonts w:hint="cs"/>
          <w:rtl/>
        </w:rPr>
        <w:t xml:space="preserve"> اما شعر و کفین را </w:t>
      </w:r>
      <w:r w:rsidR="00D15074">
        <w:rPr>
          <w:rFonts w:hint="cs"/>
          <w:rtl/>
        </w:rPr>
        <w:t>نگفته‌اند</w:t>
      </w:r>
      <w:r>
        <w:rPr>
          <w:rFonts w:hint="cs"/>
          <w:rtl/>
        </w:rPr>
        <w:t xml:space="preserve"> </w:t>
      </w:r>
      <w:r w:rsidR="005F4564">
        <w:rPr>
          <w:rFonts w:hint="cs"/>
          <w:rtl/>
        </w:rPr>
        <w:t xml:space="preserve">چون ربطی به قعود ندارد. پس حصر اینجا نکته مهمی است </w:t>
      </w:r>
      <w:r w:rsidR="00D15074">
        <w:rPr>
          <w:rFonts w:hint="cs"/>
          <w:rtl/>
        </w:rPr>
        <w:t>ثانیاً</w:t>
      </w:r>
      <w:r w:rsidR="005F4564">
        <w:rPr>
          <w:rFonts w:hint="cs"/>
          <w:rtl/>
        </w:rPr>
        <w:t xml:space="preserve"> حصر از منظر قعود </w:t>
      </w:r>
      <w:r w:rsidR="005F4564">
        <w:rPr>
          <w:rFonts w:hint="cs"/>
          <w:rtl/>
        </w:rPr>
        <w:lastRenderedPageBreak/>
        <w:t xml:space="preserve">است. </w:t>
      </w:r>
      <w:r w:rsidR="00D15074">
        <w:rPr>
          <w:rFonts w:hint="cs"/>
          <w:rtl/>
        </w:rPr>
        <w:t>ثالثاً</w:t>
      </w:r>
      <w:r w:rsidR="005F4564">
        <w:rPr>
          <w:rFonts w:hint="cs"/>
          <w:rtl/>
        </w:rPr>
        <w:t xml:space="preserve"> وجه و کفین هم </w:t>
      </w:r>
      <w:r w:rsidR="00247A40">
        <w:rPr>
          <w:rFonts w:hint="cs"/>
          <w:rtl/>
        </w:rPr>
        <w:t>قطعاً</w:t>
      </w:r>
      <w:r w:rsidR="005F4564">
        <w:rPr>
          <w:rFonts w:hint="cs"/>
          <w:rtl/>
        </w:rPr>
        <w:t xml:space="preserve"> نگاه جایز است چرا </w:t>
      </w:r>
      <w:r w:rsidR="00D15074">
        <w:rPr>
          <w:rFonts w:hint="cs"/>
          <w:rtl/>
        </w:rPr>
        <w:t>بااینکه</w:t>
      </w:r>
      <w:r w:rsidR="005F4564">
        <w:rPr>
          <w:rFonts w:hint="cs"/>
          <w:rtl/>
        </w:rPr>
        <w:t xml:space="preserve"> در مقام حصر بوده نفرموده است چون مفروضش این است که جایز است. با </w:t>
      </w:r>
      <w:r w:rsidR="00D15074">
        <w:rPr>
          <w:rFonts w:hint="cs"/>
          <w:rtl/>
        </w:rPr>
        <w:t>قطع‌نظر</w:t>
      </w:r>
      <w:r w:rsidR="005F4564">
        <w:rPr>
          <w:rFonts w:hint="cs"/>
          <w:rtl/>
        </w:rPr>
        <w:t xml:space="preserve"> از قعود. </w:t>
      </w:r>
    </w:p>
    <w:p w:rsidR="00D15074" w:rsidRDefault="00D15074" w:rsidP="00D15074">
      <w:pPr>
        <w:pStyle w:val="Heading2"/>
        <w:rPr>
          <w:rtl/>
        </w:rPr>
      </w:pPr>
      <w:bookmarkStart w:id="16" w:name="_Toc55793604"/>
      <w:r>
        <w:rPr>
          <w:rFonts w:hint="cs"/>
          <w:rtl/>
        </w:rPr>
        <w:t>مناقشه در تقریر دوم</w:t>
      </w:r>
      <w:bookmarkEnd w:id="16"/>
    </w:p>
    <w:p w:rsidR="005F4564" w:rsidRDefault="005F4564" w:rsidP="00CC1B41">
      <w:pPr>
        <w:rPr>
          <w:rtl/>
        </w:rPr>
      </w:pPr>
      <w:r>
        <w:rPr>
          <w:rFonts w:hint="cs"/>
          <w:rtl/>
        </w:rPr>
        <w:t xml:space="preserve">ما </w:t>
      </w:r>
      <w:r w:rsidR="00D15074">
        <w:rPr>
          <w:rFonts w:hint="cs"/>
          <w:rtl/>
        </w:rPr>
        <w:t>برخلاف</w:t>
      </w:r>
      <w:r>
        <w:rPr>
          <w:rFonts w:hint="cs"/>
          <w:rtl/>
        </w:rPr>
        <w:t xml:space="preserve"> نظر </w:t>
      </w:r>
      <w:r w:rsidR="00D15074">
        <w:rPr>
          <w:rFonts w:hint="cs"/>
          <w:rtl/>
        </w:rPr>
        <w:t>شب‌زنده‌دار</w:t>
      </w:r>
      <w:r>
        <w:rPr>
          <w:rFonts w:hint="cs"/>
          <w:rtl/>
        </w:rPr>
        <w:t xml:space="preserve"> که تقریر اول را خدشه کردند ما تمام دانستیم. تقریر دوم شاید جای مناقشه باشد. مناقشه این است که امام در مقام حصر است و حصر از حیث قعود است نه مطلق </w:t>
      </w:r>
      <w:r w:rsidR="00247A40">
        <w:rPr>
          <w:rFonts w:hint="cs"/>
          <w:rtl/>
        </w:rPr>
        <w:t>زن‌ها</w:t>
      </w:r>
      <w:r>
        <w:rPr>
          <w:rFonts w:hint="cs"/>
          <w:rtl/>
        </w:rPr>
        <w:t xml:space="preserve">. جواب حصری امام لازم نیست همه به دلالت تصریحی باشد امام شعر و ذراع که ابعد از ذهن است را فرموده و وجه و کفین را نفرموده از باب اینکه </w:t>
      </w:r>
      <w:r w:rsidR="00D15074">
        <w:rPr>
          <w:rFonts w:hint="cs"/>
          <w:rtl/>
        </w:rPr>
        <w:t>به‌طریق‌اولی</w:t>
      </w:r>
      <w:r>
        <w:rPr>
          <w:rFonts w:hint="cs"/>
          <w:rtl/>
        </w:rPr>
        <w:t xml:space="preserve"> همه </w:t>
      </w:r>
      <w:r w:rsidR="00D15074">
        <w:rPr>
          <w:rFonts w:hint="cs"/>
          <w:rtl/>
        </w:rPr>
        <w:t>می‌فهمند</w:t>
      </w:r>
      <w:r>
        <w:rPr>
          <w:rFonts w:hint="cs"/>
          <w:rtl/>
        </w:rPr>
        <w:t xml:space="preserve"> که </w:t>
      </w:r>
      <w:r w:rsidR="00D15074">
        <w:rPr>
          <w:rFonts w:hint="cs"/>
          <w:rtl/>
        </w:rPr>
        <w:t>آن‌ها</w:t>
      </w:r>
      <w:r>
        <w:rPr>
          <w:rFonts w:hint="cs"/>
          <w:rtl/>
        </w:rPr>
        <w:t xml:space="preserve"> هم هست. اعتماد به فهم فحوایی مخاطب کرده است. امام در مقام حصر فقط اعضای از حیث قعود است اما جواز امام چهار وجه دارد شعر و ذراع به دلالت مطابقی و وجه و کفین به دلالت فحوا و اولویت. این هم عرفی است. </w:t>
      </w:r>
      <w:r w:rsidR="00247A40">
        <w:rPr>
          <w:b/>
          <w:bCs/>
          <w:color w:val="007200"/>
          <w:rtl/>
        </w:rPr>
        <w:t xml:space="preserve">﴿لا تقل لهما اف﴾ </w:t>
      </w:r>
      <w:r>
        <w:rPr>
          <w:rFonts w:hint="cs"/>
          <w:rtl/>
        </w:rPr>
        <w:t xml:space="preserve">چیز مخفی را </w:t>
      </w:r>
      <w:r w:rsidR="00D15074">
        <w:rPr>
          <w:rFonts w:hint="cs"/>
          <w:rtl/>
        </w:rPr>
        <w:t>می‌گوید</w:t>
      </w:r>
      <w:r>
        <w:rPr>
          <w:rFonts w:hint="cs"/>
          <w:rtl/>
        </w:rPr>
        <w:t xml:space="preserve"> مورد آشکار را ن</w:t>
      </w:r>
      <w:r w:rsidR="00D15074">
        <w:rPr>
          <w:rFonts w:hint="cs"/>
          <w:rtl/>
        </w:rPr>
        <w:t>می‌گوید</w:t>
      </w:r>
      <w:r>
        <w:rPr>
          <w:rFonts w:hint="cs"/>
          <w:rtl/>
        </w:rPr>
        <w:t xml:space="preserve">. </w:t>
      </w:r>
      <w:r w:rsidR="00D15074">
        <w:rPr>
          <w:rFonts w:hint="cs"/>
          <w:rtl/>
        </w:rPr>
        <w:t>سخت‌تر</w:t>
      </w:r>
      <w:r>
        <w:rPr>
          <w:rFonts w:hint="cs"/>
          <w:rtl/>
        </w:rPr>
        <w:t xml:space="preserve"> را </w:t>
      </w:r>
      <w:r w:rsidR="00D15074">
        <w:rPr>
          <w:rFonts w:hint="cs"/>
          <w:rtl/>
        </w:rPr>
        <w:t>می‌گوید</w:t>
      </w:r>
      <w:r>
        <w:rPr>
          <w:rFonts w:hint="cs"/>
          <w:rtl/>
        </w:rPr>
        <w:t xml:space="preserve">. اینکه امام فقط شعر و ذراع را در قواعد بیان کرده است و وجه و کفین نگفته دو تفسیر دارد. یک تفسیر آنکه آقای </w:t>
      </w:r>
      <w:r w:rsidR="00D15074">
        <w:rPr>
          <w:rFonts w:hint="cs"/>
          <w:rtl/>
        </w:rPr>
        <w:t>مؤمن</w:t>
      </w:r>
      <w:r>
        <w:rPr>
          <w:rFonts w:hint="cs"/>
          <w:rtl/>
        </w:rPr>
        <w:t xml:space="preserve"> </w:t>
      </w:r>
      <w:r w:rsidR="00D15074">
        <w:rPr>
          <w:rFonts w:hint="cs"/>
          <w:rtl/>
        </w:rPr>
        <w:t>می‌فرمایند</w:t>
      </w:r>
      <w:r>
        <w:rPr>
          <w:rFonts w:hint="cs"/>
          <w:rtl/>
        </w:rPr>
        <w:t xml:space="preserve"> یک تفسیر دیگر را آقای </w:t>
      </w:r>
      <w:r w:rsidR="00D15074">
        <w:rPr>
          <w:rFonts w:hint="cs"/>
          <w:rtl/>
        </w:rPr>
        <w:t>مؤمن</w:t>
      </w:r>
      <w:r>
        <w:rPr>
          <w:rFonts w:hint="cs"/>
          <w:rtl/>
        </w:rPr>
        <w:t xml:space="preserve"> </w:t>
      </w:r>
      <w:r w:rsidR="00D15074">
        <w:rPr>
          <w:rFonts w:hint="cs"/>
          <w:rtl/>
        </w:rPr>
        <w:t>گفته‌اند</w:t>
      </w:r>
      <w:r>
        <w:rPr>
          <w:rFonts w:hint="cs"/>
          <w:rtl/>
        </w:rPr>
        <w:t xml:space="preserve"> که عدم ذکر امام چون شعر و کفین </w:t>
      </w:r>
      <w:r w:rsidR="00247A40">
        <w:rPr>
          <w:rFonts w:hint="cs"/>
          <w:rtl/>
        </w:rPr>
        <w:t>مطلقاً</w:t>
      </w:r>
      <w:r>
        <w:rPr>
          <w:rFonts w:hint="cs"/>
          <w:rtl/>
        </w:rPr>
        <w:t xml:space="preserve"> جایز است. یک تفسیر دیگر این است که ما به قیاس اولویت گفتیم. </w:t>
      </w:r>
      <w:r w:rsidR="00D15074">
        <w:rPr>
          <w:rFonts w:hint="cs"/>
          <w:rtl/>
        </w:rPr>
        <w:t>نمی‌گویم</w:t>
      </w:r>
      <w:r>
        <w:rPr>
          <w:rFonts w:hint="cs"/>
          <w:rtl/>
        </w:rPr>
        <w:t xml:space="preserve"> </w:t>
      </w:r>
      <w:r w:rsidR="00D15074">
        <w:rPr>
          <w:rFonts w:hint="cs"/>
          <w:rtl/>
        </w:rPr>
        <w:t>حتماً</w:t>
      </w:r>
      <w:r>
        <w:rPr>
          <w:rFonts w:hint="cs"/>
          <w:rtl/>
        </w:rPr>
        <w:t xml:space="preserve"> حرف ما درست است بلکه </w:t>
      </w:r>
      <w:r w:rsidR="00D15074">
        <w:rPr>
          <w:rFonts w:hint="cs"/>
          <w:rtl/>
        </w:rPr>
        <w:t>می‌گوید</w:t>
      </w:r>
      <w:r>
        <w:rPr>
          <w:rFonts w:hint="cs"/>
          <w:rtl/>
        </w:rPr>
        <w:t xml:space="preserve"> احتمالش </w:t>
      </w:r>
      <w:r w:rsidR="00D15074">
        <w:rPr>
          <w:rFonts w:hint="cs"/>
          <w:rtl/>
        </w:rPr>
        <w:t>می‌رود</w:t>
      </w:r>
      <w:r>
        <w:rPr>
          <w:rFonts w:hint="cs"/>
          <w:rtl/>
        </w:rPr>
        <w:t xml:space="preserve">. </w:t>
      </w:r>
      <w:r w:rsidR="00D15074">
        <w:rPr>
          <w:rFonts w:hint="cs"/>
          <w:rtl/>
        </w:rPr>
        <w:t>همین‌که</w:t>
      </w:r>
      <w:r>
        <w:rPr>
          <w:rFonts w:hint="cs"/>
          <w:rtl/>
        </w:rPr>
        <w:t xml:space="preserve"> جاء الاحتمال دیگر ن</w:t>
      </w:r>
      <w:r w:rsidR="00D15074">
        <w:rPr>
          <w:rFonts w:hint="cs"/>
          <w:rtl/>
        </w:rPr>
        <w:t>می‌شود</w:t>
      </w:r>
      <w:r>
        <w:rPr>
          <w:rFonts w:hint="cs"/>
          <w:rtl/>
        </w:rPr>
        <w:t xml:space="preserve"> استدلال کرد که وجه و کفین برای همه جایز است. آنچه آقای شب زنده نقد کرد ما تأیید کردیم و آنچه ایشان </w:t>
      </w:r>
      <w:r w:rsidR="00D15074">
        <w:rPr>
          <w:rFonts w:hint="cs"/>
          <w:rtl/>
        </w:rPr>
        <w:t>می‌گویند</w:t>
      </w:r>
      <w:r>
        <w:rPr>
          <w:rFonts w:hint="cs"/>
          <w:rtl/>
        </w:rPr>
        <w:t xml:space="preserve"> اقرب است به نظرم اقرب نیست. این هم تقریر دوم. فتحصل مماذکرنا الی هنا اینکه در این حدیث شریف دو استدلال وجود دارد تقریر اول برای آقای داماد تقریر دوم آقای </w:t>
      </w:r>
      <w:r w:rsidR="00D15074">
        <w:rPr>
          <w:rFonts w:hint="cs"/>
          <w:rtl/>
        </w:rPr>
        <w:t>مؤمن</w:t>
      </w:r>
      <w:r>
        <w:rPr>
          <w:rFonts w:hint="cs"/>
          <w:rtl/>
        </w:rPr>
        <w:t>. تقریر اول قابل دفاع اما دومی مشکوک است.</w:t>
      </w:r>
    </w:p>
    <w:p w:rsidR="00D15074" w:rsidRDefault="00D15074" w:rsidP="00D15074">
      <w:pPr>
        <w:pStyle w:val="Heading2"/>
        <w:rPr>
          <w:rtl/>
        </w:rPr>
      </w:pPr>
      <w:bookmarkStart w:id="17" w:name="_Toc55793605"/>
      <w:r>
        <w:rPr>
          <w:rFonts w:hint="cs"/>
          <w:rtl/>
        </w:rPr>
        <w:t>نسخه دیگر روایت:</w:t>
      </w:r>
      <w:bookmarkEnd w:id="17"/>
    </w:p>
    <w:p w:rsidR="005F4564" w:rsidRDefault="005F4564" w:rsidP="00247A40">
      <w:pPr>
        <w:rPr>
          <w:rtl/>
        </w:rPr>
      </w:pPr>
      <w:r>
        <w:rPr>
          <w:rFonts w:hint="cs"/>
          <w:rtl/>
        </w:rPr>
        <w:t xml:space="preserve">مطلب دیگری که در این روایت هست و آقای </w:t>
      </w:r>
      <w:r w:rsidR="00D15074">
        <w:rPr>
          <w:rFonts w:hint="cs"/>
          <w:rtl/>
        </w:rPr>
        <w:t>شب‌زنده‌دار</w:t>
      </w:r>
      <w:r>
        <w:rPr>
          <w:rFonts w:hint="cs"/>
          <w:rtl/>
        </w:rPr>
        <w:t xml:space="preserve"> </w:t>
      </w:r>
      <w:r w:rsidR="00D15074">
        <w:rPr>
          <w:rFonts w:hint="cs"/>
          <w:rtl/>
        </w:rPr>
        <w:t>آورده‌اند</w:t>
      </w:r>
      <w:r>
        <w:rPr>
          <w:rFonts w:hint="cs"/>
          <w:rtl/>
        </w:rPr>
        <w:t xml:space="preserve"> اینکه نسخه بدلی در این روایت است که همه را به هم </w:t>
      </w:r>
      <w:r w:rsidR="00D15074">
        <w:rPr>
          <w:rFonts w:hint="cs"/>
          <w:rtl/>
        </w:rPr>
        <w:t>می‌ریزد</w:t>
      </w:r>
      <w:r>
        <w:rPr>
          <w:rFonts w:hint="cs"/>
          <w:rtl/>
        </w:rPr>
        <w:t xml:space="preserve">. در وسائل دست ما و قرب الاسناد که مرجع اصلی روایت است متن به همین صورتی است که با آن </w:t>
      </w:r>
      <w:r w:rsidR="00D15074">
        <w:rPr>
          <w:rFonts w:hint="cs"/>
          <w:rtl/>
        </w:rPr>
        <w:t>سروکار</w:t>
      </w:r>
      <w:r>
        <w:rPr>
          <w:rFonts w:hint="cs"/>
          <w:rtl/>
        </w:rPr>
        <w:t xml:space="preserve"> </w:t>
      </w:r>
      <w:r w:rsidR="00D15074">
        <w:rPr>
          <w:rFonts w:hint="cs"/>
          <w:rtl/>
        </w:rPr>
        <w:t>داشته‌ایم</w:t>
      </w:r>
      <w:r>
        <w:rPr>
          <w:rFonts w:hint="cs"/>
          <w:rtl/>
        </w:rPr>
        <w:t xml:space="preserve">. امام </w:t>
      </w:r>
      <w:r w:rsidR="00D15074">
        <w:rPr>
          <w:rFonts w:hint="cs"/>
          <w:rtl/>
        </w:rPr>
        <w:t>می‌فرمایند</w:t>
      </w:r>
      <w:r>
        <w:rPr>
          <w:rFonts w:hint="cs"/>
          <w:rtl/>
        </w:rPr>
        <w:t xml:space="preserve"> </w:t>
      </w:r>
      <w:r w:rsidR="00B1058E">
        <w:rPr>
          <w:rFonts w:hint="cs"/>
          <w:rtl/>
        </w:rPr>
        <w:t>«</w:t>
      </w:r>
      <w:r w:rsidRPr="00B1058E">
        <w:rPr>
          <w:rFonts w:hint="cs"/>
          <w:color w:val="008000"/>
          <w:rtl/>
        </w:rPr>
        <w:t>فمالی من النظر منها</w:t>
      </w:r>
      <w:r w:rsidR="00B1058E">
        <w:rPr>
          <w:rFonts w:hint="cs"/>
          <w:rtl/>
        </w:rPr>
        <w:t>»</w:t>
      </w:r>
      <w:r>
        <w:rPr>
          <w:rFonts w:hint="cs"/>
          <w:rtl/>
        </w:rPr>
        <w:t xml:space="preserve"> امام </w:t>
      </w:r>
      <w:r w:rsidR="00D15074">
        <w:rPr>
          <w:rFonts w:hint="cs"/>
          <w:rtl/>
        </w:rPr>
        <w:t>می‌فرمایند</w:t>
      </w:r>
      <w:r>
        <w:rPr>
          <w:rFonts w:hint="cs"/>
          <w:rtl/>
        </w:rPr>
        <w:t xml:space="preserve"> </w:t>
      </w:r>
      <w:r w:rsidR="00B1058E">
        <w:rPr>
          <w:rFonts w:hint="cs"/>
          <w:rtl/>
        </w:rPr>
        <w:t>«</w:t>
      </w:r>
      <w:r w:rsidRPr="00B1058E">
        <w:rPr>
          <w:rFonts w:hint="cs"/>
          <w:color w:val="008000"/>
          <w:rtl/>
        </w:rPr>
        <w:t>شعرها و ذراعها</w:t>
      </w:r>
      <w:r w:rsidR="00B1058E">
        <w:rPr>
          <w:rFonts w:hint="cs"/>
          <w:rtl/>
        </w:rPr>
        <w:t>»</w:t>
      </w:r>
      <w:r>
        <w:rPr>
          <w:rFonts w:hint="cs"/>
          <w:rtl/>
        </w:rPr>
        <w:t xml:space="preserve"> در وسائل و در مرجع اصلی قرب الاسناد اما مشکلی هست و آن تعدد </w:t>
      </w:r>
      <w:r w:rsidR="00D15074">
        <w:rPr>
          <w:rFonts w:hint="cs"/>
          <w:rtl/>
        </w:rPr>
        <w:t>نسخه‌ها</w:t>
      </w:r>
      <w:r>
        <w:rPr>
          <w:rFonts w:hint="cs"/>
          <w:rtl/>
        </w:rPr>
        <w:t xml:space="preserve"> و آن در کتاب </w:t>
      </w:r>
      <w:r w:rsidR="00247A40">
        <w:rPr>
          <w:rFonts w:hint="cs"/>
          <w:rtl/>
        </w:rPr>
        <w:t>دیگر صاحب وسائل است به نام هدایة</w:t>
      </w:r>
      <w:r>
        <w:rPr>
          <w:rFonts w:hint="cs"/>
          <w:rtl/>
        </w:rPr>
        <w:t xml:space="preserve"> الام</w:t>
      </w:r>
      <w:r w:rsidR="00247A40">
        <w:rPr>
          <w:rFonts w:hint="cs"/>
          <w:rtl/>
        </w:rPr>
        <w:t>ة</w:t>
      </w:r>
      <w:r>
        <w:rPr>
          <w:rFonts w:hint="cs"/>
          <w:rtl/>
        </w:rPr>
        <w:t xml:space="preserve"> الی احکام الائمه کتاب </w:t>
      </w:r>
      <w:r w:rsidR="00D15074">
        <w:rPr>
          <w:rFonts w:hint="cs"/>
          <w:rtl/>
        </w:rPr>
        <w:t>چاپ‌شده</w:t>
      </w:r>
      <w:r>
        <w:rPr>
          <w:rFonts w:hint="cs"/>
          <w:rtl/>
        </w:rPr>
        <w:t xml:space="preserve"> و 8 جلد است. از وسائل </w:t>
      </w:r>
      <w:r w:rsidR="00D15074">
        <w:rPr>
          <w:rFonts w:hint="cs"/>
          <w:rtl/>
        </w:rPr>
        <w:t>خلاصه‌تر</w:t>
      </w:r>
      <w:r>
        <w:rPr>
          <w:rFonts w:hint="cs"/>
          <w:rtl/>
        </w:rPr>
        <w:t xml:space="preserve"> است روایات هم مرسل و مقطوع السند نقل شده و ارجاع به کتبی که از آن گرفته داده است. همان منابع اصلی وسائل الشیعه با </w:t>
      </w:r>
      <w:r w:rsidR="00D15074">
        <w:rPr>
          <w:rFonts w:hint="cs"/>
          <w:rtl/>
        </w:rPr>
        <w:t>تفاوت‌هایی</w:t>
      </w:r>
      <w:r>
        <w:rPr>
          <w:rFonts w:hint="cs"/>
          <w:rtl/>
        </w:rPr>
        <w:t xml:space="preserve"> </w:t>
      </w:r>
      <w:r w:rsidR="00D15074">
        <w:rPr>
          <w:rFonts w:hint="cs"/>
          <w:rtl/>
        </w:rPr>
        <w:t>ازلحاظ</w:t>
      </w:r>
      <w:r>
        <w:rPr>
          <w:rFonts w:hint="cs"/>
          <w:rtl/>
        </w:rPr>
        <w:t xml:space="preserve"> انتخاب مسائل که موضع بحث ما نیست. در کتاب حدیثی دیگر صاحب وسائل امام </w:t>
      </w:r>
      <w:r w:rsidR="00D15074">
        <w:rPr>
          <w:rFonts w:hint="cs"/>
          <w:rtl/>
        </w:rPr>
        <w:t>فرموده‌اند</w:t>
      </w:r>
      <w:r>
        <w:rPr>
          <w:rFonts w:hint="cs"/>
          <w:rtl/>
        </w:rPr>
        <w:t xml:space="preserve"> </w:t>
      </w:r>
      <w:r w:rsidR="00B1058E">
        <w:rPr>
          <w:rFonts w:hint="cs"/>
          <w:rtl/>
        </w:rPr>
        <w:t>«</w:t>
      </w:r>
      <w:r w:rsidRPr="00B1058E">
        <w:rPr>
          <w:rFonts w:hint="cs"/>
          <w:color w:val="008000"/>
          <w:rtl/>
        </w:rPr>
        <w:t>وجهها و ذراعها</w:t>
      </w:r>
      <w:r w:rsidR="00B1058E">
        <w:rPr>
          <w:rFonts w:hint="cs"/>
          <w:rtl/>
        </w:rPr>
        <w:t>»</w:t>
      </w:r>
      <w:r>
        <w:rPr>
          <w:rFonts w:hint="cs"/>
          <w:rtl/>
        </w:rPr>
        <w:t xml:space="preserve"> (بالرفع) در </w:t>
      </w:r>
      <w:r w:rsidR="00D15074">
        <w:rPr>
          <w:rFonts w:hint="cs"/>
          <w:rtl/>
        </w:rPr>
        <w:t>نرم‌افزار</w:t>
      </w:r>
      <w:r>
        <w:rPr>
          <w:rFonts w:hint="cs"/>
          <w:rtl/>
        </w:rPr>
        <w:t xml:space="preserve"> به کسر آمده که </w:t>
      </w:r>
      <w:r w:rsidR="00D15074">
        <w:rPr>
          <w:rFonts w:hint="cs"/>
          <w:rtl/>
        </w:rPr>
        <w:t>می‌شود</w:t>
      </w:r>
      <w:r>
        <w:rPr>
          <w:rFonts w:hint="cs"/>
          <w:rtl/>
        </w:rPr>
        <w:t xml:space="preserve"> </w:t>
      </w:r>
      <w:r w:rsidR="00D15074">
        <w:rPr>
          <w:rFonts w:hint="cs"/>
          <w:rtl/>
        </w:rPr>
        <w:t>ازلحاظ</w:t>
      </w:r>
      <w:r>
        <w:rPr>
          <w:rFonts w:hint="cs"/>
          <w:rtl/>
        </w:rPr>
        <w:t xml:space="preserve"> ادبی درستش کرد اما خلاف ظاهر است ظاهر به رفع است. نسخه دوم کل این روایت را تغییر </w:t>
      </w:r>
      <w:r w:rsidR="00D15074">
        <w:rPr>
          <w:rFonts w:hint="cs"/>
          <w:rtl/>
        </w:rPr>
        <w:t>می‌دهد</w:t>
      </w:r>
      <w:r>
        <w:rPr>
          <w:rFonts w:hint="cs"/>
          <w:rtl/>
        </w:rPr>
        <w:t xml:space="preserve">. با این بیان کل دلالت روایت تغییر </w:t>
      </w:r>
      <w:r w:rsidR="00D15074">
        <w:rPr>
          <w:rFonts w:hint="cs"/>
          <w:rtl/>
        </w:rPr>
        <w:t>می‌کند</w:t>
      </w:r>
      <w:r>
        <w:rPr>
          <w:rFonts w:hint="cs"/>
          <w:rtl/>
        </w:rPr>
        <w:t xml:space="preserve"> و به نظر </w:t>
      </w:r>
      <w:r w:rsidR="00D15074">
        <w:rPr>
          <w:rFonts w:hint="cs"/>
          <w:rtl/>
        </w:rPr>
        <w:t>می‌آید</w:t>
      </w:r>
      <w:r>
        <w:rPr>
          <w:rFonts w:hint="cs"/>
          <w:rtl/>
        </w:rPr>
        <w:t xml:space="preserve"> روایت جایگاهش از ادله جواز نظر به وجه و کفین منتقل </w:t>
      </w:r>
      <w:r w:rsidR="00D15074">
        <w:rPr>
          <w:rFonts w:hint="cs"/>
          <w:rtl/>
        </w:rPr>
        <w:t>می‌شود</w:t>
      </w:r>
      <w:r>
        <w:rPr>
          <w:rFonts w:hint="cs"/>
          <w:rtl/>
        </w:rPr>
        <w:t xml:space="preserve"> به جایگاه روایات طائفه اولی که حرمت نظر به وجه و کفین است. یک کلمه تغییر کرد روایت از این سکو به دیگری </w:t>
      </w:r>
      <w:r w:rsidR="00D15074">
        <w:rPr>
          <w:rFonts w:hint="cs"/>
          <w:rtl/>
        </w:rPr>
        <w:t>می‌پرد</w:t>
      </w:r>
      <w:r>
        <w:rPr>
          <w:rFonts w:hint="cs"/>
          <w:rtl/>
        </w:rPr>
        <w:t xml:space="preserve">. </w:t>
      </w:r>
    </w:p>
    <w:p w:rsidR="009A7BB7" w:rsidRPr="00B1058E" w:rsidRDefault="00B1058E" w:rsidP="00B1058E">
      <w:pPr>
        <w:pStyle w:val="NormalWeb"/>
        <w:bidi/>
        <w:rPr>
          <w:rFonts w:ascii="Traditional Arabic" w:hAnsi="Traditional Arabic" w:cs="Traditional Arabic"/>
          <w:sz w:val="30"/>
          <w:szCs w:val="30"/>
          <w:rtl/>
          <w:lang w:bidi="fa-IR"/>
        </w:rPr>
      </w:pPr>
      <w:r w:rsidRPr="00B1058E">
        <w:rPr>
          <w:rFonts w:ascii="Traditional Arabic" w:hAnsi="Traditional Arabic" w:cs="Traditional Arabic" w:hint="cs"/>
          <w:sz w:val="30"/>
          <w:szCs w:val="30"/>
          <w:rtl/>
          <w:lang w:bidi="fa-IR"/>
        </w:rPr>
        <w:t>«</w:t>
      </w:r>
      <w:r w:rsidRPr="00B1058E">
        <w:rPr>
          <w:rFonts w:ascii="Traditional Arabic" w:hAnsi="Traditional Arabic" w:cs="Traditional Arabic"/>
          <w:color w:val="008000"/>
          <w:sz w:val="30"/>
          <w:szCs w:val="30"/>
          <w:rtl/>
          <w:lang w:bidi="fa-IR"/>
        </w:rPr>
        <w:t>سُئِلَ الرِّضَا عَلَيْهِ السَّلَامُ عَنِ الرَّجُلِ، يَحِلُّ لَهُ أَنْ يَنْظُرَ إِلَى شَعْرِ أُخْتِ امْرَأَتِهِ؟ فَقَالَ: لَا، إِلَّا أَنْ تَكُونَ مِنَ الْقَوَاعِدِ، قِيلَ لَهُ: أُخْتُ امْرَأَتِهِ هِيَ وَ الْغَرِيبَةُ سَوَاءٌ؟ قَالَ: نَعَمْ، قِيلَ: فَمَا لِي مِنَ النَّظَرِ إِلَيْهِ مِنْهَا؟ ق</w:t>
      </w:r>
      <w:r>
        <w:rPr>
          <w:rFonts w:ascii="Traditional Arabic" w:hAnsi="Traditional Arabic" w:cs="Traditional Arabic"/>
          <w:color w:val="008000"/>
          <w:sz w:val="30"/>
          <w:szCs w:val="30"/>
          <w:rtl/>
          <w:lang w:bidi="fa-IR"/>
        </w:rPr>
        <w:t>َالَ: وَجْهِهَا وَ ذِرَاعَيْهَا</w:t>
      </w:r>
      <w:r w:rsidRPr="00B1058E">
        <w:rPr>
          <w:rFonts w:ascii="Traditional Arabic" w:hAnsi="Traditional Arabic" w:cs="Traditional Arabic" w:hint="cs"/>
          <w:sz w:val="30"/>
          <w:szCs w:val="30"/>
          <w:rtl/>
          <w:lang w:bidi="fa-IR"/>
        </w:rPr>
        <w:t>»</w:t>
      </w:r>
      <w:r w:rsidR="009A7BB7" w:rsidRPr="00B1058E">
        <w:rPr>
          <w:rFonts w:ascii="Traditional Arabic" w:hAnsi="Traditional Arabic" w:cs="Traditional Arabic" w:hint="cs"/>
          <w:sz w:val="30"/>
          <w:szCs w:val="30"/>
          <w:rtl/>
          <w:lang w:bidi="fa-IR"/>
        </w:rPr>
        <w:t>.</w:t>
      </w:r>
      <w:r w:rsidR="009A7BB7" w:rsidRPr="00B1058E">
        <w:rPr>
          <w:rStyle w:val="FootnoteReference"/>
          <w:rFonts w:ascii="Traditional Arabic" w:hAnsi="Traditional Arabic" w:cs="Traditional Arabic"/>
          <w:sz w:val="30"/>
          <w:szCs w:val="30"/>
          <w:rtl/>
          <w:lang w:bidi="fa-IR"/>
        </w:rPr>
        <w:footnoteReference w:id="2"/>
      </w:r>
    </w:p>
    <w:p w:rsidR="009A7BB7" w:rsidRDefault="009A7BB7" w:rsidP="00CC1B41">
      <w:pPr>
        <w:rPr>
          <w:rtl/>
        </w:rPr>
      </w:pPr>
      <w:r>
        <w:rPr>
          <w:rFonts w:hint="cs"/>
          <w:rtl/>
        </w:rPr>
        <w:t xml:space="preserve">اینکه آخر گفته وجه هم </w:t>
      </w:r>
      <w:r w:rsidR="00D15074">
        <w:rPr>
          <w:rFonts w:hint="cs"/>
          <w:rtl/>
        </w:rPr>
        <w:t>می‌شود</w:t>
      </w:r>
      <w:r>
        <w:rPr>
          <w:rFonts w:hint="cs"/>
          <w:rtl/>
        </w:rPr>
        <w:t xml:space="preserve"> نگاه کرد معلوم </w:t>
      </w:r>
      <w:r w:rsidR="00D15074">
        <w:rPr>
          <w:rFonts w:hint="cs"/>
          <w:rtl/>
        </w:rPr>
        <w:t>می‌شود</w:t>
      </w:r>
      <w:r>
        <w:rPr>
          <w:rFonts w:hint="cs"/>
          <w:rtl/>
        </w:rPr>
        <w:t xml:space="preserve"> وجه هم مقصود است و از اول جایز نبوده. در مقام آنچه قعود اقتضا کرده استثنا شود وجه را استثنا کرده. پس در غیر قعود وجه جایز النظر نیست. این را حصر نشان </w:t>
      </w:r>
      <w:r w:rsidR="00D15074">
        <w:rPr>
          <w:rFonts w:hint="cs"/>
          <w:rtl/>
        </w:rPr>
        <w:t>می‌دهد</w:t>
      </w:r>
      <w:r>
        <w:rPr>
          <w:rFonts w:hint="cs"/>
          <w:rtl/>
        </w:rPr>
        <w:t xml:space="preserve">. ولو اینکه در صدر اگر تنهایی بود آن استدلال را درست </w:t>
      </w:r>
      <w:r w:rsidR="00D15074">
        <w:rPr>
          <w:rFonts w:hint="cs"/>
          <w:rtl/>
        </w:rPr>
        <w:t>می‌کردیم</w:t>
      </w:r>
      <w:r>
        <w:rPr>
          <w:rFonts w:hint="cs"/>
          <w:rtl/>
        </w:rPr>
        <w:t xml:space="preserve"> اما ذیل که پای وجه در کار </w:t>
      </w:r>
      <w:r w:rsidR="00D15074">
        <w:rPr>
          <w:rFonts w:hint="cs"/>
          <w:rtl/>
        </w:rPr>
        <w:t>می‌آید</w:t>
      </w:r>
      <w:r>
        <w:rPr>
          <w:rFonts w:hint="cs"/>
          <w:rtl/>
        </w:rPr>
        <w:t xml:space="preserve"> </w:t>
      </w:r>
      <w:r w:rsidR="00D15074">
        <w:rPr>
          <w:rFonts w:hint="cs"/>
          <w:rtl/>
        </w:rPr>
        <w:t>آن‌هم</w:t>
      </w:r>
      <w:r>
        <w:rPr>
          <w:rFonts w:hint="cs"/>
          <w:rtl/>
        </w:rPr>
        <w:t xml:space="preserve"> در مقام حصر قواعد  که از اصل کلی استثنا شده نگاه به وجه و ذراع جایز است. مفادش این است که وجه هم جایز نیست.</w:t>
      </w:r>
    </w:p>
    <w:p w:rsidR="009A7BB7" w:rsidRDefault="00D15074" w:rsidP="00CC1B41">
      <w:pPr>
        <w:rPr>
          <w:rtl/>
        </w:rPr>
      </w:pPr>
      <w:r>
        <w:rPr>
          <w:rFonts w:hint="cs"/>
          <w:rtl/>
        </w:rPr>
        <w:t>سؤال</w:t>
      </w:r>
      <w:r w:rsidR="009A7BB7">
        <w:rPr>
          <w:rFonts w:hint="cs"/>
          <w:rtl/>
        </w:rPr>
        <w:t>: چرا جایز نباشد؟ مفهوم وصف است...</w:t>
      </w:r>
    </w:p>
    <w:p w:rsidR="009A7BB7" w:rsidRDefault="009A7BB7" w:rsidP="00CC1B41">
      <w:pPr>
        <w:rPr>
          <w:rtl/>
        </w:rPr>
      </w:pPr>
      <w:r>
        <w:rPr>
          <w:rFonts w:hint="cs"/>
          <w:rtl/>
        </w:rPr>
        <w:t xml:space="preserve">جواب: دو حرف ما داریم. یکی اینکه استدلال تقریب دوم فرومریزد بلکه تقریر اول هم </w:t>
      </w:r>
      <w:r w:rsidR="00D15074">
        <w:rPr>
          <w:rFonts w:hint="cs"/>
          <w:rtl/>
        </w:rPr>
        <w:t>فرومی‌ریزد</w:t>
      </w:r>
      <w:r>
        <w:rPr>
          <w:rFonts w:hint="cs"/>
          <w:rtl/>
        </w:rPr>
        <w:t xml:space="preserve">. دیگر اینکه </w:t>
      </w:r>
      <w:r w:rsidR="00D15074">
        <w:rPr>
          <w:rFonts w:hint="cs"/>
          <w:rtl/>
        </w:rPr>
        <w:t>نه‌تنها</w:t>
      </w:r>
      <w:r>
        <w:rPr>
          <w:rFonts w:hint="cs"/>
          <w:rtl/>
        </w:rPr>
        <w:t xml:space="preserve"> دلالت بر جواز ندارد بلکه دلالت بر عدم جواز دارد. شبهه شما شاید کسی دلالت عدم جواز را تردید کند اما اینکه این روایت دلیل بر جواز ن</w:t>
      </w:r>
      <w:r w:rsidR="00D15074">
        <w:rPr>
          <w:rFonts w:hint="cs"/>
          <w:rtl/>
        </w:rPr>
        <w:t>می‌شود</w:t>
      </w:r>
      <w:r>
        <w:rPr>
          <w:rFonts w:hint="cs"/>
          <w:rtl/>
        </w:rPr>
        <w:t xml:space="preserve"> را ن</w:t>
      </w:r>
      <w:r w:rsidR="00D15074">
        <w:rPr>
          <w:rFonts w:hint="cs"/>
          <w:rtl/>
        </w:rPr>
        <w:t>می‌شود</w:t>
      </w:r>
      <w:r>
        <w:rPr>
          <w:rFonts w:hint="cs"/>
          <w:rtl/>
        </w:rPr>
        <w:t xml:space="preserve"> کاری کرد. در مورد قواعد </w:t>
      </w:r>
      <w:r w:rsidR="00D15074">
        <w:rPr>
          <w:rFonts w:hint="cs"/>
          <w:rtl/>
        </w:rPr>
        <w:t>می‌گوید</w:t>
      </w:r>
      <w:r>
        <w:rPr>
          <w:rFonts w:hint="cs"/>
          <w:rtl/>
        </w:rPr>
        <w:t xml:space="preserve"> به وجه و ذراع </w:t>
      </w:r>
      <w:r w:rsidR="00D15074">
        <w:rPr>
          <w:rFonts w:hint="cs"/>
          <w:rtl/>
        </w:rPr>
        <w:t>می‌شود</w:t>
      </w:r>
      <w:r>
        <w:rPr>
          <w:rFonts w:hint="cs"/>
          <w:rtl/>
        </w:rPr>
        <w:t xml:space="preserve"> نگاه کرد در غیر قواعد چه؟ استدلالات </w:t>
      </w:r>
      <w:r w:rsidR="00D15074">
        <w:rPr>
          <w:rFonts w:hint="cs"/>
          <w:rtl/>
        </w:rPr>
        <w:t>فرومی‌ریزد</w:t>
      </w:r>
      <w:r>
        <w:rPr>
          <w:rFonts w:hint="cs"/>
          <w:rtl/>
        </w:rPr>
        <w:t xml:space="preserve">. تقریر دوم </w:t>
      </w:r>
      <w:r w:rsidR="00D15074">
        <w:rPr>
          <w:rFonts w:hint="cs"/>
          <w:rtl/>
        </w:rPr>
        <w:t>فرومی‌ریزد</w:t>
      </w:r>
      <w:r>
        <w:rPr>
          <w:rFonts w:hint="cs"/>
          <w:rtl/>
        </w:rPr>
        <w:t xml:space="preserve"> چون قوامش به این بود که در قواعد فقط وجه و ذراع و وجه نگفته معلوم </w:t>
      </w:r>
      <w:r w:rsidR="00D15074">
        <w:rPr>
          <w:rFonts w:hint="cs"/>
          <w:rtl/>
        </w:rPr>
        <w:t>می‌شود</w:t>
      </w:r>
      <w:r>
        <w:rPr>
          <w:rFonts w:hint="cs"/>
          <w:rtl/>
        </w:rPr>
        <w:t xml:space="preserve"> شعر و ذراع فقط جایز است اما اینجا وجه را گفته. تقریر او هم استحکام خودش را از دست </w:t>
      </w:r>
      <w:r w:rsidR="00D15074">
        <w:rPr>
          <w:rFonts w:hint="cs"/>
          <w:rtl/>
        </w:rPr>
        <w:t>می‌دهد</w:t>
      </w:r>
      <w:r>
        <w:rPr>
          <w:rFonts w:hint="cs"/>
          <w:rtl/>
        </w:rPr>
        <w:t xml:space="preserve">. ما گفتیم ارتکاز داشته. گویا امام </w:t>
      </w:r>
      <w:r w:rsidR="00D15074">
        <w:rPr>
          <w:rFonts w:hint="cs"/>
          <w:rtl/>
        </w:rPr>
        <w:t>بابیان</w:t>
      </w:r>
      <w:r>
        <w:rPr>
          <w:rFonts w:hint="cs"/>
          <w:rtl/>
        </w:rPr>
        <w:t xml:space="preserve"> اخیرشان ارتکاز را ردع </w:t>
      </w:r>
      <w:r w:rsidR="00D15074">
        <w:rPr>
          <w:rFonts w:hint="cs"/>
          <w:rtl/>
        </w:rPr>
        <w:t>می‌کنند</w:t>
      </w:r>
      <w:r>
        <w:rPr>
          <w:rFonts w:hint="cs"/>
          <w:rtl/>
        </w:rPr>
        <w:t xml:space="preserve"> و ما </w:t>
      </w:r>
      <w:r w:rsidR="00D15074">
        <w:rPr>
          <w:rFonts w:hint="cs"/>
          <w:rtl/>
        </w:rPr>
        <w:t>نمی‌توانیم</w:t>
      </w:r>
      <w:r>
        <w:rPr>
          <w:rFonts w:hint="cs"/>
          <w:rtl/>
        </w:rPr>
        <w:t xml:space="preserve"> اطمینان داشته باشیم. تا اینجا مناقشه وارد است. ممکن است کسی بالاتر بیاید و بگوید طوری این افاده این را </w:t>
      </w:r>
      <w:r w:rsidR="00D15074">
        <w:rPr>
          <w:rFonts w:hint="cs"/>
          <w:rtl/>
        </w:rPr>
        <w:t>می‌کند</w:t>
      </w:r>
      <w:r>
        <w:rPr>
          <w:rFonts w:hint="cs"/>
          <w:rtl/>
        </w:rPr>
        <w:t xml:space="preserve"> که لایجوز النظر الی الوجه زیرا در مقام حصر قواعد وجه را آورده است و معلوم </w:t>
      </w:r>
      <w:r w:rsidR="00D15074">
        <w:rPr>
          <w:rFonts w:hint="cs"/>
          <w:rtl/>
        </w:rPr>
        <w:t>می‌شود</w:t>
      </w:r>
      <w:r>
        <w:rPr>
          <w:rFonts w:hint="cs"/>
          <w:rtl/>
        </w:rPr>
        <w:t xml:space="preserve"> استدلال خیلی </w:t>
      </w:r>
      <w:r w:rsidR="00D15074">
        <w:rPr>
          <w:rFonts w:hint="cs"/>
          <w:rtl/>
        </w:rPr>
        <w:t>بی‌ربط</w:t>
      </w:r>
      <w:r>
        <w:rPr>
          <w:rFonts w:hint="cs"/>
          <w:rtl/>
        </w:rPr>
        <w:t xml:space="preserve"> نیست زیرا در مقام حصر اعضا در قواعد است یعنی با </w:t>
      </w:r>
      <w:r w:rsidR="00D15074">
        <w:rPr>
          <w:rFonts w:hint="cs"/>
          <w:rtl/>
        </w:rPr>
        <w:t>قطع‌نظر</w:t>
      </w:r>
      <w:r>
        <w:rPr>
          <w:rFonts w:hint="cs"/>
          <w:rtl/>
        </w:rPr>
        <w:t xml:space="preserve"> از قاعده بودن دیگر این نیست. این نسخه دوم است.</w:t>
      </w:r>
    </w:p>
    <w:p w:rsidR="009A7BB7" w:rsidRDefault="009A7BB7" w:rsidP="00CC1B41">
      <w:pPr>
        <w:rPr>
          <w:rtl/>
        </w:rPr>
      </w:pPr>
    </w:p>
    <w:p w:rsidR="00CC1B41" w:rsidRDefault="00CC1B41" w:rsidP="00CC1B41"/>
    <w:p w:rsidR="00CC1B41" w:rsidRPr="00643046" w:rsidRDefault="00CC1B41" w:rsidP="00CC1B41">
      <w:pPr>
        <w:rPr>
          <w:rtl/>
        </w:rPr>
      </w:pPr>
    </w:p>
    <w:sectPr w:rsidR="00CC1B41" w:rsidRPr="0064304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CB" w:rsidRDefault="00A764CB" w:rsidP="004D5B1F">
      <w:r>
        <w:separator/>
      </w:r>
    </w:p>
  </w:endnote>
  <w:endnote w:type="continuationSeparator" w:id="0">
    <w:p w:rsidR="00A764CB" w:rsidRDefault="00A764C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40" w:rsidRDefault="00247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F4B44" w:rsidRDefault="003F4B44" w:rsidP="004D5B1F">
        <w:pPr>
          <w:pStyle w:val="Footer"/>
        </w:pPr>
        <w:r>
          <w:fldChar w:fldCharType="begin"/>
        </w:r>
        <w:r>
          <w:instrText xml:space="preserve"> PAGE   \* MERGEFORMAT </w:instrText>
        </w:r>
        <w:r>
          <w:fldChar w:fldCharType="separate"/>
        </w:r>
        <w:r w:rsidR="004A32B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40" w:rsidRDefault="0024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CB" w:rsidRDefault="00A764CB" w:rsidP="004D5B1F">
      <w:r>
        <w:separator/>
      </w:r>
    </w:p>
  </w:footnote>
  <w:footnote w:type="continuationSeparator" w:id="0">
    <w:p w:rsidR="00A764CB" w:rsidRDefault="00A764CB" w:rsidP="004D5B1F">
      <w:r>
        <w:continuationSeparator/>
      </w:r>
    </w:p>
  </w:footnote>
  <w:footnote w:id="1">
    <w:p w:rsidR="008F1823" w:rsidRPr="00247A40" w:rsidRDefault="008F1823" w:rsidP="00247A40">
      <w:pPr>
        <w:pStyle w:val="FootnoteText"/>
        <w:rPr>
          <w:b/>
          <w:bCs/>
          <w:rtl/>
        </w:rPr>
      </w:pPr>
      <w:r w:rsidRPr="00247A40">
        <w:rPr>
          <w:rStyle w:val="FootnoteReference"/>
          <w:rFonts w:eastAsia="2  Lotus"/>
          <w:b/>
          <w:bCs/>
        </w:rPr>
        <w:footnoteRef/>
      </w:r>
      <w:r w:rsidRPr="00247A40">
        <w:rPr>
          <w:b/>
          <w:bCs/>
          <w:rtl/>
        </w:rPr>
        <w:t xml:space="preserve"> </w:t>
      </w:r>
      <w:r w:rsidR="00247A40">
        <w:rPr>
          <w:rFonts w:hint="cs"/>
          <w:b/>
          <w:bCs/>
          <w:rtl/>
        </w:rPr>
        <w:t>وسائل الشيعة، ج‏20، ص</w:t>
      </w:r>
      <w:r w:rsidRPr="00247A40">
        <w:rPr>
          <w:rFonts w:hint="cs"/>
          <w:b/>
          <w:bCs/>
          <w:rtl/>
        </w:rPr>
        <w:t xml:space="preserve"> 199</w:t>
      </w:r>
      <w:r w:rsidR="00247A40">
        <w:rPr>
          <w:rFonts w:hint="cs"/>
          <w:b/>
          <w:bCs/>
          <w:rtl/>
        </w:rPr>
        <w:t>.</w:t>
      </w:r>
    </w:p>
  </w:footnote>
  <w:footnote w:id="2">
    <w:p w:rsidR="009A7BB7" w:rsidRPr="00247A40" w:rsidRDefault="009A7BB7" w:rsidP="00247A40">
      <w:pPr>
        <w:pStyle w:val="FootnoteText"/>
        <w:rPr>
          <w:b/>
          <w:bCs/>
        </w:rPr>
      </w:pPr>
      <w:r w:rsidRPr="00247A40">
        <w:rPr>
          <w:rStyle w:val="FootnoteReference"/>
          <w:b/>
          <w:bCs/>
        </w:rPr>
        <w:footnoteRef/>
      </w:r>
      <w:r w:rsidR="00B1058E" w:rsidRPr="00247A40">
        <w:rPr>
          <w:rFonts w:hint="cs"/>
          <w:b/>
          <w:bCs/>
          <w:rtl/>
        </w:rPr>
        <w:t>.</w:t>
      </w:r>
      <w:r w:rsidR="00B1058E" w:rsidRPr="00247A40">
        <w:rPr>
          <w:b/>
          <w:bCs/>
          <w:rtl/>
        </w:rPr>
        <w:t xml:space="preserve"> هداية الأمة إلى أحكام الأئمة </w:t>
      </w:r>
      <w:r w:rsidR="00247A40">
        <w:rPr>
          <w:b/>
          <w:bCs/>
          <w:rtl/>
        </w:rPr>
        <w:t>عل</w:t>
      </w:r>
      <w:r w:rsidR="00247A40">
        <w:rPr>
          <w:rFonts w:hint="cs"/>
          <w:b/>
          <w:bCs/>
          <w:rtl/>
        </w:rPr>
        <w:t>ی</w:t>
      </w:r>
      <w:r w:rsidR="00247A40">
        <w:rPr>
          <w:rFonts w:hint="eastAsia"/>
          <w:b/>
          <w:bCs/>
          <w:rtl/>
        </w:rPr>
        <w:t>هم‌السلام</w:t>
      </w:r>
      <w:r w:rsidR="00B1058E" w:rsidRPr="00247A40">
        <w:rPr>
          <w:b/>
          <w:bCs/>
          <w:rtl/>
        </w:rPr>
        <w:t>، ج</w:t>
      </w:r>
      <w:r w:rsidR="00B1058E" w:rsidRPr="00247A40">
        <w:rPr>
          <w:rFonts w:hint="cs"/>
          <w:b/>
          <w:bCs/>
          <w:rtl/>
        </w:rPr>
        <w:t xml:space="preserve"> </w:t>
      </w:r>
      <w:r w:rsidR="00B1058E" w:rsidRPr="00247A40">
        <w:rPr>
          <w:b/>
          <w:bCs/>
          <w:rtl/>
        </w:rPr>
        <w:t>7، ص 78</w:t>
      </w:r>
      <w:r w:rsidR="00B1058E" w:rsidRPr="00247A40">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40" w:rsidRDefault="00247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44" w:rsidRDefault="003F4B44" w:rsidP="00D15074">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1</w:t>
    </w:r>
    <w:r w:rsidR="00D15074">
      <w:rPr>
        <w:rFonts w:ascii="Adobe Arabic" w:hAnsi="Adobe Arabic" w:cs="Adobe Arabic" w:hint="cs"/>
        <w:b/>
        <w:bCs/>
        <w:sz w:val="24"/>
        <w:szCs w:val="24"/>
        <w:rtl/>
      </w:rPr>
      <w:t>9</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F4B44" w:rsidRPr="00012D8B" w:rsidRDefault="003F4B44" w:rsidP="00D15074">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w:t>
    </w:r>
    <w:r w:rsidR="00BF2D4D">
      <w:rPr>
        <w:rFonts w:ascii="Adobe Arabic" w:hAnsi="Adobe Arabic" w:cs="Adobe Arabic" w:hint="cs"/>
        <w:b/>
        <w:bCs/>
        <w:sz w:val="24"/>
        <w:szCs w:val="24"/>
        <w:rtl/>
      </w:rPr>
      <w:t>جواز</w:t>
    </w:r>
    <w:r>
      <w:rPr>
        <w:rFonts w:ascii="Adobe Arabic" w:hAnsi="Adobe Arabic" w:cs="Adobe Arabic" w:hint="cs"/>
        <w:b/>
        <w:bCs/>
        <w:sz w:val="24"/>
        <w:szCs w:val="24"/>
        <w:rtl/>
      </w:rPr>
      <w:t xml:space="preserve"> نگاه به وجه و کفین اجنبی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BF2D4D">
      <w:rPr>
        <w:rFonts w:ascii="Adobe Arabic" w:hAnsi="Adobe Arabic" w:cs="Adobe Arabic" w:hint="cs"/>
        <w:b/>
        <w:bCs/>
        <w:sz w:val="24"/>
        <w:szCs w:val="24"/>
        <w:rtl/>
      </w:rPr>
      <w:t>6</w:t>
    </w:r>
    <w:r w:rsidR="00D15074">
      <w:rPr>
        <w:rFonts w:ascii="Adobe Arabic" w:hAnsi="Adobe Arabic" w:cs="Adobe Arabic" w:hint="cs"/>
        <w:b/>
        <w:bCs/>
        <w:sz w:val="24"/>
        <w:szCs w:val="24"/>
        <w:rtl/>
      </w:rPr>
      <w:t>3</w:t>
    </w:r>
  </w:p>
  <w:p w:rsidR="003F4B44" w:rsidRPr="00873379" w:rsidRDefault="003F4B44"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40" w:rsidRDefault="00247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22"/>
  </w:num>
  <w:num w:numId="3">
    <w:abstractNumId w:val="29"/>
  </w:num>
  <w:num w:numId="4">
    <w:abstractNumId w:val="30"/>
  </w:num>
  <w:num w:numId="5">
    <w:abstractNumId w:val="17"/>
  </w:num>
  <w:num w:numId="6">
    <w:abstractNumId w:val="4"/>
  </w:num>
  <w:num w:numId="7">
    <w:abstractNumId w:val="23"/>
  </w:num>
  <w:num w:numId="8">
    <w:abstractNumId w:val="31"/>
  </w:num>
  <w:num w:numId="9">
    <w:abstractNumId w:val="9"/>
  </w:num>
  <w:num w:numId="10">
    <w:abstractNumId w:val="28"/>
  </w:num>
  <w:num w:numId="11">
    <w:abstractNumId w:val="5"/>
  </w:num>
  <w:num w:numId="12">
    <w:abstractNumId w:val="10"/>
  </w:num>
  <w:num w:numId="13">
    <w:abstractNumId w:val="12"/>
  </w:num>
  <w:num w:numId="14">
    <w:abstractNumId w:val="15"/>
  </w:num>
  <w:num w:numId="15">
    <w:abstractNumId w:val="25"/>
  </w:num>
  <w:num w:numId="16">
    <w:abstractNumId w:val="2"/>
  </w:num>
  <w:num w:numId="17">
    <w:abstractNumId w:val="20"/>
  </w:num>
  <w:num w:numId="18">
    <w:abstractNumId w:val="27"/>
  </w:num>
  <w:num w:numId="19">
    <w:abstractNumId w:val="18"/>
  </w:num>
  <w:num w:numId="20">
    <w:abstractNumId w:val="32"/>
  </w:num>
  <w:num w:numId="21">
    <w:abstractNumId w:val="24"/>
  </w:num>
  <w:num w:numId="22">
    <w:abstractNumId w:val="8"/>
  </w:num>
  <w:num w:numId="23">
    <w:abstractNumId w:val="14"/>
  </w:num>
  <w:num w:numId="24">
    <w:abstractNumId w:val="26"/>
  </w:num>
  <w:num w:numId="25">
    <w:abstractNumId w:val="11"/>
  </w:num>
  <w:num w:numId="26">
    <w:abstractNumId w:val="13"/>
  </w:num>
  <w:num w:numId="27">
    <w:abstractNumId w:val="7"/>
  </w:num>
  <w:num w:numId="28">
    <w:abstractNumId w:val="3"/>
  </w:num>
  <w:num w:numId="29">
    <w:abstractNumId w:val="0"/>
  </w:num>
  <w:num w:numId="30">
    <w:abstractNumId w:val="6"/>
  </w:num>
  <w:num w:numId="31">
    <w:abstractNumId w:val="1"/>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0901"/>
    <w:rsid w:val="001A1AFD"/>
    <w:rsid w:val="001A2091"/>
    <w:rsid w:val="001A537C"/>
    <w:rsid w:val="001B1572"/>
    <w:rsid w:val="001B37B2"/>
    <w:rsid w:val="001B4AC9"/>
    <w:rsid w:val="001B535E"/>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47A40"/>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6002"/>
    <w:rsid w:val="0031675F"/>
    <w:rsid w:val="00316F0C"/>
    <w:rsid w:val="00317D04"/>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1A43"/>
    <w:rsid w:val="00372795"/>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F71"/>
    <w:rsid w:val="003C56D7"/>
    <w:rsid w:val="003C7899"/>
    <w:rsid w:val="003C7EBD"/>
    <w:rsid w:val="003D1CA0"/>
    <w:rsid w:val="003D2945"/>
    <w:rsid w:val="003D2F0A"/>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32B6"/>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166A3"/>
    <w:rsid w:val="00516B88"/>
    <w:rsid w:val="00520EC8"/>
    <w:rsid w:val="00521509"/>
    <w:rsid w:val="005221F3"/>
    <w:rsid w:val="00523E88"/>
    <w:rsid w:val="00524F6C"/>
    <w:rsid w:val="00530FD7"/>
    <w:rsid w:val="005318A6"/>
    <w:rsid w:val="00531A7A"/>
    <w:rsid w:val="00533B7B"/>
    <w:rsid w:val="00543B39"/>
    <w:rsid w:val="00544FBD"/>
    <w:rsid w:val="00545B0C"/>
    <w:rsid w:val="00551628"/>
    <w:rsid w:val="005522A3"/>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27B9"/>
    <w:rsid w:val="00993B09"/>
    <w:rsid w:val="00994FA9"/>
    <w:rsid w:val="00995557"/>
    <w:rsid w:val="009A1ED7"/>
    <w:rsid w:val="009A24A9"/>
    <w:rsid w:val="009A27D8"/>
    <w:rsid w:val="009A42EF"/>
    <w:rsid w:val="009A5584"/>
    <w:rsid w:val="009A633B"/>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413D"/>
    <w:rsid w:val="00A5418D"/>
    <w:rsid w:val="00A55424"/>
    <w:rsid w:val="00A555D0"/>
    <w:rsid w:val="00A66734"/>
    <w:rsid w:val="00A66E35"/>
    <w:rsid w:val="00A725C2"/>
    <w:rsid w:val="00A764CB"/>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58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36B4A"/>
    <w:rsid w:val="00B43C97"/>
    <w:rsid w:val="00B454D2"/>
    <w:rsid w:val="00B461C5"/>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1BD"/>
    <w:rsid w:val="00CB0E5D"/>
    <w:rsid w:val="00CB0E9D"/>
    <w:rsid w:val="00CB520D"/>
    <w:rsid w:val="00CB5DA3"/>
    <w:rsid w:val="00CC1B41"/>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74"/>
    <w:rsid w:val="00D150A3"/>
    <w:rsid w:val="00D158F3"/>
    <w:rsid w:val="00D15FDC"/>
    <w:rsid w:val="00D16A86"/>
    <w:rsid w:val="00D22DE5"/>
    <w:rsid w:val="00D2470E"/>
    <w:rsid w:val="00D25245"/>
    <w:rsid w:val="00D2594B"/>
    <w:rsid w:val="00D32B95"/>
    <w:rsid w:val="00D33F52"/>
    <w:rsid w:val="00D3665C"/>
    <w:rsid w:val="00D36CD1"/>
    <w:rsid w:val="00D370D0"/>
    <w:rsid w:val="00D420F3"/>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B17"/>
    <w:rsid w:val="00E94012"/>
    <w:rsid w:val="00E953F2"/>
    <w:rsid w:val="00E95934"/>
    <w:rsid w:val="00E95CCE"/>
    <w:rsid w:val="00E97B02"/>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5426-38B1-4B17-B3E3-C7F003F9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1441</TotalTime>
  <Pages>5</Pages>
  <Words>1714</Words>
  <Characters>9772</Characters>
  <Application>Microsoft Office Word</Application>
  <DocSecurity>0</DocSecurity>
  <Lines>81</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58</cp:revision>
  <dcterms:created xsi:type="dcterms:W3CDTF">2020-06-22T09:32:00Z</dcterms:created>
  <dcterms:modified xsi:type="dcterms:W3CDTF">2020-11-10T05:02:00Z</dcterms:modified>
</cp:coreProperties>
</file>