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057615405"/>
        <w:docPartObj>
          <w:docPartGallery w:val="Table of Contents"/>
          <w:docPartUnique/>
        </w:docPartObj>
      </w:sdtPr>
      <w:sdtEndPr>
        <w:rPr>
          <w:b/>
          <w:noProof/>
        </w:rPr>
      </w:sdtEndPr>
      <w:sdtContent>
        <w:p w:rsidR="00EB1F1D" w:rsidRPr="00986D0B" w:rsidRDefault="00EB1F1D" w:rsidP="00986D0B">
          <w:pPr>
            <w:pStyle w:val="TOCHeading"/>
            <w:jc w:val="both"/>
            <w:rPr>
              <w:rFonts w:cs="Traditional Arabic"/>
              <w:sz w:val="28"/>
            </w:rPr>
          </w:pPr>
          <w:r w:rsidRPr="00986D0B">
            <w:rPr>
              <w:rFonts w:cs="Traditional Arabic" w:hint="cs"/>
              <w:sz w:val="28"/>
              <w:rtl/>
            </w:rPr>
            <w:t>فهرست</w:t>
          </w:r>
        </w:p>
        <w:p w:rsidR="00EB1F1D" w:rsidRPr="00986D0B" w:rsidRDefault="00EB1F1D" w:rsidP="00986D0B">
          <w:pPr>
            <w:pStyle w:val="TOC1"/>
            <w:tabs>
              <w:tab w:val="right" w:leader="dot" w:pos="9350"/>
            </w:tabs>
            <w:rPr>
              <w:noProof/>
              <w:lang w:bidi="ar-SA"/>
            </w:rPr>
          </w:pPr>
          <w:r w:rsidRPr="00986D0B">
            <w:fldChar w:fldCharType="begin"/>
          </w:r>
          <w:r w:rsidRPr="00986D0B">
            <w:instrText xml:space="preserve"> TOC \o "1-3" \h \z \u </w:instrText>
          </w:r>
          <w:r w:rsidRPr="00986D0B">
            <w:fldChar w:fldCharType="separate"/>
          </w:r>
          <w:hyperlink w:anchor="_Toc56417100" w:history="1">
            <w:r w:rsidRPr="00986D0B">
              <w:rPr>
                <w:rStyle w:val="Hyperlink"/>
                <w:noProof/>
                <w:rtl/>
              </w:rPr>
              <w:t>مقدمه</w:t>
            </w:r>
            <w:r w:rsidRPr="00986D0B">
              <w:rPr>
                <w:noProof/>
                <w:webHidden/>
              </w:rPr>
              <w:tab/>
            </w:r>
            <w:r w:rsidRPr="00986D0B">
              <w:rPr>
                <w:noProof/>
                <w:webHidden/>
              </w:rPr>
              <w:fldChar w:fldCharType="begin"/>
            </w:r>
            <w:r w:rsidRPr="00986D0B">
              <w:rPr>
                <w:noProof/>
                <w:webHidden/>
              </w:rPr>
              <w:instrText xml:space="preserve"> PAGEREF _Toc56417100 \h </w:instrText>
            </w:r>
            <w:r w:rsidRPr="00986D0B">
              <w:rPr>
                <w:noProof/>
                <w:webHidden/>
              </w:rPr>
            </w:r>
            <w:r w:rsidRPr="00986D0B">
              <w:rPr>
                <w:noProof/>
                <w:webHidden/>
              </w:rPr>
              <w:fldChar w:fldCharType="separate"/>
            </w:r>
            <w:r w:rsidRPr="00986D0B">
              <w:rPr>
                <w:noProof/>
                <w:webHidden/>
              </w:rPr>
              <w:t>2</w:t>
            </w:r>
            <w:r w:rsidRPr="00986D0B">
              <w:rPr>
                <w:noProof/>
                <w:webHidden/>
              </w:rPr>
              <w:fldChar w:fldCharType="end"/>
            </w:r>
          </w:hyperlink>
        </w:p>
        <w:p w:rsidR="00EB1F1D" w:rsidRPr="00986D0B" w:rsidRDefault="00EB1F1D" w:rsidP="00986D0B">
          <w:pPr>
            <w:pStyle w:val="TOC2"/>
            <w:tabs>
              <w:tab w:val="right" w:leader="dot" w:pos="9350"/>
            </w:tabs>
            <w:rPr>
              <w:noProof/>
              <w:lang w:bidi="ar-SA"/>
            </w:rPr>
          </w:pPr>
          <w:hyperlink w:anchor="_Toc56417101" w:history="1">
            <w:r w:rsidRPr="00986D0B">
              <w:rPr>
                <w:rStyle w:val="Hyperlink"/>
                <w:noProof/>
                <w:rtl/>
              </w:rPr>
              <w:t>اشکال پنجم:</w:t>
            </w:r>
            <w:r w:rsidRPr="00986D0B">
              <w:rPr>
                <w:noProof/>
                <w:webHidden/>
              </w:rPr>
              <w:tab/>
            </w:r>
            <w:r w:rsidRPr="00986D0B">
              <w:rPr>
                <w:noProof/>
                <w:webHidden/>
              </w:rPr>
              <w:fldChar w:fldCharType="begin"/>
            </w:r>
            <w:r w:rsidRPr="00986D0B">
              <w:rPr>
                <w:noProof/>
                <w:webHidden/>
              </w:rPr>
              <w:instrText xml:space="preserve"> PAGEREF _Toc56417101 \h </w:instrText>
            </w:r>
            <w:r w:rsidRPr="00986D0B">
              <w:rPr>
                <w:noProof/>
                <w:webHidden/>
              </w:rPr>
            </w:r>
            <w:r w:rsidRPr="00986D0B">
              <w:rPr>
                <w:noProof/>
                <w:webHidden/>
              </w:rPr>
              <w:fldChar w:fldCharType="separate"/>
            </w:r>
            <w:r w:rsidRPr="00986D0B">
              <w:rPr>
                <w:noProof/>
                <w:webHidden/>
              </w:rPr>
              <w:t>2</w:t>
            </w:r>
            <w:r w:rsidRPr="00986D0B">
              <w:rPr>
                <w:noProof/>
                <w:webHidden/>
              </w:rPr>
              <w:fldChar w:fldCharType="end"/>
            </w:r>
          </w:hyperlink>
        </w:p>
        <w:p w:rsidR="00EB1F1D" w:rsidRPr="00986D0B" w:rsidRDefault="00F34FA1" w:rsidP="00986D0B">
          <w:pPr>
            <w:pStyle w:val="TOC2"/>
            <w:tabs>
              <w:tab w:val="right" w:leader="dot" w:pos="9350"/>
            </w:tabs>
            <w:rPr>
              <w:noProof/>
              <w:lang w:bidi="ar-SA"/>
            </w:rPr>
          </w:pPr>
          <w:hyperlink w:anchor="_Toc56417102" w:history="1">
            <w:r w:rsidR="00EB1F1D" w:rsidRPr="00986D0B">
              <w:rPr>
                <w:rStyle w:val="Hyperlink"/>
                <w:noProof/>
                <w:rtl/>
              </w:rPr>
              <w:t>اشکال ششم:</w:t>
            </w:r>
            <w:r w:rsidR="00EB1F1D" w:rsidRPr="00986D0B">
              <w:rPr>
                <w:noProof/>
                <w:webHidden/>
              </w:rPr>
              <w:tab/>
            </w:r>
            <w:r w:rsidR="00EB1F1D" w:rsidRPr="00986D0B">
              <w:rPr>
                <w:noProof/>
                <w:webHidden/>
              </w:rPr>
              <w:fldChar w:fldCharType="begin"/>
            </w:r>
            <w:r w:rsidR="00EB1F1D" w:rsidRPr="00986D0B">
              <w:rPr>
                <w:noProof/>
                <w:webHidden/>
              </w:rPr>
              <w:instrText xml:space="preserve"> PAGEREF _Toc56417102 \h </w:instrText>
            </w:r>
            <w:r w:rsidR="00EB1F1D" w:rsidRPr="00986D0B">
              <w:rPr>
                <w:noProof/>
                <w:webHidden/>
              </w:rPr>
            </w:r>
            <w:r w:rsidR="00EB1F1D" w:rsidRPr="00986D0B">
              <w:rPr>
                <w:noProof/>
                <w:webHidden/>
              </w:rPr>
              <w:fldChar w:fldCharType="separate"/>
            </w:r>
            <w:r w:rsidR="00EB1F1D" w:rsidRPr="00986D0B">
              <w:rPr>
                <w:noProof/>
                <w:webHidden/>
              </w:rPr>
              <w:t>3</w:t>
            </w:r>
            <w:r w:rsidR="00EB1F1D" w:rsidRPr="00986D0B">
              <w:rPr>
                <w:noProof/>
                <w:webHidden/>
              </w:rPr>
              <w:fldChar w:fldCharType="end"/>
            </w:r>
          </w:hyperlink>
        </w:p>
        <w:p w:rsidR="00EB1F1D" w:rsidRPr="00986D0B" w:rsidRDefault="00F34FA1" w:rsidP="00986D0B">
          <w:pPr>
            <w:pStyle w:val="TOC3"/>
            <w:rPr>
              <w:rFonts w:eastAsiaTheme="minorEastAsia"/>
              <w:noProof/>
              <w:lang w:bidi="ar-SA"/>
            </w:rPr>
          </w:pPr>
          <w:hyperlink w:anchor="_Toc56417103" w:history="1">
            <w:r w:rsidR="00EB1F1D" w:rsidRPr="00986D0B">
              <w:rPr>
                <w:rStyle w:val="Hyperlink"/>
                <w:noProof/>
                <w:rtl/>
              </w:rPr>
              <w:t>جواب اشکال ششم:</w:t>
            </w:r>
            <w:r w:rsidR="00EB1F1D" w:rsidRPr="00986D0B">
              <w:rPr>
                <w:noProof/>
                <w:webHidden/>
              </w:rPr>
              <w:tab/>
            </w:r>
            <w:r w:rsidR="00EB1F1D" w:rsidRPr="00986D0B">
              <w:rPr>
                <w:noProof/>
                <w:webHidden/>
              </w:rPr>
              <w:fldChar w:fldCharType="begin"/>
            </w:r>
            <w:r w:rsidR="00EB1F1D" w:rsidRPr="00986D0B">
              <w:rPr>
                <w:noProof/>
                <w:webHidden/>
              </w:rPr>
              <w:instrText xml:space="preserve"> PAGEREF _Toc56417103 \h </w:instrText>
            </w:r>
            <w:r w:rsidR="00EB1F1D" w:rsidRPr="00986D0B">
              <w:rPr>
                <w:noProof/>
                <w:webHidden/>
              </w:rPr>
            </w:r>
            <w:r w:rsidR="00EB1F1D" w:rsidRPr="00986D0B">
              <w:rPr>
                <w:noProof/>
                <w:webHidden/>
              </w:rPr>
              <w:fldChar w:fldCharType="separate"/>
            </w:r>
            <w:r w:rsidR="00EB1F1D" w:rsidRPr="00986D0B">
              <w:rPr>
                <w:noProof/>
                <w:webHidden/>
              </w:rPr>
              <w:t>4</w:t>
            </w:r>
            <w:r w:rsidR="00EB1F1D" w:rsidRPr="00986D0B">
              <w:rPr>
                <w:noProof/>
                <w:webHidden/>
              </w:rPr>
              <w:fldChar w:fldCharType="end"/>
            </w:r>
          </w:hyperlink>
        </w:p>
        <w:p w:rsidR="00EB1F1D" w:rsidRPr="00986D0B" w:rsidRDefault="00F34FA1" w:rsidP="00986D0B">
          <w:pPr>
            <w:pStyle w:val="TOC1"/>
            <w:tabs>
              <w:tab w:val="right" w:leader="dot" w:pos="9350"/>
            </w:tabs>
            <w:rPr>
              <w:noProof/>
              <w:lang w:bidi="ar-SA"/>
            </w:rPr>
          </w:pPr>
          <w:hyperlink w:anchor="_Toc56417104" w:history="1">
            <w:r w:rsidR="00EB1F1D" w:rsidRPr="00986D0B">
              <w:rPr>
                <w:rStyle w:val="Hyperlink"/>
                <w:noProof/>
                <w:rtl/>
              </w:rPr>
              <w:t>دل</w:t>
            </w:r>
            <w:r w:rsidR="00EB1F1D" w:rsidRPr="00986D0B">
              <w:rPr>
                <w:rStyle w:val="Hyperlink"/>
                <w:rFonts w:hint="cs"/>
                <w:noProof/>
                <w:rtl/>
              </w:rPr>
              <w:t>ی</w:t>
            </w:r>
            <w:r w:rsidR="00EB1F1D" w:rsidRPr="00986D0B">
              <w:rPr>
                <w:rStyle w:val="Hyperlink"/>
                <w:rFonts w:hint="eastAsia"/>
                <w:noProof/>
                <w:rtl/>
              </w:rPr>
              <w:t>ل</w:t>
            </w:r>
            <w:r w:rsidR="00EB1F1D" w:rsidRPr="00986D0B">
              <w:rPr>
                <w:rStyle w:val="Hyperlink"/>
                <w:noProof/>
                <w:rtl/>
              </w:rPr>
              <w:t xml:space="preserve"> نهم:</w:t>
            </w:r>
            <w:r w:rsidR="00EB1F1D" w:rsidRPr="00986D0B">
              <w:rPr>
                <w:noProof/>
                <w:webHidden/>
              </w:rPr>
              <w:tab/>
            </w:r>
            <w:r w:rsidR="00EB1F1D" w:rsidRPr="00986D0B">
              <w:rPr>
                <w:noProof/>
                <w:webHidden/>
              </w:rPr>
              <w:fldChar w:fldCharType="begin"/>
            </w:r>
            <w:r w:rsidR="00EB1F1D" w:rsidRPr="00986D0B">
              <w:rPr>
                <w:noProof/>
                <w:webHidden/>
              </w:rPr>
              <w:instrText xml:space="preserve"> PAGEREF _Toc56417104 \h </w:instrText>
            </w:r>
            <w:r w:rsidR="00EB1F1D" w:rsidRPr="00986D0B">
              <w:rPr>
                <w:noProof/>
                <w:webHidden/>
              </w:rPr>
            </w:r>
            <w:r w:rsidR="00EB1F1D" w:rsidRPr="00986D0B">
              <w:rPr>
                <w:noProof/>
                <w:webHidden/>
              </w:rPr>
              <w:fldChar w:fldCharType="separate"/>
            </w:r>
            <w:r w:rsidR="00EB1F1D" w:rsidRPr="00986D0B">
              <w:rPr>
                <w:noProof/>
                <w:webHidden/>
              </w:rPr>
              <w:t>6</w:t>
            </w:r>
            <w:r w:rsidR="00EB1F1D" w:rsidRPr="00986D0B">
              <w:rPr>
                <w:noProof/>
                <w:webHidden/>
              </w:rPr>
              <w:fldChar w:fldCharType="end"/>
            </w:r>
          </w:hyperlink>
        </w:p>
        <w:p w:rsidR="00EB1F1D" w:rsidRPr="00986D0B" w:rsidRDefault="00EB1F1D" w:rsidP="00986D0B">
          <w:r w:rsidRPr="00986D0B">
            <w:rPr>
              <w:b/>
              <w:bCs/>
              <w:noProof/>
            </w:rPr>
            <w:fldChar w:fldCharType="end"/>
          </w:r>
        </w:p>
      </w:sdtContent>
    </w:sdt>
    <w:p w:rsidR="00EB1F1D" w:rsidRPr="00986D0B" w:rsidRDefault="00EB1F1D" w:rsidP="00986D0B">
      <w:pPr>
        <w:rPr>
          <w:rtl/>
        </w:rPr>
      </w:pPr>
    </w:p>
    <w:p w:rsidR="00EB1F1D" w:rsidRPr="00986D0B" w:rsidRDefault="00EB1F1D" w:rsidP="00986D0B">
      <w:pPr>
        <w:bidi w:val="0"/>
        <w:spacing w:after="0"/>
        <w:ind w:firstLine="0"/>
        <w:rPr>
          <w:rtl/>
        </w:rPr>
      </w:pPr>
      <w:r w:rsidRPr="00986D0B">
        <w:rPr>
          <w:rtl/>
        </w:rPr>
        <w:br w:type="page"/>
      </w:r>
    </w:p>
    <w:p w:rsidR="00986D0B" w:rsidRPr="00986D0B" w:rsidRDefault="00986D0B" w:rsidP="00986D0B">
      <w:pPr>
        <w:jc w:val="center"/>
      </w:pPr>
      <w:bookmarkStart w:id="0" w:name="_Toc52629501"/>
      <w:bookmarkStart w:id="1" w:name="_Toc55762589"/>
      <w:r w:rsidRPr="00986D0B">
        <w:rPr>
          <w:rFonts w:hint="cs"/>
          <w:rtl/>
        </w:rPr>
        <w:lastRenderedPageBreak/>
        <w:t>بسم الله الرحمن الرحیم</w:t>
      </w:r>
    </w:p>
    <w:p w:rsidR="00986D0B" w:rsidRPr="00986D0B" w:rsidRDefault="00986D0B" w:rsidP="00986D0B">
      <w:pPr>
        <w:pStyle w:val="Heading1"/>
        <w:jc w:val="both"/>
        <w:rPr>
          <w:sz w:val="28"/>
          <w:szCs w:val="28"/>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986D0B">
        <w:rPr>
          <w:rFonts w:hint="cs"/>
          <w:sz w:val="28"/>
          <w:szCs w:val="28"/>
          <w:rtl/>
        </w:rPr>
        <w:t xml:space="preserve">موضوع: </w:t>
      </w:r>
      <w:r w:rsidRPr="00986D0B">
        <w:rPr>
          <w:rFonts w:hint="cs"/>
          <w:color w:val="auto"/>
          <w:sz w:val="28"/>
          <w:szCs w:val="28"/>
          <w:rtl/>
        </w:rPr>
        <w:t>فقه / نکاح</w:t>
      </w:r>
      <w:bookmarkEnd w:id="2"/>
      <w:bookmarkEnd w:id="3"/>
      <w:bookmarkEnd w:id="4"/>
      <w:bookmarkEnd w:id="5"/>
      <w:bookmarkEnd w:id="6"/>
      <w:bookmarkEnd w:id="7"/>
      <w:bookmarkEnd w:id="8"/>
      <w:bookmarkEnd w:id="9"/>
    </w:p>
    <w:bookmarkEnd w:id="0"/>
    <w:p w:rsidR="00216F27" w:rsidRPr="00986D0B" w:rsidRDefault="00986D0B" w:rsidP="00986D0B">
      <w:pPr>
        <w:pStyle w:val="Heading1"/>
        <w:jc w:val="both"/>
        <w:rPr>
          <w:sz w:val="28"/>
          <w:szCs w:val="28"/>
          <w:rtl/>
        </w:rPr>
      </w:pPr>
      <w:r w:rsidRPr="00986D0B">
        <w:rPr>
          <w:rFonts w:hint="cs"/>
          <w:sz w:val="28"/>
          <w:szCs w:val="28"/>
          <w:rtl/>
        </w:rPr>
        <w:t>مقدمه</w:t>
      </w:r>
      <w:bookmarkEnd w:id="1"/>
    </w:p>
    <w:p w:rsidR="00216F27" w:rsidRPr="00986D0B" w:rsidRDefault="00216F27" w:rsidP="00986D0B">
      <w:pPr>
        <w:rPr>
          <w:rtl/>
        </w:rPr>
      </w:pPr>
      <w:r w:rsidRPr="00986D0B">
        <w:rPr>
          <w:rFonts w:hint="cs"/>
          <w:rtl/>
        </w:rPr>
        <w:t>هشتمین دلیل برای جواز نظر به وجه و کفین اجنبیه معتبره ابوحمزه ثمالی از امام باقر بود.</w:t>
      </w:r>
    </w:p>
    <w:p w:rsidR="00216F27" w:rsidRPr="00986D0B" w:rsidRDefault="00216F27" w:rsidP="00986D0B">
      <w:pPr>
        <w:pStyle w:val="NormalWeb"/>
        <w:bidi/>
        <w:jc w:val="both"/>
        <w:rPr>
          <w:rFonts w:ascii="Traditional Arabic" w:hAnsi="Traditional Arabic" w:cs="Traditional Arabic"/>
          <w:sz w:val="28"/>
          <w:szCs w:val="28"/>
          <w:rtl/>
          <w:lang w:bidi="fa-IR"/>
        </w:rPr>
      </w:pPr>
      <w:r w:rsidRPr="00986D0B">
        <w:rPr>
          <w:rFonts w:ascii="Traditional Arabic" w:hAnsi="Traditional Arabic" w:cs="Traditional Arabic"/>
          <w:sz w:val="28"/>
          <w:szCs w:val="28"/>
          <w:rtl/>
          <w:lang w:bidi="fa-IR"/>
        </w:rPr>
        <w:t xml:space="preserve">مُحَمَّدُ بْنُ يَعْقُوبَ عَنْ مُحَمَّدِ بْنِ يَحْيَى عَنْ أَحْمَدَ بْنِ مُحَمَّدِ بْنِ عِيسَى عَنْ عَلِيِّ بْنِ الْحَكَمِ عَنْ أَبِي حَمْزَةَ الثُّمَالِيِّ عَنْ أَبِي جَعْفَرٍ ع قَالَ: </w:t>
      </w:r>
      <w:r w:rsidRPr="00986D0B">
        <w:rPr>
          <w:rFonts w:ascii="Traditional Arabic" w:hAnsi="Traditional Arabic" w:cs="Traditional Arabic"/>
          <w:color w:val="008000"/>
          <w:sz w:val="28"/>
          <w:szCs w:val="28"/>
          <w:rtl/>
          <w:lang w:bidi="fa-IR"/>
        </w:rPr>
        <w:t>سَأَلْتُهُ عَنِ الْمَرْأَةِ الْمُسْلِمَةِ يُصِيبُهَا الْبَلَاءُ فِي جَسَدِهَا إِمَّا كَسْرٌ وَ إِمَّا جُرْحٌ فِي مَكَانٍ لَا يَصْلُحُ النَّظَرُ إِلَيْهِ يَكُونُ الرَّجُلُ أَرْفَقَ بِعِلَاجِهِ مِنَ النِّسَاءِ أَ يَصْلُحُ لَهُ النَّظَرُ إِلَيْهَا قَالَ إِذَا اضْطُرَّتْ إِلَيْهِ فَلْيُعَالِجْهَا إِنْ شَاءَتْ</w:t>
      </w:r>
      <w:r w:rsidRPr="00986D0B">
        <w:rPr>
          <w:rFonts w:ascii="Traditional Arabic" w:hAnsi="Traditional Arabic" w:cs="Traditional Arabic"/>
          <w:sz w:val="28"/>
          <w:szCs w:val="28"/>
          <w:rtl/>
          <w:lang w:bidi="fa-IR"/>
        </w:rPr>
        <w:t>.</w:t>
      </w:r>
      <w:r w:rsidRPr="00986D0B">
        <w:rPr>
          <w:rStyle w:val="FootnoteReference"/>
          <w:rFonts w:ascii="Traditional Arabic" w:eastAsia="2  Lotus" w:hAnsi="Traditional Arabic" w:cs="Traditional Arabic"/>
          <w:sz w:val="28"/>
          <w:szCs w:val="28"/>
          <w:rtl/>
          <w:lang w:bidi="fa-IR"/>
        </w:rPr>
        <w:footnoteReference w:id="1"/>
      </w:r>
    </w:p>
    <w:p w:rsidR="00216F27" w:rsidRPr="00986D0B" w:rsidRDefault="00216F27" w:rsidP="00986D0B">
      <w:pPr>
        <w:rPr>
          <w:rtl/>
        </w:rPr>
      </w:pPr>
      <w:r w:rsidRPr="00986D0B">
        <w:rPr>
          <w:rFonts w:hint="cs"/>
          <w:rtl/>
        </w:rPr>
        <w:t xml:space="preserve">تقریر استدلال را بیان کردیم که عبارت بود از ارتکاز سائل بر وجود مواضعی که یجوز النظر الیها من الاجنبیه و عدم موضع منفی در قبال این ارتکاز از سوی امام </w:t>
      </w:r>
      <w:r w:rsidR="00EB1F1D" w:rsidRPr="00986D0B">
        <w:rPr>
          <w:rFonts w:hint="cs"/>
          <w:rtl/>
        </w:rPr>
        <w:t>نشان‌دهنده</w:t>
      </w:r>
      <w:r w:rsidRPr="00986D0B">
        <w:rPr>
          <w:rFonts w:hint="cs"/>
          <w:rtl/>
        </w:rPr>
        <w:t xml:space="preserve"> این ب</w:t>
      </w:r>
      <w:r w:rsidR="00986D0B">
        <w:rPr>
          <w:rFonts w:hint="cs"/>
          <w:rtl/>
        </w:rPr>
        <w:t>ود که امام پذیرفته که در جسد مرأه</w:t>
      </w:r>
      <w:r w:rsidRPr="00986D0B">
        <w:rPr>
          <w:rFonts w:hint="cs"/>
          <w:rtl/>
        </w:rPr>
        <w:t xml:space="preserve"> اجنبیه مواضعی که یجوز النظر الیه هست. چهار اشکال را ذکر کردیم که </w:t>
      </w:r>
      <w:r w:rsidR="00EB1F1D" w:rsidRPr="00986D0B">
        <w:rPr>
          <w:rFonts w:hint="cs"/>
          <w:rtl/>
        </w:rPr>
        <w:t>عمدتاً</w:t>
      </w:r>
      <w:r w:rsidRPr="00986D0B">
        <w:rPr>
          <w:rFonts w:hint="cs"/>
          <w:rtl/>
        </w:rPr>
        <w:t xml:space="preserve"> قابل پاسخ بود.</w:t>
      </w:r>
    </w:p>
    <w:p w:rsidR="00216F27" w:rsidRPr="00986D0B" w:rsidRDefault="00216F27" w:rsidP="00986D0B">
      <w:pPr>
        <w:pStyle w:val="Heading2"/>
        <w:rPr>
          <w:rFonts w:ascii="Traditional Arabic" w:hAnsi="Traditional Arabic" w:cs="Traditional Arabic"/>
          <w:sz w:val="28"/>
          <w:szCs w:val="28"/>
          <w:rtl/>
        </w:rPr>
      </w:pPr>
      <w:bookmarkStart w:id="10" w:name="_Toc56417101"/>
      <w:r w:rsidRPr="00986D0B">
        <w:rPr>
          <w:rFonts w:ascii="Traditional Arabic" w:hAnsi="Traditional Arabic" w:cs="Traditional Arabic" w:hint="cs"/>
          <w:sz w:val="28"/>
          <w:szCs w:val="28"/>
          <w:rtl/>
        </w:rPr>
        <w:t>اشکال پنجم:</w:t>
      </w:r>
      <w:bookmarkEnd w:id="10"/>
    </w:p>
    <w:p w:rsidR="00216F27" w:rsidRPr="00986D0B" w:rsidRDefault="00216F27" w:rsidP="00986D0B">
      <w:pPr>
        <w:rPr>
          <w:rtl/>
        </w:rPr>
      </w:pPr>
      <w:r w:rsidRPr="00986D0B">
        <w:rPr>
          <w:rFonts w:hint="cs"/>
          <w:rtl/>
        </w:rPr>
        <w:t xml:space="preserve">مناقشه پنجم که ممکن است طرح شود این است که این کلمه فی مکان لایصلح النظر الیه قید توضیحی باشد. به این بیان که یا وصف است برای فی جسدها یا بدل کل </w:t>
      </w:r>
      <w:r w:rsidR="00504ABC" w:rsidRPr="00986D0B">
        <w:rPr>
          <w:rFonts w:hint="cs"/>
          <w:rtl/>
        </w:rPr>
        <w:t>از کل</w:t>
      </w:r>
      <w:r w:rsidRPr="00986D0B">
        <w:rPr>
          <w:rFonts w:hint="cs"/>
          <w:rtl/>
        </w:rPr>
        <w:t xml:space="preserve"> است به نحو قید توضیحی. </w:t>
      </w:r>
      <w:r w:rsidR="00504ABC" w:rsidRPr="00986D0B">
        <w:rPr>
          <w:rFonts w:hint="cs"/>
          <w:rtl/>
        </w:rPr>
        <w:t>می‌گوید</w:t>
      </w:r>
      <w:r w:rsidRPr="00986D0B">
        <w:rPr>
          <w:rFonts w:hint="cs"/>
          <w:rtl/>
        </w:rPr>
        <w:t xml:space="preserve"> </w:t>
      </w:r>
      <w:r w:rsidR="00986D0B" w:rsidRPr="00986D0B">
        <w:rPr>
          <w:color w:val="008000"/>
          <w:rtl/>
        </w:rPr>
        <w:t>سَأَلْتُهُ عَنِ الْمَرْأَةِ الْمُسْلِمَةِ يُصِيبُهَا الْبَلَاءُ فِي جَسَدِهَا</w:t>
      </w:r>
      <w:r w:rsidRPr="00986D0B">
        <w:rPr>
          <w:rFonts w:hint="cs"/>
          <w:rtl/>
        </w:rPr>
        <w:t xml:space="preserve"> بگوییم فی مکان لایصلح النظر الیه. این فی مکان لایصلح النظر الیه قید توضیحی است که به جای جسد آورده شده است. در این صورت روایت </w:t>
      </w:r>
      <w:r w:rsidR="00504ABC" w:rsidRPr="00986D0B">
        <w:rPr>
          <w:rFonts w:hint="cs"/>
          <w:rtl/>
        </w:rPr>
        <w:t>نه‌تنها</w:t>
      </w:r>
      <w:r w:rsidRPr="00986D0B">
        <w:rPr>
          <w:rFonts w:hint="cs"/>
          <w:rtl/>
        </w:rPr>
        <w:t xml:space="preserve"> دال بر جواز نظر به وجه و کفین نیست بلکه به شکلی دلالت بر خلافش دارد. </w:t>
      </w:r>
      <w:r w:rsidR="00504ABC" w:rsidRPr="00986D0B">
        <w:rPr>
          <w:rFonts w:hint="cs"/>
          <w:rtl/>
        </w:rPr>
        <w:t>می‌گوید</w:t>
      </w:r>
      <w:r w:rsidRPr="00986D0B">
        <w:rPr>
          <w:rFonts w:hint="cs"/>
          <w:rtl/>
        </w:rPr>
        <w:t xml:space="preserve"> در جسدی که لایصلح النظر الیه جراح یا کسری به وجود آمده که نیاز به معالجه مرد نامحرم دارد. بدل کل از کل است و </w:t>
      </w:r>
      <w:r w:rsidR="00504ABC" w:rsidRPr="00986D0B">
        <w:rPr>
          <w:rFonts w:hint="cs"/>
          <w:rtl/>
        </w:rPr>
        <w:t>درواقع</w:t>
      </w:r>
      <w:r w:rsidRPr="00986D0B">
        <w:rPr>
          <w:rFonts w:hint="cs"/>
          <w:rtl/>
        </w:rPr>
        <w:t xml:space="preserve"> به قید توضیحی </w:t>
      </w:r>
      <w:r w:rsidR="00504ABC" w:rsidRPr="00986D0B">
        <w:rPr>
          <w:rFonts w:hint="cs"/>
          <w:rtl/>
        </w:rPr>
        <w:t>برمی‌گردد</w:t>
      </w:r>
      <w:r w:rsidRPr="00986D0B">
        <w:rPr>
          <w:rFonts w:hint="cs"/>
          <w:rtl/>
        </w:rPr>
        <w:t xml:space="preserve"> و قید احترازی اینجا نیست. نشانی از ارتکاز جواز نظر به بخشی از اعضا نیست بلکه حاکی از این ارتکاز است که لایجوز النظر الی ای جزء من بدنه. این اشکال درجایی نیامده ولی در حد بعضی اشکالات قبل قابل طرح است.</w:t>
      </w:r>
      <w:r w:rsidR="003D46A4" w:rsidRPr="00986D0B">
        <w:rPr>
          <w:rFonts w:hint="cs"/>
          <w:rtl/>
        </w:rPr>
        <w:t xml:space="preserve"> شاید از بعضی هم اقوی باشد.</w:t>
      </w:r>
    </w:p>
    <w:p w:rsidR="00216F27" w:rsidRPr="00986D0B" w:rsidRDefault="00216F27" w:rsidP="00986D0B">
      <w:pPr>
        <w:rPr>
          <w:rtl/>
        </w:rPr>
      </w:pPr>
      <w:r w:rsidRPr="00986D0B">
        <w:rPr>
          <w:rFonts w:hint="cs"/>
          <w:rtl/>
        </w:rPr>
        <w:t xml:space="preserve">جواب این هم روشن است. اصل در قیود احترازیت است و ظاهر کلام هم این است که با آوردن فی مکان لایصلح النظر الیه </w:t>
      </w:r>
      <w:r w:rsidR="00504ABC" w:rsidRPr="00986D0B">
        <w:rPr>
          <w:rFonts w:hint="cs"/>
          <w:rtl/>
        </w:rPr>
        <w:t>می‌خواهد</w:t>
      </w:r>
      <w:r w:rsidRPr="00986D0B">
        <w:rPr>
          <w:rFonts w:hint="cs"/>
          <w:rtl/>
        </w:rPr>
        <w:t xml:space="preserve"> حرف جدیدی بزند نه اینکه حرف قبل را توضیح دهد. وقتی کسی بر اساس اصال</w:t>
      </w:r>
      <w:r w:rsidR="00986D0B">
        <w:rPr>
          <w:rFonts w:hint="cs"/>
          <w:rtl/>
        </w:rPr>
        <w:t>ة</w:t>
      </w:r>
      <w:r w:rsidRPr="00986D0B">
        <w:rPr>
          <w:rFonts w:hint="cs"/>
          <w:rtl/>
        </w:rPr>
        <w:t xml:space="preserve"> الاحترازی</w:t>
      </w:r>
      <w:r w:rsidR="00986D0B">
        <w:rPr>
          <w:rFonts w:hint="cs"/>
          <w:rtl/>
        </w:rPr>
        <w:t xml:space="preserve">ة </w:t>
      </w:r>
      <w:r w:rsidRPr="00986D0B">
        <w:rPr>
          <w:rFonts w:hint="cs"/>
          <w:rtl/>
        </w:rPr>
        <w:t xml:space="preserve">و اینکه هر فراز و کلمه و کلامی که در جمله اضافه </w:t>
      </w:r>
      <w:r w:rsidR="00504ABC" w:rsidRPr="00986D0B">
        <w:rPr>
          <w:rFonts w:hint="cs"/>
          <w:rtl/>
        </w:rPr>
        <w:t>می‌شود</w:t>
      </w:r>
      <w:r w:rsidRPr="00986D0B">
        <w:rPr>
          <w:rFonts w:hint="cs"/>
          <w:rtl/>
        </w:rPr>
        <w:t xml:space="preserve"> بار جدیدی دارد این روایت را بخواند به ذهنش </w:t>
      </w:r>
      <w:r w:rsidR="00504ABC" w:rsidRPr="00986D0B">
        <w:rPr>
          <w:rFonts w:hint="cs"/>
          <w:rtl/>
        </w:rPr>
        <w:t>می‌آید</w:t>
      </w:r>
      <w:r w:rsidRPr="00986D0B">
        <w:rPr>
          <w:rFonts w:hint="cs"/>
          <w:rtl/>
        </w:rPr>
        <w:t xml:space="preserve"> که این قید احترازی است و فی مکان لایصلح النظر الیه </w:t>
      </w:r>
      <w:r w:rsidR="00504ABC" w:rsidRPr="00986D0B">
        <w:rPr>
          <w:rFonts w:hint="cs"/>
          <w:rtl/>
        </w:rPr>
        <w:t>می‌خواهد</w:t>
      </w:r>
      <w:r w:rsidR="00986D0B">
        <w:rPr>
          <w:rFonts w:hint="cs"/>
          <w:rtl/>
        </w:rPr>
        <w:t xml:space="preserve"> موضعی که اصابة</w:t>
      </w:r>
      <w:r w:rsidRPr="00986D0B">
        <w:rPr>
          <w:rFonts w:hint="cs"/>
          <w:rtl/>
        </w:rPr>
        <w:t xml:space="preserve"> البلاء را محدود کند و الا نیازی به این مسئله نبود. این هم جوابی است که از اشکال پنجم </w:t>
      </w:r>
      <w:r w:rsidR="00504ABC" w:rsidRPr="00986D0B">
        <w:rPr>
          <w:rFonts w:hint="cs"/>
          <w:rtl/>
        </w:rPr>
        <w:t>می‌شود</w:t>
      </w:r>
      <w:r w:rsidRPr="00986D0B">
        <w:rPr>
          <w:rFonts w:hint="cs"/>
          <w:rtl/>
        </w:rPr>
        <w:t xml:space="preserve"> داد. </w:t>
      </w:r>
      <w:r w:rsidR="00504ABC" w:rsidRPr="00986D0B">
        <w:rPr>
          <w:rFonts w:hint="cs"/>
          <w:rtl/>
        </w:rPr>
        <w:t>این‌طور</w:t>
      </w:r>
      <w:r w:rsidR="003D46A4" w:rsidRPr="00986D0B">
        <w:rPr>
          <w:rFonts w:hint="cs"/>
          <w:rtl/>
        </w:rPr>
        <w:t xml:space="preserve"> </w:t>
      </w:r>
      <w:r w:rsidR="00504ABC" w:rsidRPr="00986D0B">
        <w:rPr>
          <w:rFonts w:hint="cs"/>
          <w:rtl/>
        </w:rPr>
        <w:t>می‌شود</w:t>
      </w:r>
      <w:r w:rsidR="003D46A4" w:rsidRPr="00986D0B">
        <w:rPr>
          <w:rFonts w:hint="cs"/>
          <w:rtl/>
        </w:rPr>
        <w:t xml:space="preserve"> جواب داد. مگر اینکه کسی بگوید قید توضیحی که آورده بار اضافه دارد و بار اضافه این است که </w:t>
      </w:r>
      <w:r w:rsidR="00504ABC" w:rsidRPr="00986D0B">
        <w:rPr>
          <w:rFonts w:hint="cs"/>
          <w:rtl/>
        </w:rPr>
        <w:t>می‌خواهد</w:t>
      </w:r>
      <w:r w:rsidR="003D46A4" w:rsidRPr="00986D0B">
        <w:rPr>
          <w:rFonts w:hint="cs"/>
          <w:rtl/>
        </w:rPr>
        <w:t xml:space="preserve"> ارتکاز خودش را نشان دهد که هر جای بدن باشد این </w:t>
      </w:r>
      <w:r w:rsidR="00504ABC" w:rsidRPr="00986D0B">
        <w:rPr>
          <w:rFonts w:hint="cs"/>
          <w:rtl/>
        </w:rPr>
        <w:t>سؤال</w:t>
      </w:r>
      <w:r w:rsidR="003D46A4" w:rsidRPr="00986D0B">
        <w:rPr>
          <w:rFonts w:hint="cs"/>
          <w:rtl/>
        </w:rPr>
        <w:t xml:space="preserve"> برایش مطرح است زیرا همه بدن لایصلح النظر الیه. ولی </w:t>
      </w:r>
      <w:r w:rsidR="003D46A4" w:rsidRPr="00986D0B">
        <w:rPr>
          <w:rFonts w:hint="cs"/>
          <w:rtl/>
        </w:rPr>
        <w:lastRenderedPageBreak/>
        <w:t xml:space="preserve">باز </w:t>
      </w:r>
      <w:r w:rsidR="00504ABC" w:rsidRPr="00986D0B">
        <w:rPr>
          <w:rFonts w:hint="cs"/>
          <w:rtl/>
        </w:rPr>
        <w:t>ازلحاظ</w:t>
      </w:r>
      <w:r w:rsidR="003D46A4" w:rsidRPr="00986D0B">
        <w:rPr>
          <w:rFonts w:hint="cs"/>
          <w:rtl/>
        </w:rPr>
        <w:t xml:space="preserve"> عرفی ظهور بیشتری در معنای احترازی دارد و در </w:t>
      </w:r>
      <w:r w:rsidR="00986D0B">
        <w:rPr>
          <w:rFonts w:hint="cs"/>
          <w:rtl/>
        </w:rPr>
        <w:t>ذهنش این است که اعضا علی قسمین هست</w:t>
      </w:r>
      <w:r w:rsidR="003D46A4" w:rsidRPr="00986D0B">
        <w:rPr>
          <w:rFonts w:hint="cs"/>
          <w:rtl/>
        </w:rPr>
        <w:t>ند بعضی لایجوز النظر بعضی یجوز النظر الیها.</w:t>
      </w:r>
    </w:p>
    <w:p w:rsidR="003D46A4" w:rsidRPr="00986D0B" w:rsidRDefault="00504ABC" w:rsidP="00986D0B">
      <w:pPr>
        <w:rPr>
          <w:rtl/>
        </w:rPr>
      </w:pPr>
      <w:r w:rsidRPr="00986D0B">
        <w:rPr>
          <w:rFonts w:hint="cs"/>
          <w:rtl/>
        </w:rPr>
        <w:t>سؤال</w:t>
      </w:r>
      <w:r w:rsidR="003D46A4" w:rsidRPr="00986D0B">
        <w:rPr>
          <w:rFonts w:hint="cs"/>
          <w:rtl/>
        </w:rPr>
        <w:t>: خلاف ظاهر دیگر این است که بگوییم مکان محل منظورش نیست بلکه مصدر میمی است</w:t>
      </w:r>
      <w:r w:rsidR="00986D0B" w:rsidRPr="00986D0B">
        <w:rPr>
          <w:rtl/>
        </w:rPr>
        <w:t xml:space="preserve">؛ </w:t>
      </w:r>
      <w:r w:rsidR="003D46A4" w:rsidRPr="00986D0B">
        <w:rPr>
          <w:rFonts w:hint="cs"/>
          <w:rtl/>
        </w:rPr>
        <w:t>یعنی فی کونه لایصلح النظر الیه</w:t>
      </w:r>
    </w:p>
    <w:p w:rsidR="003D46A4" w:rsidRPr="00986D0B" w:rsidRDefault="003D46A4" w:rsidP="00986D0B">
      <w:pPr>
        <w:rPr>
          <w:rtl/>
        </w:rPr>
      </w:pPr>
      <w:r w:rsidRPr="00986D0B">
        <w:rPr>
          <w:rFonts w:hint="cs"/>
          <w:rtl/>
        </w:rPr>
        <w:t>جواب: ن</w:t>
      </w:r>
      <w:r w:rsidR="00504ABC" w:rsidRPr="00986D0B">
        <w:rPr>
          <w:rFonts w:hint="cs"/>
          <w:rtl/>
        </w:rPr>
        <w:t>می‌شود</w:t>
      </w:r>
      <w:r w:rsidRPr="00986D0B">
        <w:rPr>
          <w:rFonts w:hint="cs"/>
          <w:rtl/>
        </w:rPr>
        <w:t xml:space="preserve"> بگویی نه ولی خیلی خلاف ظاهر است. اینکه فی مکان یعنی فی کونه لایصلح النظر الیه اگر</w:t>
      </w:r>
      <w:r w:rsidR="00504ABC" w:rsidRPr="00986D0B">
        <w:rPr>
          <w:rFonts w:hint="cs"/>
          <w:rtl/>
        </w:rPr>
        <w:t xml:space="preserve"> ا</w:t>
      </w:r>
      <w:r w:rsidRPr="00986D0B">
        <w:rPr>
          <w:rFonts w:hint="cs"/>
          <w:rtl/>
        </w:rPr>
        <w:t xml:space="preserve">ین را هم بگوییم شبیه بدل کل از کل </w:t>
      </w:r>
      <w:r w:rsidR="00504ABC" w:rsidRPr="00986D0B">
        <w:rPr>
          <w:rFonts w:hint="cs"/>
          <w:rtl/>
        </w:rPr>
        <w:t>می‌شود</w:t>
      </w:r>
      <w:r w:rsidRPr="00986D0B">
        <w:rPr>
          <w:rFonts w:hint="cs"/>
          <w:rtl/>
        </w:rPr>
        <w:t>. اگر این را هم کسی بگوید خلاف ظاهر است از چند جهت. یکی اینکه فی مکان لایصلح نباید اضافه یا توصیف شود مکان به آن. باید بگوییم فی کونه لایصلح. باید چیزی مقدر بگیریم که خلاف ظاهر است.</w:t>
      </w:r>
    </w:p>
    <w:p w:rsidR="003D46A4" w:rsidRPr="00986D0B" w:rsidRDefault="003D46A4" w:rsidP="00986D0B">
      <w:pPr>
        <w:rPr>
          <w:rtl/>
        </w:rPr>
      </w:pPr>
      <w:r w:rsidRPr="00986D0B">
        <w:rPr>
          <w:rFonts w:hint="cs"/>
          <w:rtl/>
        </w:rPr>
        <w:t xml:space="preserve">پس این دو احتمال هم </w:t>
      </w:r>
      <w:r w:rsidR="00504ABC" w:rsidRPr="00986D0B">
        <w:rPr>
          <w:rFonts w:hint="cs"/>
          <w:rtl/>
        </w:rPr>
        <w:t>قابل‌قبول</w:t>
      </w:r>
      <w:r w:rsidRPr="00986D0B">
        <w:rPr>
          <w:rFonts w:hint="cs"/>
          <w:rtl/>
        </w:rPr>
        <w:t xml:space="preserve"> نیست. مصدر میمی البته دلالت و ظهورش خیلی کمتر است.</w:t>
      </w:r>
    </w:p>
    <w:p w:rsidR="003D46A4" w:rsidRPr="00986D0B" w:rsidRDefault="003D46A4" w:rsidP="00986D0B">
      <w:pPr>
        <w:pStyle w:val="Heading2"/>
        <w:rPr>
          <w:rFonts w:ascii="Traditional Arabic" w:hAnsi="Traditional Arabic" w:cs="Traditional Arabic"/>
          <w:sz w:val="28"/>
          <w:szCs w:val="28"/>
          <w:rtl/>
        </w:rPr>
      </w:pPr>
      <w:bookmarkStart w:id="11" w:name="_Toc56417102"/>
      <w:r w:rsidRPr="00986D0B">
        <w:rPr>
          <w:rFonts w:ascii="Traditional Arabic" w:hAnsi="Traditional Arabic" w:cs="Traditional Arabic" w:hint="cs"/>
          <w:sz w:val="28"/>
          <w:szCs w:val="28"/>
          <w:rtl/>
        </w:rPr>
        <w:t>اشکال ششم:</w:t>
      </w:r>
      <w:bookmarkEnd w:id="11"/>
    </w:p>
    <w:p w:rsidR="003D46A4" w:rsidRPr="00986D0B" w:rsidRDefault="003D46A4" w:rsidP="00667873">
      <w:pPr>
        <w:rPr>
          <w:rtl/>
        </w:rPr>
      </w:pPr>
      <w:r w:rsidRPr="00986D0B">
        <w:rPr>
          <w:rFonts w:hint="cs"/>
          <w:rtl/>
        </w:rPr>
        <w:t xml:space="preserve">مناقشه در تقریر امام است. در </w:t>
      </w:r>
      <w:r w:rsidR="00504ABC" w:rsidRPr="00986D0B">
        <w:rPr>
          <w:rFonts w:hint="cs"/>
          <w:rtl/>
        </w:rPr>
        <w:t>بحث‌های</w:t>
      </w:r>
      <w:r w:rsidRPr="00986D0B">
        <w:rPr>
          <w:rFonts w:hint="cs"/>
          <w:rtl/>
        </w:rPr>
        <w:t xml:space="preserve"> قبلی </w:t>
      </w:r>
      <w:r w:rsidR="00504ABC" w:rsidRPr="00986D0B">
        <w:rPr>
          <w:rFonts w:hint="cs"/>
          <w:rtl/>
        </w:rPr>
        <w:t>سؤال</w:t>
      </w:r>
      <w:r w:rsidRPr="00986D0B">
        <w:rPr>
          <w:rFonts w:hint="cs"/>
          <w:rtl/>
        </w:rPr>
        <w:t xml:space="preserve"> سائل </w:t>
      </w:r>
      <w:r w:rsidR="00504ABC" w:rsidRPr="00986D0B">
        <w:rPr>
          <w:rFonts w:hint="cs"/>
          <w:rtl/>
        </w:rPr>
        <w:t>مناقشه‌ای</w:t>
      </w:r>
      <w:r w:rsidRPr="00986D0B">
        <w:rPr>
          <w:rFonts w:hint="cs"/>
          <w:rtl/>
        </w:rPr>
        <w:t xml:space="preserve"> </w:t>
      </w:r>
      <w:r w:rsidR="00504ABC" w:rsidRPr="00986D0B">
        <w:rPr>
          <w:rFonts w:hint="cs"/>
          <w:rtl/>
        </w:rPr>
        <w:t>نمی‌کنیم</w:t>
      </w:r>
      <w:r w:rsidRPr="00986D0B">
        <w:rPr>
          <w:rFonts w:hint="cs"/>
          <w:rtl/>
        </w:rPr>
        <w:t xml:space="preserve"> و </w:t>
      </w:r>
      <w:r w:rsidR="00504ABC" w:rsidRPr="00986D0B">
        <w:rPr>
          <w:rFonts w:hint="cs"/>
          <w:rtl/>
        </w:rPr>
        <w:t>می‌پذیریم</w:t>
      </w:r>
      <w:r w:rsidRPr="00986D0B">
        <w:rPr>
          <w:rFonts w:hint="cs"/>
          <w:rtl/>
        </w:rPr>
        <w:t xml:space="preserve"> که سائل و ابوحمزه ثمالی در ذهن شریفش این بوده که در جسد </w:t>
      </w:r>
      <w:r w:rsidR="00986D0B">
        <w:rPr>
          <w:rFonts w:hint="cs"/>
          <w:rtl/>
        </w:rPr>
        <w:t>مرأه</w:t>
      </w:r>
      <w:r w:rsidRPr="00986D0B">
        <w:rPr>
          <w:rFonts w:hint="cs"/>
          <w:rtl/>
        </w:rPr>
        <w:t xml:space="preserve"> اعضایی است که لایصلح النظر الیها و اعضایی که یجوز النظر الیها</w:t>
      </w:r>
      <w:r w:rsidR="00986D0B" w:rsidRPr="00986D0B">
        <w:rPr>
          <w:rtl/>
        </w:rPr>
        <w:t xml:space="preserve">؛ </w:t>
      </w:r>
      <w:r w:rsidRPr="00986D0B">
        <w:rPr>
          <w:rFonts w:hint="cs"/>
          <w:rtl/>
        </w:rPr>
        <w:t xml:space="preserve">اما چه کسی گفته امام تا این اندازه باید به ارتکازی که او داشته ناظر باشد و به </w:t>
      </w:r>
      <w:r w:rsidR="00504ABC" w:rsidRPr="00986D0B">
        <w:rPr>
          <w:rFonts w:hint="cs"/>
          <w:rtl/>
        </w:rPr>
        <w:t>آن‌هم</w:t>
      </w:r>
      <w:r w:rsidRPr="00986D0B">
        <w:rPr>
          <w:rFonts w:hint="cs"/>
          <w:rtl/>
        </w:rPr>
        <w:t xml:space="preserve"> پاسخ دهد؟ آنکه محط کلام و محور </w:t>
      </w:r>
      <w:r w:rsidR="00504ABC" w:rsidRPr="00986D0B">
        <w:rPr>
          <w:rFonts w:hint="cs"/>
          <w:rtl/>
        </w:rPr>
        <w:t>سؤال</w:t>
      </w:r>
      <w:r w:rsidRPr="00986D0B">
        <w:rPr>
          <w:rFonts w:hint="cs"/>
          <w:rtl/>
        </w:rPr>
        <w:t xml:space="preserve"> است آنجایی که لایجوز النظر اگر اضطراری پیدا شد </w:t>
      </w:r>
      <w:r w:rsidR="00504ABC" w:rsidRPr="00986D0B">
        <w:rPr>
          <w:rFonts w:hint="cs"/>
          <w:rtl/>
        </w:rPr>
        <w:t>می‌شود</w:t>
      </w:r>
      <w:r w:rsidRPr="00986D0B">
        <w:rPr>
          <w:rFonts w:hint="cs"/>
          <w:rtl/>
        </w:rPr>
        <w:t xml:space="preserve"> نگاه کرد </w:t>
      </w:r>
      <w:r w:rsidR="00504ABC" w:rsidRPr="00986D0B">
        <w:rPr>
          <w:rFonts w:hint="cs"/>
          <w:rtl/>
        </w:rPr>
        <w:t>یا نه</w:t>
      </w:r>
      <w:r w:rsidRPr="00986D0B">
        <w:rPr>
          <w:rFonts w:hint="cs"/>
          <w:rtl/>
        </w:rPr>
        <w:t xml:space="preserve">؟ این محل کلام است. آنکه </w:t>
      </w:r>
      <w:r w:rsidR="00504ABC" w:rsidRPr="00986D0B">
        <w:rPr>
          <w:rFonts w:hint="cs"/>
          <w:rtl/>
        </w:rPr>
        <w:t>به‌طور</w:t>
      </w:r>
      <w:r w:rsidRPr="00986D0B">
        <w:rPr>
          <w:rFonts w:hint="cs"/>
          <w:rtl/>
        </w:rPr>
        <w:t xml:space="preserve"> مطابقی محل کلام و پرسش است مکان اضطرار است که آیا اضطرار مالایجوز النظر را به یجوز النظر مبدل </w:t>
      </w:r>
      <w:r w:rsidR="00504ABC" w:rsidRPr="00986D0B">
        <w:rPr>
          <w:rFonts w:hint="cs"/>
          <w:rtl/>
        </w:rPr>
        <w:t>می‌کند</w:t>
      </w:r>
      <w:r w:rsidRPr="00986D0B">
        <w:rPr>
          <w:rFonts w:hint="cs"/>
          <w:rtl/>
        </w:rPr>
        <w:t xml:space="preserve"> یا نه؟ اما گفتند اذا اضطرت یعالجها</w:t>
      </w:r>
      <w:r w:rsidR="00986D0B" w:rsidRPr="00986D0B">
        <w:rPr>
          <w:rtl/>
        </w:rPr>
        <w:t xml:space="preserve">؛ </w:t>
      </w:r>
      <w:r w:rsidRPr="00986D0B">
        <w:rPr>
          <w:rFonts w:hint="cs"/>
          <w:rtl/>
        </w:rPr>
        <w:t xml:space="preserve">اما اینکه در </w:t>
      </w:r>
      <w:r w:rsidR="00504ABC" w:rsidRPr="00986D0B">
        <w:rPr>
          <w:rFonts w:hint="cs"/>
          <w:rtl/>
        </w:rPr>
        <w:t>حاشیه</w:t>
      </w:r>
      <w:r w:rsidR="00667873">
        <w:rPr>
          <w:rFonts w:hint="cs"/>
          <w:rtl/>
        </w:rPr>
        <w:t xml:space="preserve"> </w:t>
      </w:r>
      <w:r w:rsidR="00504ABC" w:rsidRPr="00986D0B">
        <w:rPr>
          <w:rFonts w:hint="cs"/>
          <w:rtl/>
        </w:rPr>
        <w:t>‌ای</w:t>
      </w:r>
      <w:r w:rsidRPr="00986D0B">
        <w:rPr>
          <w:rFonts w:hint="cs"/>
          <w:rtl/>
        </w:rPr>
        <w:t xml:space="preserve">ن مسئله یک ارتکازی وجود دارد مبنی بر تقسیم اعضای بدن به دو نوع </w:t>
      </w:r>
      <w:r w:rsidR="00504ABC" w:rsidRPr="00986D0B">
        <w:rPr>
          <w:rFonts w:hint="cs"/>
          <w:rtl/>
        </w:rPr>
        <w:t>ازلحاظ</w:t>
      </w:r>
      <w:r w:rsidRPr="00986D0B">
        <w:rPr>
          <w:rFonts w:hint="cs"/>
          <w:rtl/>
        </w:rPr>
        <w:t xml:space="preserve"> جواز نظر، این امر </w:t>
      </w:r>
      <w:r w:rsidR="00504ABC" w:rsidRPr="00986D0B">
        <w:rPr>
          <w:rFonts w:hint="cs"/>
          <w:rtl/>
        </w:rPr>
        <w:t>حاشیه‌ای</w:t>
      </w:r>
      <w:r w:rsidRPr="00986D0B">
        <w:rPr>
          <w:rFonts w:hint="cs"/>
          <w:rtl/>
        </w:rPr>
        <w:t xml:space="preserve"> بوده که در ذهن راوی بوده و به شکلی هم در کلام خود را نشان داده</w:t>
      </w:r>
      <w:r w:rsidR="00986D0B" w:rsidRPr="00986D0B">
        <w:rPr>
          <w:rtl/>
        </w:rPr>
        <w:t xml:space="preserve">؛ </w:t>
      </w:r>
      <w:r w:rsidRPr="00986D0B">
        <w:rPr>
          <w:rFonts w:hint="cs"/>
          <w:rtl/>
        </w:rPr>
        <w:t xml:space="preserve">اما آیا الزامی وجود دارد که امام این را جواب دهد یا نه؟ </w:t>
      </w:r>
      <w:r w:rsidR="00504ABC" w:rsidRPr="00986D0B">
        <w:rPr>
          <w:rFonts w:hint="cs"/>
          <w:rtl/>
        </w:rPr>
        <w:t>به‌خصوص</w:t>
      </w:r>
      <w:r w:rsidRPr="00986D0B">
        <w:rPr>
          <w:rFonts w:hint="cs"/>
          <w:rtl/>
        </w:rPr>
        <w:t xml:space="preserve"> اینکه قاعده </w:t>
      </w:r>
      <w:r w:rsidR="00667873">
        <w:rPr>
          <w:rFonts w:hint="cs"/>
          <w:rtl/>
        </w:rPr>
        <w:t>کلی در روایات آمده که علیکم السؤ</w:t>
      </w:r>
      <w:r w:rsidRPr="00986D0B">
        <w:rPr>
          <w:rFonts w:hint="cs"/>
          <w:rtl/>
        </w:rPr>
        <w:t xml:space="preserve">ال و لیس علینا الجواب. در روایات متعدد در همین ابواب قضا هست. در بحث قیاس که </w:t>
      </w:r>
      <w:r w:rsidR="00504ABC" w:rsidRPr="00986D0B">
        <w:rPr>
          <w:rFonts w:hint="cs"/>
          <w:rtl/>
        </w:rPr>
        <w:t>می‌خوانیم</w:t>
      </w:r>
      <w:r w:rsidRPr="00986D0B">
        <w:rPr>
          <w:rFonts w:hint="cs"/>
          <w:rtl/>
        </w:rPr>
        <w:t xml:space="preserve"> باب شش روایات قیاس است باب هفت و هشت را اگر ببینید </w:t>
      </w:r>
      <w:r w:rsidR="00504ABC" w:rsidRPr="00986D0B">
        <w:rPr>
          <w:rFonts w:hint="cs"/>
          <w:rtl/>
        </w:rPr>
        <w:t>می‌گوید</w:t>
      </w:r>
      <w:r w:rsidRPr="00986D0B">
        <w:rPr>
          <w:rFonts w:hint="cs"/>
          <w:rtl/>
        </w:rPr>
        <w:t xml:space="preserve"> </w:t>
      </w:r>
      <w:r w:rsidR="00667873">
        <w:rPr>
          <w:b/>
          <w:bCs/>
          <w:color w:val="007200"/>
          <w:rtl/>
        </w:rPr>
        <w:t>﴿فَسْئَلُوا أَهْلَ الذِّكْر﴾</w:t>
      </w:r>
      <w:r w:rsidR="00667873">
        <w:rPr>
          <w:rStyle w:val="FootnoteReference"/>
          <w:b/>
          <w:bCs/>
          <w:color w:val="007200"/>
          <w:rtl/>
        </w:rPr>
        <w:footnoteReference w:id="2"/>
      </w:r>
      <w:r w:rsidR="00667873">
        <w:rPr>
          <w:b/>
          <w:bCs/>
          <w:color w:val="007200"/>
          <w:rtl/>
        </w:rPr>
        <w:t xml:space="preserve"> </w:t>
      </w:r>
      <w:r w:rsidRPr="00986D0B">
        <w:rPr>
          <w:rFonts w:hint="cs"/>
          <w:rtl/>
        </w:rPr>
        <w:t xml:space="preserve">خدا شما را موظف کرده </w:t>
      </w:r>
      <w:r w:rsidR="00504ABC" w:rsidRPr="00986D0B">
        <w:rPr>
          <w:rFonts w:hint="cs"/>
          <w:rtl/>
        </w:rPr>
        <w:t>سؤال</w:t>
      </w:r>
      <w:r w:rsidRPr="00986D0B">
        <w:rPr>
          <w:rFonts w:hint="cs"/>
          <w:rtl/>
        </w:rPr>
        <w:t xml:space="preserve"> کنید اما ما را موظف نکرده جواب بدهید. ذاک الینا. آیه دیگری هم استشهاد </w:t>
      </w:r>
      <w:r w:rsidR="00504ABC" w:rsidRPr="00986D0B">
        <w:rPr>
          <w:rFonts w:hint="cs"/>
          <w:rtl/>
        </w:rPr>
        <w:t>می‌کنند</w:t>
      </w:r>
      <w:r w:rsidRPr="00986D0B">
        <w:rPr>
          <w:rFonts w:hint="cs"/>
          <w:rtl/>
        </w:rPr>
        <w:t xml:space="preserve"> </w:t>
      </w:r>
      <w:r w:rsidR="00667873">
        <w:rPr>
          <w:b/>
          <w:bCs/>
          <w:color w:val="007200"/>
          <w:rtl/>
        </w:rPr>
        <w:t>﴿هذا عَطاؤُنا فَامْنُنْ أَوْ أَمْسِكْ بِغَيْرِ حِساب‏﴾</w:t>
      </w:r>
      <w:r w:rsidR="00667873">
        <w:rPr>
          <w:rStyle w:val="FootnoteReference"/>
          <w:b/>
          <w:bCs/>
          <w:color w:val="007200"/>
          <w:rtl/>
        </w:rPr>
        <w:footnoteReference w:id="3"/>
      </w:r>
      <w:r w:rsidRPr="00986D0B">
        <w:rPr>
          <w:rFonts w:hint="cs"/>
          <w:rtl/>
        </w:rPr>
        <w:t xml:space="preserve">. این آیه را هم </w:t>
      </w:r>
      <w:r w:rsidR="00667873">
        <w:rPr>
          <w:rFonts w:hint="cs"/>
          <w:rtl/>
        </w:rPr>
        <w:t>آورده‌اند</w:t>
      </w:r>
      <w:r w:rsidRPr="00986D0B">
        <w:rPr>
          <w:rFonts w:hint="cs"/>
          <w:rtl/>
        </w:rPr>
        <w:t xml:space="preserve"> شاید در عنوان باب هم صاحب </w:t>
      </w:r>
      <w:r w:rsidR="00667873">
        <w:rPr>
          <w:rFonts w:hint="cs"/>
          <w:rtl/>
        </w:rPr>
        <w:t>وسائ</w:t>
      </w:r>
      <w:r w:rsidR="00504ABC" w:rsidRPr="00986D0B">
        <w:rPr>
          <w:rFonts w:hint="cs"/>
          <w:rtl/>
        </w:rPr>
        <w:t>ل</w:t>
      </w:r>
      <w:r w:rsidRPr="00986D0B">
        <w:rPr>
          <w:rFonts w:hint="cs"/>
          <w:rtl/>
        </w:rPr>
        <w:t xml:space="preserve"> آورده باشد.</w:t>
      </w:r>
    </w:p>
    <w:p w:rsidR="003D46A4" w:rsidRPr="00986D0B" w:rsidRDefault="00504ABC" w:rsidP="00986D0B">
      <w:pPr>
        <w:rPr>
          <w:rtl/>
        </w:rPr>
      </w:pPr>
      <w:r w:rsidRPr="00986D0B">
        <w:rPr>
          <w:rFonts w:hint="cs"/>
          <w:rtl/>
        </w:rPr>
        <w:t>سؤال</w:t>
      </w:r>
      <w:r w:rsidR="003D46A4" w:rsidRPr="00986D0B">
        <w:rPr>
          <w:rFonts w:hint="cs"/>
          <w:rtl/>
        </w:rPr>
        <w:t xml:space="preserve">: </w:t>
      </w:r>
      <w:r w:rsidRPr="00986D0B">
        <w:rPr>
          <w:rFonts w:hint="cs"/>
          <w:rtl/>
        </w:rPr>
        <w:t>به‌صورت</w:t>
      </w:r>
      <w:r w:rsidR="003D46A4" w:rsidRPr="00986D0B">
        <w:rPr>
          <w:rFonts w:hint="cs"/>
          <w:rtl/>
        </w:rPr>
        <w:t xml:space="preserve"> مطلق آمده یا </w:t>
      </w:r>
      <w:r w:rsidRPr="00986D0B">
        <w:rPr>
          <w:rFonts w:hint="cs"/>
          <w:rtl/>
        </w:rPr>
        <w:t>سؤال</w:t>
      </w:r>
      <w:r w:rsidR="003D46A4" w:rsidRPr="00986D0B">
        <w:rPr>
          <w:rFonts w:hint="cs"/>
          <w:rtl/>
        </w:rPr>
        <w:t xml:space="preserve"> در جای خاصی است؟</w:t>
      </w:r>
    </w:p>
    <w:p w:rsidR="003D46A4" w:rsidRPr="00986D0B" w:rsidRDefault="003D46A4" w:rsidP="00986D0B">
      <w:pPr>
        <w:rPr>
          <w:rtl/>
        </w:rPr>
      </w:pPr>
      <w:r w:rsidRPr="00986D0B">
        <w:rPr>
          <w:rFonts w:hint="cs"/>
          <w:rtl/>
        </w:rPr>
        <w:t xml:space="preserve">جواب: </w:t>
      </w:r>
      <w:r w:rsidR="00504ABC" w:rsidRPr="00986D0B">
        <w:rPr>
          <w:rFonts w:hint="cs"/>
          <w:rtl/>
        </w:rPr>
        <w:t>مطلقاً</w:t>
      </w:r>
      <w:r w:rsidRPr="00986D0B">
        <w:rPr>
          <w:rFonts w:hint="cs"/>
          <w:rtl/>
        </w:rPr>
        <w:t xml:space="preserve"> است.</w:t>
      </w:r>
    </w:p>
    <w:p w:rsidR="003D46A4" w:rsidRPr="00986D0B" w:rsidRDefault="003D46A4" w:rsidP="00986D0B">
      <w:pPr>
        <w:rPr>
          <w:rtl/>
        </w:rPr>
      </w:pPr>
      <w:r w:rsidRPr="00986D0B">
        <w:rPr>
          <w:rFonts w:hint="cs"/>
          <w:rtl/>
        </w:rPr>
        <w:t xml:space="preserve">روایات متعددی داریم که حضرت </w:t>
      </w:r>
      <w:r w:rsidR="00504ABC" w:rsidRPr="00986D0B">
        <w:rPr>
          <w:rFonts w:hint="cs"/>
          <w:rtl/>
        </w:rPr>
        <w:t>می‌فرمایند</w:t>
      </w:r>
      <w:r w:rsidRPr="00986D0B">
        <w:rPr>
          <w:rFonts w:hint="cs"/>
          <w:rtl/>
        </w:rPr>
        <w:t xml:space="preserve"> بر شما </w:t>
      </w:r>
      <w:r w:rsidR="00504ABC" w:rsidRPr="00986D0B">
        <w:rPr>
          <w:rFonts w:hint="cs"/>
          <w:rtl/>
        </w:rPr>
        <w:t>سؤال</w:t>
      </w:r>
      <w:r w:rsidRPr="00986D0B">
        <w:rPr>
          <w:rFonts w:hint="cs"/>
          <w:rtl/>
        </w:rPr>
        <w:t xml:space="preserve"> ولی بر ما جواب نیست. اگر خواستیم جواب </w:t>
      </w:r>
      <w:r w:rsidR="00504ABC" w:rsidRPr="00986D0B">
        <w:rPr>
          <w:rFonts w:hint="cs"/>
          <w:rtl/>
        </w:rPr>
        <w:t>می‌دهیم</w:t>
      </w:r>
      <w:r w:rsidRPr="00986D0B">
        <w:rPr>
          <w:rFonts w:hint="cs"/>
          <w:rtl/>
        </w:rPr>
        <w:t xml:space="preserve"> اگر نخواستیم نه. این را </w:t>
      </w:r>
      <w:r w:rsidR="00504ABC" w:rsidRPr="00986D0B">
        <w:rPr>
          <w:rFonts w:hint="cs"/>
          <w:rtl/>
        </w:rPr>
        <w:t>به‌عنوان</w:t>
      </w:r>
      <w:r w:rsidRPr="00986D0B">
        <w:rPr>
          <w:rFonts w:hint="cs"/>
          <w:rtl/>
        </w:rPr>
        <w:t xml:space="preserve"> شاهد </w:t>
      </w:r>
      <w:r w:rsidR="00504ABC" w:rsidRPr="00986D0B">
        <w:rPr>
          <w:rFonts w:hint="cs"/>
          <w:rtl/>
        </w:rPr>
        <w:t>می‌گویم</w:t>
      </w:r>
      <w:r w:rsidRPr="00986D0B">
        <w:rPr>
          <w:rFonts w:hint="cs"/>
          <w:rtl/>
        </w:rPr>
        <w:t xml:space="preserve"> ولی باید در جای خودش معنا کرد. اگر هم قبول نکنیم و بگوییم جایی که از امام </w:t>
      </w:r>
      <w:r w:rsidR="00504ABC" w:rsidRPr="00986D0B">
        <w:rPr>
          <w:rFonts w:hint="cs"/>
          <w:rtl/>
        </w:rPr>
        <w:t>سؤال</w:t>
      </w:r>
      <w:r w:rsidRPr="00986D0B">
        <w:rPr>
          <w:rFonts w:hint="cs"/>
          <w:rtl/>
        </w:rPr>
        <w:t xml:space="preserve"> </w:t>
      </w:r>
      <w:r w:rsidR="00504ABC" w:rsidRPr="00986D0B">
        <w:rPr>
          <w:rFonts w:hint="cs"/>
          <w:rtl/>
        </w:rPr>
        <w:t>می‌شود</w:t>
      </w:r>
      <w:r w:rsidRPr="00986D0B">
        <w:rPr>
          <w:rFonts w:hint="cs"/>
          <w:rtl/>
        </w:rPr>
        <w:t xml:space="preserve"> </w:t>
      </w:r>
      <w:r w:rsidRPr="00986D0B">
        <w:rPr>
          <w:rFonts w:hint="cs"/>
          <w:rtl/>
        </w:rPr>
        <w:lastRenderedPageBreak/>
        <w:t xml:space="preserve">باید جواب دهد حداقل این است که در حواشی کار که ارتکازات باشد الزامی نیست و نباید توقع داشته باشیم جواب ناظر به آن مسئله هم باشد. لااقل در این سکوت </w:t>
      </w:r>
      <w:r w:rsidR="00504ABC" w:rsidRPr="00986D0B">
        <w:rPr>
          <w:rFonts w:hint="cs"/>
          <w:rtl/>
        </w:rPr>
        <w:t>به‌سادگی</w:t>
      </w:r>
      <w:r w:rsidRPr="00986D0B">
        <w:rPr>
          <w:rFonts w:hint="cs"/>
          <w:rtl/>
        </w:rPr>
        <w:t xml:space="preserve"> ن</w:t>
      </w:r>
      <w:r w:rsidR="00504ABC" w:rsidRPr="00986D0B">
        <w:rPr>
          <w:rFonts w:hint="cs"/>
          <w:rtl/>
        </w:rPr>
        <w:t>می‌شود</w:t>
      </w:r>
      <w:r w:rsidRPr="00986D0B">
        <w:rPr>
          <w:rFonts w:hint="cs"/>
          <w:rtl/>
        </w:rPr>
        <w:t xml:space="preserve"> گفت دال بر جواز است</w:t>
      </w:r>
      <w:r w:rsidR="00A73A9B" w:rsidRPr="00986D0B">
        <w:rPr>
          <w:rFonts w:hint="cs"/>
          <w:rtl/>
        </w:rPr>
        <w:t>.</w:t>
      </w:r>
    </w:p>
    <w:p w:rsidR="00EB1F1D" w:rsidRPr="00986D0B" w:rsidRDefault="00EB1F1D" w:rsidP="00986D0B">
      <w:pPr>
        <w:pStyle w:val="Heading3"/>
        <w:jc w:val="both"/>
        <w:rPr>
          <w:sz w:val="28"/>
          <w:szCs w:val="28"/>
          <w:rtl/>
        </w:rPr>
      </w:pPr>
      <w:bookmarkStart w:id="12" w:name="_Toc56417103"/>
      <w:r w:rsidRPr="00986D0B">
        <w:rPr>
          <w:rFonts w:hint="cs"/>
          <w:sz w:val="28"/>
          <w:szCs w:val="28"/>
          <w:rtl/>
        </w:rPr>
        <w:t>جواب اشکال ششم:</w:t>
      </w:r>
      <w:bookmarkEnd w:id="12"/>
    </w:p>
    <w:p w:rsidR="00A73A9B" w:rsidRPr="00986D0B" w:rsidRDefault="00A73A9B" w:rsidP="00986D0B">
      <w:pPr>
        <w:rPr>
          <w:rtl/>
        </w:rPr>
      </w:pPr>
      <w:r w:rsidRPr="00986D0B">
        <w:rPr>
          <w:rFonts w:hint="cs"/>
          <w:rtl/>
        </w:rPr>
        <w:t xml:space="preserve">در خصوص این مناقشه بحثی که در روایات آمده که بر شما </w:t>
      </w:r>
      <w:r w:rsidR="00504ABC" w:rsidRPr="00986D0B">
        <w:rPr>
          <w:rFonts w:hint="cs"/>
          <w:rtl/>
        </w:rPr>
        <w:t>سؤال</w:t>
      </w:r>
      <w:r w:rsidRPr="00986D0B">
        <w:rPr>
          <w:rFonts w:hint="cs"/>
          <w:rtl/>
        </w:rPr>
        <w:t xml:space="preserve"> ولی بر ما الزامی به پاسخ نیست باید در جای دیگری بحث کنیم. به نظر </w:t>
      </w:r>
      <w:r w:rsidR="00504ABC" w:rsidRPr="00986D0B">
        <w:rPr>
          <w:rFonts w:hint="cs"/>
          <w:rtl/>
        </w:rPr>
        <w:t>می‌رسد</w:t>
      </w:r>
      <w:r w:rsidRPr="00986D0B">
        <w:rPr>
          <w:rFonts w:hint="cs"/>
          <w:rtl/>
        </w:rPr>
        <w:t xml:space="preserve"> ظاهر را به شکل </w:t>
      </w:r>
      <w:r w:rsidR="00504ABC" w:rsidRPr="00986D0B">
        <w:rPr>
          <w:rFonts w:hint="cs"/>
          <w:rtl/>
        </w:rPr>
        <w:t>اولیه‌اش</w:t>
      </w:r>
      <w:r w:rsidRPr="00986D0B">
        <w:rPr>
          <w:rFonts w:hint="cs"/>
          <w:rtl/>
        </w:rPr>
        <w:t xml:space="preserve"> ن</w:t>
      </w:r>
      <w:r w:rsidR="00504ABC" w:rsidRPr="00986D0B">
        <w:rPr>
          <w:rFonts w:hint="cs"/>
          <w:rtl/>
        </w:rPr>
        <w:t>می‌شود</w:t>
      </w:r>
      <w:r w:rsidRPr="00986D0B">
        <w:rPr>
          <w:rFonts w:hint="cs"/>
          <w:rtl/>
        </w:rPr>
        <w:t xml:space="preserve"> پذیرفت </w:t>
      </w:r>
      <w:r w:rsidR="00504ABC" w:rsidRPr="00986D0B">
        <w:rPr>
          <w:rFonts w:hint="cs"/>
          <w:rtl/>
        </w:rPr>
        <w:t>به‌خصوص</w:t>
      </w:r>
      <w:r w:rsidRPr="00986D0B">
        <w:rPr>
          <w:rFonts w:hint="cs"/>
          <w:rtl/>
        </w:rPr>
        <w:t xml:space="preserve"> آیاتی که </w:t>
      </w:r>
      <w:r w:rsidR="00504ABC" w:rsidRPr="00986D0B">
        <w:rPr>
          <w:rFonts w:hint="cs"/>
          <w:rtl/>
        </w:rPr>
        <w:t>می‌گوید</w:t>
      </w:r>
      <w:r w:rsidRPr="00986D0B">
        <w:rPr>
          <w:rFonts w:hint="cs"/>
          <w:rtl/>
        </w:rPr>
        <w:t xml:space="preserve"> نباید کتمان علم کرد و باید ارشاد جاهل کرد قاعده ارشاد جاهل و حرمت کتمان علم قواعدی است که وجود دارد و شامل ائمه هم </w:t>
      </w:r>
      <w:r w:rsidR="00504ABC" w:rsidRPr="00986D0B">
        <w:rPr>
          <w:rFonts w:hint="cs"/>
          <w:rtl/>
        </w:rPr>
        <w:t>می‌شود</w:t>
      </w:r>
      <w:r w:rsidRPr="00986D0B">
        <w:rPr>
          <w:rFonts w:hint="cs"/>
          <w:rtl/>
        </w:rPr>
        <w:t xml:space="preserve">. اینکه </w:t>
      </w:r>
      <w:r w:rsidR="00504ABC" w:rsidRPr="00986D0B">
        <w:rPr>
          <w:rFonts w:hint="cs"/>
          <w:rtl/>
        </w:rPr>
        <w:t>فرموده‌اند</w:t>
      </w:r>
      <w:r w:rsidRPr="00986D0B">
        <w:rPr>
          <w:rFonts w:hint="cs"/>
          <w:rtl/>
        </w:rPr>
        <w:t xml:space="preserve"> بر ما پاسخ لازم نیست </w:t>
      </w:r>
      <w:r w:rsidR="00504ABC" w:rsidRPr="00986D0B">
        <w:rPr>
          <w:rFonts w:hint="cs"/>
          <w:rtl/>
        </w:rPr>
        <w:t>احتمالاً</w:t>
      </w:r>
      <w:r w:rsidRPr="00986D0B">
        <w:rPr>
          <w:rFonts w:hint="cs"/>
          <w:rtl/>
        </w:rPr>
        <w:t xml:space="preserve"> ناظر به این است که یکی از </w:t>
      </w:r>
      <w:r w:rsidR="00504ABC" w:rsidRPr="00986D0B">
        <w:rPr>
          <w:rFonts w:hint="cs"/>
          <w:rtl/>
        </w:rPr>
        <w:t>چندمعناست</w:t>
      </w:r>
      <w:r w:rsidRPr="00986D0B">
        <w:rPr>
          <w:rFonts w:hint="cs"/>
          <w:rtl/>
        </w:rPr>
        <w:t xml:space="preserve"> یکی  از معانی هم این است که ممکن است ما به لحاظ عناوین ثانویه یا مصالحی جایی جواب ندهیم. این حالت خاص دارد که طبق قاعده هم هست. گاهی تقیه </w:t>
      </w:r>
      <w:r w:rsidR="00504ABC" w:rsidRPr="00986D0B">
        <w:rPr>
          <w:rFonts w:hint="cs"/>
          <w:rtl/>
        </w:rPr>
        <w:t>کرده‌اند</w:t>
      </w:r>
      <w:r w:rsidRPr="00986D0B">
        <w:rPr>
          <w:rFonts w:hint="cs"/>
          <w:rtl/>
        </w:rPr>
        <w:t xml:space="preserve"> جواب </w:t>
      </w:r>
      <w:r w:rsidR="00504ABC" w:rsidRPr="00986D0B">
        <w:rPr>
          <w:rFonts w:hint="cs"/>
          <w:rtl/>
        </w:rPr>
        <w:t>نداده‌اند</w:t>
      </w:r>
      <w:r w:rsidRPr="00986D0B">
        <w:rPr>
          <w:rFonts w:hint="cs"/>
          <w:rtl/>
        </w:rPr>
        <w:t xml:space="preserve"> و یا جواب خلاف </w:t>
      </w:r>
      <w:r w:rsidR="00504ABC" w:rsidRPr="00986D0B">
        <w:rPr>
          <w:rFonts w:hint="cs"/>
          <w:rtl/>
        </w:rPr>
        <w:t>داده‌اند</w:t>
      </w:r>
      <w:r w:rsidRPr="00986D0B">
        <w:rPr>
          <w:rFonts w:hint="cs"/>
          <w:rtl/>
        </w:rPr>
        <w:t xml:space="preserve">. بر اساس عناوین ثانویه یا مصالحی که تشخیص </w:t>
      </w:r>
      <w:r w:rsidR="00504ABC" w:rsidRPr="00986D0B">
        <w:rPr>
          <w:rFonts w:hint="cs"/>
          <w:rtl/>
        </w:rPr>
        <w:t>می‌دادند</w:t>
      </w:r>
      <w:r w:rsidRPr="00986D0B">
        <w:rPr>
          <w:rFonts w:hint="cs"/>
          <w:rtl/>
        </w:rPr>
        <w:t xml:space="preserve"> جواب ن</w:t>
      </w:r>
      <w:r w:rsidR="00504ABC" w:rsidRPr="00986D0B">
        <w:rPr>
          <w:rFonts w:hint="cs"/>
          <w:rtl/>
        </w:rPr>
        <w:t>می‌دادند</w:t>
      </w:r>
      <w:r w:rsidRPr="00986D0B">
        <w:rPr>
          <w:rFonts w:hint="cs"/>
          <w:rtl/>
        </w:rPr>
        <w:t xml:space="preserve"> یا جواب خلاف واقع </w:t>
      </w:r>
      <w:r w:rsidR="00504ABC" w:rsidRPr="00986D0B">
        <w:rPr>
          <w:rFonts w:hint="cs"/>
          <w:rtl/>
        </w:rPr>
        <w:t>می‌دادند</w:t>
      </w:r>
      <w:r w:rsidRPr="00986D0B">
        <w:rPr>
          <w:rFonts w:hint="cs"/>
          <w:rtl/>
        </w:rPr>
        <w:t>. این حق ائمه بوده</w:t>
      </w:r>
      <w:r w:rsidR="00986D0B" w:rsidRPr="00986D0B">
        <w:rPr>
          <w:rtl/>
        </w:rPr>
        <w:t xml:space="preserve">؛ </w:t>
      </w:r>
      <w:r w:rsidRPr="00986D0B">
        <w:rPr>
          <w:rFonts w:hint="cs"/>
          <w:rtl/>
        </w:rPr>
        <w:t xml:space="preserve">اما اینکه این روایت </w:t>
      </w:r>
      <w:r w:rsidR="00504ABC" w:rsidRPr="00986D0B">
        <w:rPr>
          <w:rFonts w:hint="cs"/>
          <w:rtl/>
        </w:rPr>
        <w:t>می‌گوید</w:t>
      </w:r>
      <w:r w:rsidRPr="00986D0B">
        <w:rPr>
          <w:rFonts w:hint="cs"/>
          <w:rtl/>
        </w:rPr>
        <w:t xml:space="preserve"> </w:t>
      </w:r>
      <w:r w:rsidR="00504ABC" w:rsidRPr="00986D0B">
        <w:rPr>
          <w:rFonts w:hint="cs"/>
          <w:rtl/>
        </w:rPr>
        <w:t>سؤال</w:t>
      </w:r>
      <w:r w:rsidRPr="00986D0B">
        <w:rPr>
          <w:rFonts w:hint="cs"/>
          <w:rtl/>
        </w:rPr>
        <w:t xml:space="preserve"> </w:t>
      </w:r>
      <w:r w:rsidR="00504ABC" w:rsidRPr="00986D0B">
        <w:rPr>
          <w:rFonts w:hint="cs"/>
          <w:rtl/>
        </w:rPr>
        <w:t>طرح‌شده</w:t>
      </w:r>
      <w:r w:rsidRPr="00986D0B">
        <w:rPr>
          <w:rFonts w:hint="cs"/>
          <w:rtl/>
        </w:rPr>
        <w:t xml:space="preserve"> و </w:t>
      </w:r>
      <w:r w:rsidR="00504ABC" w:rsidRPr="00986D0B">
        <w:rPr>
          <w:rFonts w:hint="cs"/>
          <w:rtl/>
        </w:rPr>
        <w:t>هیچ‌وجهی</w:t>
      </w:r>
      <w:r w:rsidRPr="00986D0B">
        <w:rPr>
          <w:rFonts w:hint="cs"/>
          <w:rtl/>
        </w:rPr>
        <w:t xml:space="preserve"> بر عدم پاسخ حتی </w:t>
      </w:r>
      <w:r w:rsidR="00667873">
        <w:rPr>
          <w:rFonts w:hint="cs"/>
          <w:rtl/>
        </w:rPr>
        <w:t>در حد</w:t>
      </w:r>
      <w:r w:rsidRPr="00986D0B">
        <w:rPr>
          <w:rFonts w:hint="cs"/>
          <w:rtl/>
        </w:rPr>
        <w:t xml:space="preserve"> مصلحت هم نیست باز امام لازم نیست جواب دهد این بعید است روایات این را بگوید. باید جایی روایات را بحث کنیم. بحث مهمی است بحث اصولی است نه فقهی. تکلیف امام </w:t>
      </w:r>
      <w:r w:rsidR="00504ABC" w:rsidRPr="00986D0B">
        <w:rPr>
          <w:rFonts w:hint="cs"/>
          <w:rtl/>
        </w:rPr>
        <w:t>به‌عنوان</w:t>
      </w:r>
      <w:r w:rsidRPr="00986D0B">
        <w:rPr>
          <w:rFonts w:hint="cs"/>
          <w:rtl/>
        </w:rPr>
        <w:t xml:space="preserve"> بحث فقهی است اما از فقه احکام خاصه امام اما این حکم فقهی برای امام از قواعدی است که در استنباط احکام اثر </w:t>
      </w:r>
      <w:r w:rsidR="00504ABC" w:rsidRPr="00986D0B">
        <w:rPr>
          <w:rFonts w:hint="cs"/>
          <w:rtl/>
        </w:rPr>
        <w:t>می‌گذارد</w:t>
      </w:r>
      <w:r w:rsidRPr="00986D0B">
        <w:rPr>
          <w:rFonts w:hint="cs"/>
          <w:rtl/>
        </w:rPr>
        <w:t xml:space="preserve"> لذا جزء اصول </w:t>
      </w:r>
      <w:r w:rsidR="00504ABC" w:rsidRPr="00986D0B">
        <w:rPr>
          <w:rFonts w:hint="cs"/>
          <w:rtl/>
        </w:rPr>
        <w:t>می‌شود</w:t>
      </w:r>
      <w:r w:rsidRPr="00986D0B">
        <w:rPr>
          <w:rFonts w:hint="cs"/>
          <w:rtl/>
        </w:rPr>
        <w:t>. در اصول جایی بحث نشده شاید در تضاعیف کلمات ممکن است جاهایی آمده باشد جای خودش باید بحث کنیم.</w:t>
      </w:r>
    </w:p>
    <w:p w:rsidR="00A73A9B" w:rsidRPr="00986D0B" w:rsidRDefault="00A73A9B" w:rsidP="00986D0B">
      <w:pPr>
        <w:rPr>
          <w:rtl/>
        </w:rPr>
      </w:pPr>
      <w:r w:rsidRPr="00986D0B">
        <w:rPr>
          <w:rFonts w:hint="cs"/>
          <w:rtl/>
        </w:rPr>
        <w:t xml:space="preserve">پاسخ و نکته دیگر این است که ارتکازی که بر آن شاهد روشنی بر کلام باشد با </w:t>
      </w:r>
      <w:r w:rsidR="00504ABC" w:rsidRPr="00986D0B">
        <w:rPr>
          <w:rFonts w:hint="cs"/>
          <w:rtl/>
        </w:rPr>
        <w:t>سؤال</w:t>
      </w:r>
      <w:r w:rsidRPr="00986D0B">
        <w:rPr>
          <w:rFonts w:hint="cs"/>
          <w:rtl/>
        </w:rPr>
        <w:t xml:space="preserve"> مستقیم فرقی ندارد. بالاخره </w:t>
      </w:r>
      <w:r w:rsidR="00504ABC" w:rsidRPr="00986D0B">
        <w:rPr>
          <w:rFonts w:hint="cs"/>
          <w:rtl/>
        </w:rPr>
        <w:t>می‌گوییم</w:t>
      </w:r>
      <w:r w:rsidRPr="00986D0B">
        <w:rPr>
          <w:rFonts w:hint="cs"/>
          <w:rtl/>
        </w:rPr>
        <w:t xml:space="preserve"> چرا امام باید جواب </w:t>
      </w:r>
      <w:r w:rsidR="00504ABC" w:rsidRPr="00986D0B">
        <w:rPr>
          <w:rFonts w:hint="cs"/>
          <w:rtl/>
        </w:rPr>
        <w:t>سؤال</w:t>
      </w:r>
      <w:r w:rsidRPr="00986D0B">
        <w:rPr>
          <w:rFonts w:hint="cs"/>
          <w:rtl/>
        </w:rPr>
        <w:t xml:space="preserve"> را بدهد؟ زیرا این امر مجهول </w:t>
      </w:r>
      <w:r w:rsidR="00504ABC" w:rsidRPr="00986D0B">
        <w:rPr>
          <w:rFonts w:hint="cs"/>
          <w:rtl/>
        </w:rPr>
        <w:t>عرضه‌شده</w:t>
      </w:r>
      <w:r w:rsidRPr="00986D0B">
        <w:rPr>
          <w:rFonts w:hint="cs"/>
          <w:rtl/>
        </w:rPr>
        <w:t xml:space="preserve"> امام باید پاسخش را بدهد. اگر ارتکازی وجود داشته باشد که در حکم </w:t>
      </w:r>
      <w:r w:rsidR="00504ABC" w:rsidRPr="00986D0B">
        <w:rPr>
          <w:rFonts w:hint="cs"/>
          <w:rtl/>
        </w:rPr>
        <w:t>سؤال</w:t>
      </w:r>
      <w:r w:rsidRPr="00986D0B">
        <w:rPr>
          <w:rFonts w:hint="cs"/>
          <w:rtl/>
        </w:rPr>
        <w:t xml:space="preserve"> است فرقی ن</w:t>
      </w:r>
      <w:r w:rsidR="00504ABC" w:rsidRPr="00986D0B">
        <w:rPr>
          <w:rFonts w:hint="cs"/>
          <w:rtl/>
        </w:rPr>
        <w:t>می‌کند</w:t>
      </w:r>
      <w:r w:rsidRPr="00986D0B">
        <w:rPr>
          <w:rFonts w:hint="cs"/>
          <w:rtl/>
        </w:rPr>
        <w:t xml:space="preserve"> و مثل آن باید جواب دهد. بلکه این ارتکاز را امام باید بیشتر جواب دهد</w:t>
      </w:r>
      <w:r w:rsidR="00986D0B" w:rsidRPr="00986D0B">
        <w:rPr>
          <w:rtl/>
        </w:rPr>
        <w:t xml:space="preserve">؛ </w:t>
      </w:r>
      <w:r w:rsidRPr="00986D0B">
        <w:rPr>
          <w:rFonts w:hint="cs"/>
          <w:rtl/>
        </w:rPr>
        <w:t xml:space="preserve">زیرا این </w:t>
      </w:r>
      <w:r w:rsidR="00504ABC" w:rsidRPr="00986D0B">
        <w:rPr>
          <w:rFonts w:hint="cs"/>
          <w:rtl/>
        </w:rPr>
        <w:t>سؤال</w:t>
      </w:r>
      <w:r w:rsidRPr="00986D0B">
        <w:rPr>
          <w:rFonts w:hint="cs"/>
          <w:rtl/>
        </w:rPr>
        <w:t xml:space="preserve"> نیست </w:t>
      </w:r>
      <w:r w:rsidR="00504ABC" w:rsidRPr="00986D0B">
        <w:rPr>
          <w:rFonts w:hint="cs"/>
          <w:rtl/>
        </w:rPr>
        <w:t>پیش‌فرضی</w:t>
      </w:r>
      <w:r w:rsidRPr="00986D0B">
        <w:rPr>
          <w:rFonts w:hint="cs"/>
          <w:rtl/>
        </w:rPr>
        <w:t xml:space="preserve"> است که عرف در ذهنش مسلم گرفته و اگر خلاف باشد </w:t>
      </w:r>
      <w:r w:rsidR="00504ABC" w:rsidRPr="00986D0B">
        <w:rPr>
          <w:rFonts w:hint="cs"/>
          <w:rtl/>
        </w:rPr>
        <w:t>وظیفه‌ای</w:t>
      </w:r>
      <w:r w:rsidRPr="00986D0B">
        <w:rPr>
          <w:rFonts w:hint="cs"/>
          <w:rtl/>
        </w:rPr>
        <w:t xml:space="preserve"> بالاتر از جواب پاسخ است این اصلاح اشتباه و انحراف است. این اصلاح اشتباه و انحراف آکد از جواب پرسش است. در پرسش جهلی وجود دارد که امام باید ارشاد کند و تعلیم دهد این </w:t>
      </w:r>
      <w:r w:rsidR="00504ABC" w:rsidRPr="00986D0B">
        <w:rPr>
          <w:rFonts w:hint="cs"/>
          <w:rtl/>
        </w:rPr>
        <w:t>درجه‌ای</w:t>
      </w:r>
      <w:r w:rsidRPr="00986D0B">
        <w:rPr>
          <w:rFonts w:hint="cs"/>
          <w:rtl/>
        </w:rPr>
        <w:t xml:space="preserve"> از آن است</w:t>
      </w:r>
      <w:r w:rsidR="00986D0B" w:rsidRPr="00986D0B">
        <w:rPr>
          <w:rtl/>
        </w:rPr>
        <w:t xml:space="preserve">؛ </w:t>
      </w:r>
      <w:r w:rsidRPr="00986D0B">
        <w:rPr>
          <w:rFonts w:hint="cs"/>
          <w:rtl/>
        </w:rPr>
        <w:t xml:space="preserve">اما در ارتکاز و </w:t>
      </w:r>
      <w:r w:rsidR="00504ABC" w:rsidRPr="00986D0B">
        <w:rPr>
          <w:rFonts w:hint="cs"/>
          <w:rtl/>
        </w:rPr>
        <w:t>پیش‌فرض‌های</w:t>
      </w:r>
      <w:r w:rsidRPr="00986D0B">
        <w:rPr>
          <w:rFonts w:hint="cs"/>
          <w:rtl/>
        </w:rPr>
        <w:t xml:space="preserve"> موجود که ظهور عرفی هم دارد، </w:t>
      </w:r>
      <w:r w:rsidR="00504ABC" w:rsidRPr="00986D0B">
        <w:rPr>
          <w:rFonts w:hint="cs"/>
          <w:rtl/>
        </w:rPr>
        <w:t>پیش‌فرضی</w:t>
      </w:r>
      <w:r w:rsidRPr="00986D0B">
        <w:rPr>
          <w:rFonts w:hint="cs"/>
          <w:rtl/>
        </w:rPr>
        <w:t xml:space="preserve"> که در کلام سائل ظهور </w:t>
      </w:r>
      <w:r w:rsidR="00504ABC" w:rsidRPr="00986D0B">
        <w:rPr>
          <w:rFonts w:hint="cs"/>
          <w:rtl/>
        </w:rPr>
        <w:t>پیداکرده</w:t>
      </w:r>
      <w:r w:rsidRPr="00986D0B">
        <w:rPr>
          <w:rFonts w:hint="cs"/>
          <w:rtl/>
        </w:rPr>
        <w:t xml:space="preserve"> و عرف </w:t>
      </w:r>
      <w:r w:rsidR="00504ABC" w:rsidRPr="00986D0B">
        <w:rPr>
          <w:rFonts w:hint="cs"/>
          <w:rtl/>
        </w:rPr>
        <w:t>می‌فهمد</w:t>
      </w:r>
      <w:r w:rsidRPr="00986D0B">
        <w:rPr>
          <w:rFonts w:hint="cs"/>
          <w:rtl/>
        </w:rPr>
        <w:t xml:space="preserve"> اگر این </w:t>
      </w:r>
      <w:r w:rsidR="00504ABC" w:rsidRPr="00986D0B">
        <w:rPr>
          <w:rFonts w:hint="cs"/>
          <w:rtl/>
        </w:rPr>
        <w:t>پیش‌فرض</w:t>
      </w:r>
      <w:r w:rsidRPr="00986D0B">
        <w:rPr>
          <w:rFonts w:hint="cs"/>
          <w:rtl/>
        </w:rPr>
        <w:t xml:space="preserve"> غلط باشد وظیفه امام بالاتر از جواب به پرسش و رفع جهل است. اینجا باید رفع جهل مرکب بکند و اشتباه و علم به خلافش را درست کند</w:t>
      </w:r>
      <w:r w:rsidR="00986D0B" w:rsidRPr="00986D0B">
        <w:rPr>
          <w:rtl/>
        </w:rPr>
        <w:t xml:space="preserve">؛ </w:t>
      </w:r>
      <w:r w:rsidRPr="00986D0B">
        <w:rPr>
          <w:rFonts w:hint="cs"/>
          <w:rtl/>
        </w:rPr>
        <w:t xml:space="preserve">بنابراین وقتی ارتکاز در ظهور کلام بیاید با </w:t>
      </w:r>
      <w:r w:rsidR="00504ABC" w:rsidRPr="00986D0B">
        <w:rPr>
          <w:rFonts w:hint="cs"/>
          <w:rtl/>
        </w:rPr>
        <w:t>سؤال</w:t>
      </w:r>
      <w:r w:rsidRPr="00986D0B">
        <w:rPr>
          <w:rFonts w:hint="cs"/>
          <w:rtl/>
        </w:rPr>
        <w:t xml:space="preserve"> فرقی ندارد اگر نگوییم اولی به این است که باید جواب داده شود. اگر هم کسی بگوید از باب اینکه مستقیم </w:t>
      </w:r>
      <w:r w:rsidR="00504ABC" w:rsidRPr="00986D0B">
        <w:rPr>
          <w:rFonts w:hint="cs"/>
          <w:rtl/>
        </w:rPr>
        <w:t>سؤال</w:t>
      </w:r>
      <w:r w:rsidRPr="00986D0B">
        <w:rPr>
          <w:rFonts w:hint="cs"/>
          <w:rtl/>
        </w:rPr>
        <w:t xml:space="preserve"> نکرده و در حاشیه بوده یک مقدار از </w:t>
      </w:r>
      <w:r w:rsidR="00504ABC" w:rsidRPr="00986D0B">
        <w:rPr>
          <w:rFonts w:hint="cs"/>
          <w:rtl/>
        </w:rPr>
        <w:t>سؤال</w:t>
      </w:r>
      <w:r w:rsidRPr="00986D0B">
        <w:rPr>
          <w:rFonts w:hint="cs"/>
          <w:rtl/>
        </w:rPr>
        <w:t xml:space="preserve"> </w:t>
      </w:r>
      <w:r w:rsidR="00504ABC" w:rsidRPr="00986D0B">
        <w:rPr>
          <w:rFonts w:hint="cs"/>
          <w:rtl/>
        </w:rPr>
        <w:t>ازاین‌جهت</w:t>
      </w:r>
      <w:r w:rsidRPr="00986D0B">
        <w:rPr>
          <w:rFonts w:hint="cs"/>
          <w:rtl/>
        </w:rPr>
        <w:t xml:space="preserve"> </w:t>
      </w:r>
      <w:r w:rsidR="00504ABC" w:rsidRPr="00986D0B">
        <w:rPr>
          <w:rFonts w:hint="cs"/>
          <w:rtl/>
        </w:rPr>
        <w:t>ضعیف‌تر</w:t>
      </w:r>
      <w:r w:rsidRPr="00986D0B">
        <w:rPr>
          <w:rFonts w:hint="cs"/>
          <w:rtl/>
        </w:rPr>
        <w:t xml:space="preserve"> است </w:t>
      </w:r>
      <w:r w:rsidR="00504ABC" w:rsidRPr="00986D0B">
        <w:rPr>
          <w:rFonts w:hint="cs"/>
          <w:rtl/>
        </w:rPr>
        <w:t>می‌گوییم</w:t>
      </w:r>
      <w:r w:rsidRPr="00986D0B">
        <w:rPr>
          <w:rFonts w:hint="cs"/>
          <w:rtl/>
        </w:rPr>
        <w:t xml:space="preserve"> از جهت دیگری جواب از امام </w:t>
      </w:r>
      <w:r w:rsidR="00504ABC" w:rsidRPr="00986D0B">
        <w:rPr>
          <w:rFonts w:hint="cs"/>
          <w:rtl/>
        </w:rPr>
        <w:t>قوی‌تر</w:t>
      </w:r>
      <w:r w:rsidR="00667873">
        <w:rPr>
          <w:rFonts w:hint="cs"/>
          <w:rtl/>
        </w:rPr>
        <w:t xml:space="preserve"> است. این دو تکافؤ</w:t>
      </w:r>
      <w:r w:rsidRPr="00986D0B">
        <w:rPr>
          <w:rFonts w:hint="cs"/>
          <w:rtl/>
        </w:rPr>
        <w:t xml:space="preserve"> </w:t>
      </w:r>
      <w:r w:rsidR="00504ABC" w:rsidRPr="00986D0B">
        <w:rPr>
          <w:rFonts w:hint="cs"/>
          <w:rtl/>
        </w:rPr>
        <w:t>می‌کنند</w:t>
      </w:r>
      <w:r w:rsidRPr="00986D0B">
        <w:rPr>
          <w:rFonts w:hint="cs"/>
          <w:rtl/>
        </w:rPr>
        <w:t xml:space="preserve"> </w:t>
      </w:r>
      <w:r w:rsidR="00504ABC" w:rsidRPr="00986D0B">
        <w:rPr>
          <w:rFonts w:hint="cs"/>
          <w:rtl/>
        </w:rPr>
        <w:t>حداقل</w:t>
      </w:r>
      <w:r w:rsidRPr="00986D0B">
        <w:rPr>
          <w:rFonts w:hint="cs"/>
          <w:rtl/>
        </w:rPr>
        <w:t xml:space="preserve"> در حد </w:t>
      </w:r>
      <w:r w:rsidR="00504ABC" w:rsidRPr="00986D0B">
        <w:rPr>
          <w:rFonts w:hint="cs"/>
          <w:rtl/>
        </w:rPr>
        <w:t>سؤال</w:t>
      </w:r>
      <w:r w:rsidRPr="00986D0B">
        <w:rPr>
          <w:rFonts w:hint="cs"/>
          <w:rtl/>
        </w:rPr>
        <w:t xml:space="preserve"> باید آن را جواب دهد.</w:t>
      </w:r>
    </w:p>
    <w:p w:rsidR="00A73A9B" w:rsidRPr="00986D0B" w:rsidRDefault="00504ABC" w:rsidP="00986D0B">
      <w:pPr>
        <w:rPr>
          <w:rtl/>
        </w:rPr>
      </w:pPr>
      <w:r w:rsidRPr="00986D0B">
        <w:rPr>
          <w:rFonts w:hint="cs"/>
          <w:rtl/>
        </w:rPr>
        <w:t>سؤال</w:t>
      </w:r>
      <w:r w:rsidR="00A73A9B" w:rsidRPr="00986D0B">
        <w:rPr>
          <w:rFonts w:hint="cs"/>
          <w:rtl/>
        </w:rPr>
        <w:t>: لازم نیست در یک جلسه گفته شود بلکه ارجاع به روایات قبل دهد که ارتکاز را نفی کرده است.</w:t>
      </w:r>
    </w:p>
    <w:p w:rsidR="00A73A9B" w:rsidRPr="00986D0B" w:rsidRDefault="00A73A9B" w:rsidP="00986D0B">
      <w:pPr>
        <w:rPr>
          <w:rtl/>
        </w:rPr>
      </w:pPr>
      <w:r w:rsidRPr="00986D0B">
        <w:rPr>
          <w:rFonts w:hint="cs"/>
          <w:rtl/>
        </w:rPr>
        <w:t xml:space="preserve">جواب: اصل در این است که آنچه به </w:t>
      </w:r>
      <w:r w:rsidR="00504ABC" w:rsidRPr="00986D0B">
        <w:rPr>
          <w:rFonts w:hint="cs"/>
          <w:rtl/>
        </w:rPr>
        <w:t>سؤال</w:t>
      </w:r>
      <w:r w:rsidRPr="00986D0B">
        <w:rPr>
          <w:rFonts w:hint="cs"/>
          <w:rtl/>
        </w:rPr>
        <w:t xml:space="preserve"> و </w:t>
      </w:r>
      <w:r w:rsidR="00504ABC" w:rsidRPr="00986D0B">
        <w:rPr>
          <w:rFonts w:hint="cs"/>
          <w:rtl/>
        </w:rPr>
        <w:t>پیش‌فرض</w:t>
      </w:r>
      <w:r w:rsidRPr="00986D0B">
        <w:rPr>
          <w:rFonts w:hint="cs"/>
          <w:rtl/>
        </w:rPr>
        <w:t xml:space="preserve"> او </w:t>
      </w:r>
      <w:r w:rsidR="00504ABC" w:rsidRPr="00986D0B">
        <w:rPr>
          <w:rFonts w:hint="cs"/>
          <w:rtl/>
        </w:rPr>
        <w:t>برمی‌گردد</w:t>
      </w:r>
      <w:r w:rsidRPr="00986D0B">
        <w:rPr>
          <w:rFonts w:hint="cs"/>
          <w:rtl/>
        </w:rPr>
        <w:t xml:space="preserve"> جواب داده شود. این اصل است مگر اینکه خلافش ثابت شود. شما در همه اط</w:t>
      </w:r>
      <w:r w:rsidR="00667873">
        <w:rPr>
          <w:rFonts w:hint="cs"/>
          <w:rtl/>
        </w:rPr>
        <w:t>لاقات و عمومات اصالة</w:t>
      </w:r>
      <w:r w:rsidRPr="00986D0B">
        <w:rPr>
          <w:rFonts w:hint="cs"/>
          <w:rtl/>
        </w:rPr>
        <w:t xml:space="preserve"> العموم و اطلاق را اثبات </w:t>
      </w:r>
      <w:r w:rsidR="00504ABC" w:rsidRPr="00986D0B">
        <w:rPr>
          <w:rFonts w:hint="cs"/>
          <w:rtl/>
        </w:rPr>
        <w:t>می‌کنید</w:t>
      </w:r>
      <w:r w:rsidRPr="00986D0B">
        <w:rPr>
          <w:rFonts w:hint="cs"/>
          <w:rtl/>
        </w:rPr>
        <w:t xml:space="preserve"> چه اطلاق لفظی چه مقامی. </w:t>
      </w:r>
      <w:r w:rsidR="00504ABC" w:rsidRPr="00986D0B">
        <w:rPr>
          <w:rFonts w:hint="cs"/>
          <w:rtl/>
        </w:rPr>
        <w:t>درحالی‌که</w:t>
      </w:r>
      <w:r w:rsidRPr="00986D0B">
        <w:rPr>
          <w:rFonts w:hint="cs"/>
          <w:rtl/>
        </w:rPr>
        <w:t xml:space="preserve"> </w:t>
      </w:r>
      <w:r w:rsidR="00504ABC" w:rsidRPr="00986D0B">
        <w:rPr>
          <w:rFonts w:hint="cs"/>
          <w:rtl/>
        </w:rPr>
        <w:lastRenderedPageBreak/>
        <w:t>می‌فرمایید</w:t>
      </w:r>
      <w:r w:rsidRPr="00986D0B">
        <w:rPr>
          <w:rFonts w:hint="cs"/>
          <w:rtl/>
        </w:rPr>
        <w:t xml:space="preserve"> لازم نیست </w:t>
      </w:r>
      <w:r w:rsidR="00504ABC" w:rsidRPr="00986D0B">
        <w:rPr>
          <w:rFonts w:hint="cs"/>
          <w:rtl/>
        </w:rPr>
        <w:t>همه‌چیز</w:t>
      </w:r>
      <w:r w:rsidRPr="00986D0B">
        <w:rPr>
          <w:rFonts w:hint="cs"/>
          <w:rtl/>
        </w:rPr>
        <w:t xml:space="preserve"> را بگوید معنایش این است که عموم و اطلاقی محقق ن</w:t>
      </w:r>
      <w:r w:rsidR="00504ABC" w:rsidRPr="00986D0B">
        <w:rPr>
          <w:rFonts w:hint="cs"/>
          <w:rtl/>
        </w:rPr>
        <w:t>می‌شود</w:t>
      </w:r>
      <w:r w:rsidRPr="00986D0B">
        <w:rPr>
          <w:rFonts w:hint="cs"/>
          <w:rtl/>
        </w:rPr>
        <w:t xml:space="preserve"> و </w:t>
      </w:r>
      <w:r w:rsidR="00504ABC" w:rsidRPr="00986D0B">
        <w:rPr>
          <w:rFonts w:hint="cs"/>
          <w:rtl/>
        </w:rPr>
        <w:t>می‌تواند</w:t>
      </w:r>
      <w:r w:rsidRPr="00986D0B">
        <w:rPr>
          <w:rFonts w:hint="cs"/>
          <w:rtl/>
        </w:rPr>
        <w:t xml:space="preserve"> در جای دیگر بگوید. </w:t>
      </w:r>
      <w:r w:rsidR="00504ABC" w:rsidRPr="00986D0B">
        <w:rPr>
          <w:rFonts w:hint="cs"/>
          <w:rtl/>
        </w:rPr>
        <w:t>درحالی‌که</w:t>
      </w:r>
      <w:r w:rsidRPr="00986D0B">
        <w:rPr>
          <w:rFonts w:hint="cs"/>
          <w:rtl/>
        </w:rPr>
        <w:t xml:space="preserve"> عموم و اطلاق منعقد </w:t>
      </w:r>
      <w:r w:rsidR="00504ABC" w:rsidRPr="00986D0B">
        <w:rPr>
          <w:rFonts w:hint="cs"/>
          <w:rtl/>
        </w:rPr>
        <w:t>می‌شود</w:t>
      </w:r>
      <w:r w:rsidRPr="00986D0B">
        <w:rPr>
          <w:rFonts w:hint="cs"/>
          <w:rtl/>
        </w:rPr>
        <w:t xml:space="preserve"> ولی با قرینه منفصل </w:t>
      </w:r>
      <w:r w:rsidR="00504ABC" w:rsidRPr="00986D0B">
        <w:rPr>
          <w:rFonts w:hint="cs"/>
          <w:rtl/>
        </w:rPr>
        <w:t>می‌تواند</w:t>
      </w:r>
      <w:r w:rsidRPr="00986D0B">
        <w:rPr>
          <w:rFonts w:hint="cs"/>
          <w:rtl/>
        </w:rPr>
        <w:t xml:space="preserve"> </w:t>
      </w:r>
      <w:r w:rsidR="00504ABC" w:rsidRPr="00986D0B">
        <w:rPr>
          <w:rFonts w:hint="cs"/>
          <w:rtl/>
        </w:rPr>
        <w:t>گوشه‌ای</w:t>
      </w:r>
      <w:r w:rsidRPr="00986D0B">
        <w:rPr>
          <w:rFonts w:hint="cs"/>
          <w:rtl/>
        </w:rPr>
        <w:t xml:space="preserve"> از آن ساییده شود. این بحث شما بحث مهمی است. ولی من مفروض فقهی اصول و استظهارات را </w:t>
      </w:r>
      <w:r w:rsidR="00504ABC" w:rsidRPr="00986D0B">
        <w:rPr>
          <w:rFonts w:hint="cs"/>
          <w:rtl/>
        </w:rPr>
        <w:t>می‌گویم</w:t>
      </w:r>
      <w:r w:rsidRPr="00986D0B">
        <w:rPr>
          <w:rFonts w:hint="cs"/>
          <w:rtl/>
        </w:rPr>
        <w:t xml:space="preserve"> ولی جای بحث دارد. کسی ممکن است در اطلاقات این را بگوید که در مقام بیان بودن را در </w:t>
      </w:r>
      <w:r w:rsidR="00504ABC" w:rsidRPr="00986D0B">
        <w:rPr>
          <w:rFonts w:hint="cs"/>
          <w:rtl/>
        </w:rPr>
        <w:t>یک‌کلام</w:t>
      </w:r>
      <w:r w:rsidRPr="00986D0B">
        <w:rPr>
          <w:rFonts w:hint="cs"/>
          <w:rtl/>
        </w:rPr>
        <w:t xml:space="preserve"> </w:t>
      </w:r>
      <w:r w:rsidR="00504ABC" w:rsidRPr="00986D0B">
        <w:rPr>
          <w:rFonts w:hint="cs"/>
          <w:rtl/>
        </w:rPr>
        <w:t>اجرا</w:t>
      </w:r>
      <w:r w:rsidRPr="00986D0B">
        <w:rPr>
          <w:rFonts w:hint="cs"/>
          <w:rtl/>
        </w:rPr>
        <w:t xml:space="preserve"> نکنید باید همه کلام را ببینید و بگویید در مقام بیان است</w:t>
      </w:r>
      <w:r w:rsidR="00C26DCB" w:rsidRPr="00986D0B">
        <w:rPr>
          <w:rFonts w:hint="cs"/>
          <w:rtl/>
        </w:rPr>
        <w:t xml:space="preserve"> ولو در </w:t>
      </w:r>
      <w:r w:rsidR="00504ABC" w:rsidRPr="00986D0B">
        <w:rPr>
          <w:rFonts w:hint="cs"/>
          <w:rtl/>
        </w:rPr>
        <w:t>منفصل‌ها</w:t>
      </w:r>
      <w:r w:rsidRPr="00986D0B">
        <w:rPr>
          <w:rFonts w:hint="cs"/>
          <w:rtl/>
        </w:rPr>
        <w:t xml:space="preserve">. اگر این را بگویید </w:t>
      </w:r>
      <w:r w:rsidR="00C26DCB" w:rsidRPr="00986D0B">
        <w:rPr>
          <w:rFonts w:hint="cs"/>
          <w:rtl/>
        </w:rPr>
        <w:t xml:space="preserve">نظام اطلاق و تقیید تغییر پیدا </w:t>
      </w:r>
      <w:r w:rsidR="00504ABC" w:rsidRPr="00986D0B">
        <w:rPr>
          <w:rFonts w:hint="cs"/>
          <w:rtl/>
        </w:rPr>
        <w:t>می‌کند</w:t>
      </w:r>
      <w:r w:rsidR="00C26DCB" w:rsidRPr="00986D0B">
        <w:rPr>
          <w:rFonts w:hint="cs"/>
          <w:rtl/>
        </w:rPr>
        <w:t xml:space="preserve">. خیلی </w:t>
      </w:r>
      <w:r w:rsidR="00504ABC" w:rsidRPr="00986D0B">
        <w:rPr>
          <w:rFonts w:hint="cs"/>
          <w:rtl/>
        </w:rPr>
        <w:t>مطلق‌ها</w:t>
      </w:r>
      <w:r w:rsidR="00C26DCB" w:rsidRPr="00986D0B">
        <w:rPr>
          <w:rFonts w:hint="cs"/>
          <w:rtl/>
        </w:rPr>
        <w:t xml:space="preserve"> دیگر مطلق نیست و حتی در عمومات هم ممکن است این احتمال داده شود. ولی مفروض ما این است که در </w:t>
      </w:r>
      <w:r w:rsidR="00504ABC" w:rsidRPr="00986D0B">
        <w:rPr>
          <w:rFonts w:hint="cs"/>
          <w:rtl/>
        </w:rPr>
        <w:t>هرجایی</w:t>
      </w:r>
      <w:r w:rsidR="00C26DCB" w:rsidRPr="00986D0B">
        <w:rPr>
          <w:rFonts w:hint="cs"/>
          <w:rtl/>
        </w:rPr>
        <w:t xml:space="preserve"> چیزی که ممکن است به این بحث مربوط است را بگوید. این هم از این مسئله. البته فرمایش شما جای بحث اصولی دارد.</w:t>
      </w:r>
    </w:p>
    <w:p w:rsidR="00C26DCB" w:rsidRPr="00986D0B" w:rsidRDefault="00504ABC" w:rsidP="00986D0B">
      <w:pPr>
        <w:rPr>
          <w:rtl/>
        </w:rPr>
      </w:pPr>
      <w:r w:rsidRPr="00986D0B">
        <w:rPr>
          <w:rFonts w:hint="cs"/>
          <w:rtl/>
        </w:rPr>
        <w:t>سؤال</w:t>
      </w:r>
      <w:r w:rsidR="00C26DCB" w:rsidRPr="00986D0B">
        <w:rPr>
          <w:rFonts w:hint="cs"/>
          <w:rtl/>
        </w:rPr>
        <w:t>: مصادیقی هم دارد که امام در آن جلسه جواب ندادند.</w:t>
      </w:r>
    </w:p>
    <w:p w:rsidR="00C26DCB" w:rsidRPr="00986D0B" w:rsidRDefault="00C26DCB" w:rsidP="00986D0B">
      <w:pPr>
        <w:rPr>
          <w:rtl/>
        </w:rPr>
      </w:pPr>
      <w:r w:rsidRPr="00986D0B">
        <w:rPr>
          <w:rFonts w:hint="cs"/>
          <w:rtl/>
        </w:rPr>
        <w:t>جواب: به جهتی ممکن است جواب ندهد</w:t>
      </w:r>
      <w:r w:rsidR="00986D0B" w:rsidRPr="00986D0B">
        <w:rPr>
          <w:rtl/>
        </w:rPr>
        <w:t xml:space="preserve">؛ </w:t>
      </w:r>
      <w:r w:rsidRPr="00986D0B">
        <w:rPr>
          <w:rFonts w:hint="cs"/>
          <w:rtl/>
        </w:rPr>
        <w:t xml:space="preserve">اما </w:t>
      </w:r>
      <w:r w:rsidR="00504ABC" w:rsidRPr="00986D0B">
        <w:rPr>
          <w:rFonts w:hint="cs"/>
          <w:rtl/>
        </w:rPr>
        <w:t>نکته‌ای</w:t>
      </w:r>
      <w:r w:rsidRPr="00986D0B">
        <w:rPr>
          <w:rFonts w:hint="cs"/>
          <w:rtl/>
        </w:rPr>
        <w:t xml:space="preserve"> که ایشان گفتند این است که جواب سائل را امام قرار نیست </w:t>
      </w:r>
      <w:r w:rsidR="00504ABC" w:rsidRPr="00986D0B">
        <w:rPr>
          <w:rFonts w:hint="cs"/>
          <w:rtl/>
        </w:rPr>
        <w:t>همه‌اش</w:t>
      </w:r>
      <w:r w:rsidRPr="00986D0B">
        <w:rPr>
          <w:rFonts w:hint="cs"/>
          <w:rtl/>
        </w:rPr>
        <w:t xml:space="preserve"> را اینجا جواب دهد. ممکن است به </w:t>
      </w:r>
      <w:r w:rsidR="00504ABC" w:rsidRPr="00986D0B">
        <w:rPr>
          <w:rFonts w:hint="cs"/>
          <w:rtl/>
        </w:rPr>
        <w:t>منفصل‌ها</w:t>
      </w:r>
      <w:r w:rsidRPr="00986D0B">
        <w:rPr>
          <w:rFonts w:hint="cs"/>
          <w:rtl/>
        </w:rPr>
        <w:t xml:space="preserve">یی که </w:t>
      </w:r>
      <w:r w:rsidR="00504ABC" w:rsidRPr="00986D0B">
        <w:rPr>
          <w:rFonts w:hint="cs"/>
          <w:rtl/>
        </w:rPr>
        <w:t>قبلاً</w:t>
      </w:r>
      <w:r w:rsidRPr="00986D0B">
        <w:rPr>
          <w:rFonts w:hint="cs"/>
          <w:rtl/>
        </w:rPr>
        <w:t xml:space="preserve"> گفته یا </w:t>
      </w:r>
      <w:r w:rsidR="00504ABC" w:rsidRPr="00986D0B">
        <w:rPr>
          <w:rFonts w:hint="cs"/>
          <w:rtl/>
        </w:rPr>
        <w:t>بعداً</w:t>
      </w:r>
      <w:r w:rsidRPr="00986D0B">
        <w:rPr>
          <w:rFonts w:hint="cs"/>
          <w:rtl/>
        </w:rPr>
        <w:t xml:space="preserve"> </w:t>
      </w:r>
      <w:r w:rsidR="00504ABC" w:rsidRPr="00986D0B">
        <w:rPr>
          <w:rFonts w:hint="cs"/>
          <w:rtl/>
        </w:rPr>
        <w:t>می‌گوید</w:t>
      </w:r>
      <w:r w:rsidRPr="00986D0B">
        <w:rPr>
          <w:rFonts w:hint="cs"/>
          <w:rtl/>
        </w:rPr>
        <w:t xml:space="preserve"> اعتماد کند. عرض ما این است که اگر این اصل را بپذیریم و اصل مقابلش را کنار بگذاریم نظام استدلالات به عمومات و اطلاقات و خیلی از استظهارات در کلمات و روایات به هم </w:t>
      </w:r>
      <w:r w:rsidR="00504ABC" w:rsidRPr="00986D0B">
        <w:rPr>
          <w:rFonts w:hint="cs"/>
          <w:rtl/>
        </w:rPr>
        <w:t>می‌ریزد</w:t>
      </w:r>
      <w:r w:rsidRPr="00986D0B">
        <w:rPr>
          <w:rFonts w:hint="cs"/>
          <w:rtl/>
        </w:rPr>
        <w:t xml:space="preserve">. این نیست البته جای بحث دارد. خیلی این بحث واضح نیست. </w:t>
      </w:r>
      <w:r w:rsidR="00504ABC" w:rsidRPr="00986D0B">
        <w:rPr>
          <w:rFonts w:hint="cs"/>
          <w:rtl/>
        </w:rPr>
        <w:t>به‌خصوص</w:t>
      </w:r>
      <w:r w:rsidRPr="00986D0B">
        <w:rPr>
          <w:rFonts w:hint="cs"/>
          <w:rtl/>
        </w:rPr>
        <w:t xml:space="preserve"> در اطلاق جای بحث دارد.</w:t>
      </w:r>
    </w:p>
    <w:p w:rsidR="00C26DCB" w:rsidRPr="00986D0B" w:rsidRDefault="00C26DCB" w:rsidP="00986D0B">
      <w:pPr>
        <w:rPr>
          <w:rtl/>
        </w:rPr>
      </w:pPr>
      <w:r w:rsidRPr="00986D0B">
        <w:rPr>
          <w:rFonts w:hint="cs"/>
          <w:rtl/>
        </w:rPr>
        <w:t xml:space="preserve">این شش مناقشه </w:t>
      </w:r>
      <w:r w:rsidR="00504ABC" w:rsidRPr="00986D0B">
        <w:rPr>
          <w:rFonts w:hint="cs"/>
          <w:rtl/>
        </w:rPr>
        <w:t>واردشده</w:t>
      </w:r>
      <w:r w:rsidRPr="00986D0B">
        <w:rPr>
          <w:rFonts w:hint="cs"/>
          <w:rtl/>
        </w:rPr>
        <w:t xml:space="preserve"> بود. به نظر </w:t>
      </w:r>
      <w:r w:rsidR="00504ABC" w:rsidRPr="00986D0B">
        <w:rPr>
          <w:rFonts w:hint="cs"/>
          <w:rtl/>
        </w:rPr>
        <w:t>می‌رسد</w:t>
      </w:r>
      <w:r w:rsidRPr="00986D0B">
        <w:rPr>
          <w:rFonts w:hint="cs"/>
          <w:rtl/>
        </w:rPr>
        <w:t xml:space="preserve"> هر شش تا قابل پاسخ بود و این روایت سندا</w:t>
      </w:r>
      <w:r w:rsidR="00667873">
        <w:rPr>
          <w:rFonts w:hint="cs"/>
          <w:rtl/>
        </w:rPr>
        <w:t>ً</w:t>
      </w:r>
      <w:r w:rsidRPr="00986D0B">
        <w:rPr>
          <w:rFonts w:hint="cs"/>
          <w:rtl/>
        </w:rPr>
        <w:t xml:space="preserve"> و دلالتا</w:t>
      </w:r>
      <w:r w:rsidR="00667873">
        <w:rPr>
          <w:rFonts w:hint="cs"/>
          <w:rtl/>
        </w:rPr>
        <w:t>ً</w:t>
      </w:r>
      <w:r w:rsidRPr="00986D0B">
        <w:rPr>
          <w:rFonts w:hint="cs"/>
          <w:rtl/>
        </w:rPr>
        <w:t xml:space="preserve"> </w:t>
      </w:r>
      <w:r w:rsidR="00504ABC" w:rsidRPr="00986D0B">
        <w:rPr>
          <w:rFonts w:hint="cs"/>
          <w:rtl/>
        </w:rPr>
        <w:t>قابل‌قبول</w:t>
      </w:r>
      <w:r w:rsidRPr="00986D0B">
        <w:rPr>
          <w:rFonts w:hint="cs"/>
          <w:rtl/>
        </w:rPr>
        <w:t xml:space="preserve"> است و دلالتش دلالت ضعیفی نیست.</w:t>
      </w:r>
    </w:p>
    <w:p w:rsidR="00C26DCB" w:rsidRPr="00986D0B" w:rsidRDefault="00504ABC" w:rsidP="00986D0B">
      <w:pPr>
        <w:rPr>
          <w:rtl/>
        </w:rPr>
      </w:pPr>
      <w:r w:rsidRPr="00986D0B">
        <w:rPr>
          <w:rFonts w:hint="cs"/>
          <w:rtl/>
        </w:rPr>
        <w:t>سؤال</w:t>
      </w:r>
      <w:r w:rsidR="00C26DCB" w:rsidRPr="00986D0B">
        <w:rPr>
          <w:rFonts w:hint="cs"/>
          <w:rtl/>
        </w:rPr>
        <w:t xml:space="preserve">: این روایت مبتنی بر مفهوم وصف است. ارتکاز را از چه طریقی کشف </w:t>
      </w:r>
      <w:r w:rsidRPr="00986D0B">
        <w:rPr>
          <w:rFonts w:hint="cs"/>
          <w:rtl/>
        </w:rPr>
        <w:t>می‌کنیم</w:t>
      </w:r>
      <w:r w:rsidR="00C26DCB" w:rsidRPr="00986D0B">
        <w:rPr>
          <w:rFonts w:hint="cs"/>
          <w:rtl/>
        </w:rPr>
        <w:t xml:space="preserve">؟ از تعبیر فی مکان که در این صورت قید و مفهوم وصف است که حجیت ندارد. </w:t>
      </w:r>
    </w:p>
    <w:p w:rsidR="00C26DCB" w:rsidRPr="00986D0B" w:rsidRDefault="00C26DCB" w:rsidP="00986D0B">
      <w:pPr>
        <w:rPr>
          <w:rtl/>
        </w:rPr>
      </w:pPr>
      <w:r w:rsidRPr="00986D0B">
        <w:rPr>
          <w:rFonts w:hint="cs"/>
          <w:rtl/>
        </w:rPr>
        <w:t>جواب: لازم نیست مفهوم باشد فی مک</w:t>
      </w:r>
      <w:r w:rsidR="00504ABC" w:rsidRPr="00986D0B">
        <w:rPr>
          <w:rFonts w:hint="cs"/>
          <w:rtl/>
        </w:rPr>
        <w:t>ان ‌</w:t>
      </w:r>
      <w:r w:rsidR="00667873">
        <w:rPr>
          <w:rtl/>
        </w:rPr>
        <w:t>هم</w:t>
      </w:r>
      <w:r w:rsidR="00667873">
        <w:rPr>
          <w:rFonts w:hint="cs"/>
          <w:rtl/>
        </w:rPr>
        <w:t>ی</w:t>
      </w:r>
      <w:r w:rsidR="00667873">
        <w:rPr>
          <w:rFonts w:hint="eastAsia"/>
          <w:rtl/>
        </w:rPr>
        <w:t>ن‌که</w:t>
      </w:r>
      <w:r w:rsidRPr="00986D0B">
        <w:rPr>
          <w:rFonts w:hint="cs"/>
          <w:rtl/>
        </w:rPr>
        <w:t xml:space="preserve"> قید احترازی شد نشان </w:t>
      </w:r>
      <w:r w:rsidR="00504ABC" w:rsidRPr="00986D0B">
        <w:rPr>
          <w:rFonts w:hint="cs"/>
          <w:rtl/>
        </w:rPr>
        <w:t>می‌دهد</w:t>
      </w:r>
      <w:r w:rsidRPr="00986D0B">
        <w:rPr>
          <w:rFonts w:hint="cs"/>
          <w:rtl/>
        </w:rPr>
        <w:t xml:space="preserve"> چیزی غیر این هست که این حکم را ندارد</w:t>
      </w:r>
      <w:r w:rsidR="00986D0B" w:rsidRPr="00986D0B">
        <w:rPr>
          <w:rtl/>
        </w:rPr>
        <w:t xml:space="preserve">؛ </w:t>
      </w:r>
      <w:r w:rsidRPr="00986D0B">
        <w:rPr>
          <w:rFonts w:hint="cs"/>
          <w:rtl/>
        </w:rPr>
        <w:t xml:space="preserve">یعنی </w:t>
      </w:r>
      <w:r w:rsidR="00504ABC" w:rsidRPr="00986D0B">
        <w:rPr>
          <w:rFonts w:hint="cs"/>
          <w:rtl/>
        </w:rPr>
        <w:t>درواقع</w:t>
      </w:r>
      <w:r w:rsidRPr="00986D0B">
        <w:rPr>
          <w:rFonts w:hint="cs"/>
          <w:rtl/>
        </w:rPr>
        <w:t xml:space="preserve"> </w:t>
      </w:r>
      <w:r w:rsidR="00504ABC" w:rsidRPr="00986D0B">
        <w:rPr>
          <w:rFonts w:hint="cs"/>
          <w:rtl/>
        </w:rPr>
        <w:t>همان‌که</w:t>
      </w:r>
      <w:r w:rsidRPr="00986D0B">
        <w:rPr>
          <w:rFonts w:hint="cs"/>
          <w:rtl/>
        </w:rPr>
        <w:t xml:space="preserve"> مرحوم </w:t>
      </w:r>
      <w:r w:rsidR="00504ABC" w:rsidRPr="00986D0B">
        <w:rPr>
          <w:rFonts w:hint="cs"/>
          <w:rtl/>
        </w:rPr>
        <w:t>خویی</w:t>
      </w:r>
      <w:r w:rsidRPr="00986D0B">
        <w:rPr>
          <w:rFonts w:hint="cs"/>
          <w:rtl/>
        </w:rPr>
        <w:t xml:space="preserve"> </w:t>
      </w:r>
      <w:r w:rsidR="00504ABC" w:rsidRPr="00986D0B">
        <w:rPr>
          <w:rFonts w:hint="cs"/>
          <w:rtl/>
        </w:rPr>
        <w:t>می‌گوید</w:t>
      </w:r>
      <w:r w:rsidRPr="00986D0B">
        <w:rPr>
          <w:rFonts w:hint="cs"/>
          <w:rtl/>
        </w:rPr>
        <w:t xml:space="preserve"> وصف مفهوم دارد ولی چیزی غیر مفهوم است. در آن حد است. بعد اینکه نوعی تحدید دارد دلالت اقتضا دارد. </w:t>
      </w:r>
    </w:p>
    <w:p w:rsidR="00C26DCB" w:rsidRPr="00986D0B" w:rsidRDefault="00504ABC" w:rsidP="00986D0B">
      <w:pPr>
        <w:rPr>
          <w:rtl/>
        </w:rPr>
      </w:pPr>
      <w:r w:rsidRPr="00986D0B">
        <w:rPr>
          <w:rFonts w:hint="cs"/>
          <w:rtl/>
        </w:rPr>
        <w:t>سؤال</w:t>
      </w:r>
      <w:r w:rsidR="00C26DCB" w:rsidRPr="00986D0B">
        <w:rPr>
          <w:rFonts w:hint="cs"/>
          <w:rtl/>
        </w:rPr>
        <w:t>: چرا در اصول ن</w:t>
      </w:r>
      <w:r w:rsidRPr="00986D0B">
        <w:rPr>
          <w:rFonts w:hint="cs"/>
          <w:rtl/>
        </w:rPr>
        <w:t>می‌پذیریم</w:t>
      </w:r>
      <w:r w:rsidR="00C26DCB" w:rsidRPr="00986D0B">
        <w:rPr>
          <w:rFonts w:hint="cs"/>
          <w:rtl/>
        </w:rPr>
        <w:t xml:space="preserve"> که وصف مفهوم داشته باشد</w:t>
      </w:r>
    </w:p>
    <w:p w:rsidR="00C26DCB" w:rsidRPr="00986D0B" w:rsidRDefault="00C26DCB" w:rsidP="00986D0B">
      <w:pPr>
        <w:rPr>
          <w:rtl/>
        </w:rPr>
      </w:pPr>
      <w:r w:rsidRPr="00986D0B">
        <w:rPr>
          <w:rFonts w:hint="cs"/>
          <w:rtl/>
        </w:rPr>
        <w:t xml:space="preserve">جواب: به </w:t>
      </w:r>
      <w:r w:rsidR="00504ABC" w:rsidRPr="00986D0B">
        <w:rPr>
          <w:rFonts w:hint="cs"/>
          <w:rtl/>
        </w:rPr>
        <w:t>بحث‌های</w:t>
      </w:r>
      <w:r w:rsidRPr="00986D0B">
        <w:rPr>
          <w:rFonts w:hint="cs"/>
          <w:rtl/>
        </w:rPr>
        <w:t xml:space="preserve"> مفهوم مراجعه کنید.</w:t>
      </w:r>
    </w:p>
    <w:p w:rsidR="00C26DCB" w:rsidRPr="00986D0B" w:rsidRDefault="00C26DCB" w:rsidP="00986D0B">
      <w:pPr>
        <w:pStyle w:val="Heading1"/>
        <w:jc w:val="both"/>
        <w:rPr>
          <w:sz w:val="28"/>
          <w:szCs w:val="28"/>
          <w:rtl/>
        </w:rPr>
      </w:pPr>
      <w:bookmarkStart w:id="13" w:name="_Toc56417104"/>
      <w:r w:rsidRPr="00986D0B">
        <w:rPr>
          <w:rFonts w:hint="cs"/>
          <w:sz w:val="28"/>
          <w:szCs w:val="28"/>
          <w:rtl/>
        </w:rPr>
        <w:t>دلیل نهم:</w:t>
      </w:r>
      <w:bookmarkEnd w:id="13"/>
    </w:p>
    <w:p w:rsidR="00C26DCB" w:rsidRPr="00986D0B" w:rsidRDefault="00C26DCB" w:rsidP="00986D0B">
      <w:pPr>
        <w:rPr>
          <w:rtl/>
        </w:rPr>
      </w:pPr>
      <w:r w:rsidRPr="00986D0B">
        <w:rPr>
          <w:rFonts w:hint="cs"/>
          <w:rtl/>
        </w:rPr>
        <w:t xml:space="preserve">این روایت </w:t>
      </w:r>
      <w:r w:rsidR="00504ABC" w:rsidRPr="00986D0B">
        <w:rPr>
          <w:rFonts w:hint="cs"/>
          <w:rtl/>
        </w:rPr>
        <w:t>ظاهراً</w:t>
      </w:r>
      <w:r w:rsidRPr="00986D0B">
        <w:rPr>
          <w:rFonts w:hint="cs"/>
          <w:rtl/>
        </w:rPr>
        <w:t xml:space="preserve"> در همه کتب اربعه آمده و تا حدود 12 سند دارد. البته سندها مستقل نیست همه به مفضل ابن عمر </w:t>
      </w:r>
      <w:r w:rsidR="00504ABC" w:rsidRPr="00986D0B">
        <w:rPr>
          <w:rFonts w:hint="cs"/>
          <w:rtl/>
        </w:rPr>
        <w:t>می‌رسد</w:t>
      </w:r>
      <w:r w:rsidRPr="00986D0B">
        <w:rPr>
          <w:rFonts w:hint="cs"/>
          <w:rtl/>
        </w:rPr>
        <w:t xml:space="preserve"> اما در </w:t>
      </w:r>
      <w:r w:rsidR="00504ABC" w:rsidRPr="00986D0B">
        <w:rPr>
          <w:rFonts w:hint="cs"/>
          <w:rtl/>
        </w:rPr>
        <w:t>سلسله‌های</w:t>
      </w:r>
      <w:r w:rsidRPr="00986D0B">
        <w:rPr>
          <w:rFonts w:hint="cs"/>
          <w:rtl/>
        </w:rPr>
        <w:t xml:space="preserve"> بعد از مفضل تفاوت دارد در حدی که تا 12 سند دارد. در </w:t>
      </w:r>
      <w:r w:rsidR="00CA35E2">
        <w:rPr>
          <w:rFonts w:hint="cs"/>
          <w:rtl/>
        </w:rPr>
        <w:t>وسائ</w:t>
      </w:r>
      <w:r w:rsidR="00504ABC" w:rsidRPr="00986D0B">
        <w:rPr>
          <w:rFonts w:hint="cs"/>
          <w:rtl/>
        </w:rPr>
        <w:t>ل</w:t>
      </w:r>
      <w:r w:rsidRPr="00986D0B">
        <w:rPr>
          <w:rFonts w:hint="cs"/>
          <w:rtl/>
        </w:rPr>
        <w:t xml:space="preserve"> </w:t>
      </w:r>
      <w:r w:rsidR="00986D0B" w:rsidRPr="00986D0B">
        <w:rPr>
          <w:rtl/>
        </w:rPr>
        <w:t>ج 2</w:t>
      </w:r>
      <w:r w:rsidRPr="00986D0B">
        <w:rPr>
          <w:rFonts w:hint="cs"/>
          <w:rtl/>
        </w:rPr>
        <w:t xml:space="preserve"> ابواب غسل میت است. باب استحباب تغسیل المراه التی لایوجد لها محرم. در کافی مفصل آمده مفصل از کافی </w:t>
      </w:r>
      <w:r w:rsidR="00504ABC" w:rsidRPr="00986D0B">
        <w:rPr>
          <w:rFonts w:hint="cs"/>
          <w:rtl/>
        </w:rPr>
        <w:t>می‌خوانم</w:t>
      </w:r>
      <w:r w:rsidRPr="00986D0B">
        <w:rPr>
          <w:rFonts w:hint="cs"/>
          <w:rtl/>
        </w:rPr>
        <w:t xml:space="preserve">. ابتدا در مورد غسل حضرت زهراست بعد به </w:t>
      </w:r>
      <w:r w:rsidR="00504ABC" w:rsidRPr="00986D0B">
        <w:rPr>
          <w:rFonts w:hint="cs"/>
          <w:rtl/>
        </w:rPr>
        <w:t>سؤال</w:t>
      </w:r>
      <w:r w:rsidRPr="00986D0B">
        <w:rPr>
          <w:rFonts w:hint="cs"/>
          <w:rtl/>
        </w:rPr>
        <w:t xml:space="preserve"> فقهی </w:t>
      </w:r>
      <w:r w:rsidR="00504ABC" w:rsidRPr="00986D0B">
        <w:rPr>
          <w:rFonts w:hint="cs"/>
          <w:rtl/>
        </w:rPr>
        <w:t>می‌رسد</w:t>
      </w:r>
      <w:r w:rsidRPr="00986D0B">
        <w:rPr>
          <w:rFonts w:hint="cs"/>
          <w:rtl/>
        </w:rPr>
        <w:t>:</w:t>
      </w:r>
    </w:p>
    <w:p w:rsidR="00986D0B" w:rsidRDefault="00C26DCB" w:rsidP="00986D0B">
      <w:pPr>
        <w:pStyle w:val="NormalWeb"/>
        <w:bidi/>
        <w:jc w:val="both"/>
        <w:rPr>
          <w:rFonts w:ascii="Traditional Arabic" w:hAnsi="Traditional Arabic" w:cs="Traditional Arabic"/>
          <w:sz w:val="28"/>
          <w:szCs w:val="28"/>
          <w:rtl/>
          <w:lang w:bidi="fa-IR"/>
        </w:rPr>
      </w:pPr>
      <w:r w:rsidRPr="00986D0B">
        <w:rPr>
          <w:rFonts w:ascii="Traditional Arabic" w:hAnsi="Traditional Arabic" w:cs="Traditional Arabic" w:hint="cs"/>
          <w:sz w:val="28"/>
          <w:szCs w:val="28"/>
          <w:rtl/>
          <w:lang w:bidi="fa-IR"/>
        </w:rPr>
        <w:lastRenderedPageBreak/>
        <w:t>قُلْتُ لِأَبِي عَبْدِ اللَّهِ عَلَيْهِ السَّلَامُ‏</w:t>
      </w:r>
      <w:r w:rsidRPr="00986D0B">
        <w:rPr>
          <w:rStyle w:val="FootnoteReference"/>
          <w:rFonts w:eastAsia="2  Lotus"/>
          <w:rtl/>
        </w:rPr>
        <w:footnoteReference w:id="4"/>
      </w:r>
      <w:r w:rsidRPr="00986D0B">
        <w:rPr>
          <w:rFonts w:ascii="Traditional Arabic" w:hAnsi="Traditional Arabic" w:cs="Traditional Arabic" w:hint="cs"/>
          <w:sz w:val="28"/>
          <w:szCs w:val="28"/>
          <w:rtl/>
          <w:lang w:bidi="fa-IR"/>
        </w:rPr>
        <w:t>: مَ</w:t>
      </w:r>
      <w:bookmarkStart w:id="14" w:name="_GoBack"/>
      <w:bookmarkEnd w:id="14"/>
      <w:r w:rsidRPr="00986D0B">
        <w:rPr>
          <w:rFonts w:ascii="Traditional Arabic" w:hAnsi="Traditional Arabic" w:cs="Traditional Arabic" w:hint="cs"/>
          <w:sz w:val="28"/>
          <w:szCs w:val="28"/>
          <w:rtl/>
          <w:lang w:bidi="fa-IR"/>
        </w:rPr>
        <w:t>نْ غَسَّلَ فَاطِمَةَ عَلَيْهَا السَّلَامُ؟</w:t>
      </w:r>
      <w:r w:rsidR="00742F2E" w:rsidRPr="00986D0B">
        <w:rPr>
          <w:rFonts w:ascii="Traditional Arabic" w:hAnsi="Traditional Arabic" w:cs="Traditional Arabic" w:hint="cs"/>
          <w:sz w:val="28"/>
          <w:szCs w:val="28"/>
          <w:rtl/>
          <w:lang w:bidi="fa-IR"/>
        </w:rPr>
        <w:t xml:space="preserve"> </w:t>
      </w:r>
      <w:r w:rsidRPr="00986D0B">
        <w:rPr>
          <w:rFonts w:ascii="Traditional Arabic" w:hAnsi="Traditional Arabic" w:cs="Traditional Arabic" w:hint="cs"/>
          <w:sz w:val="28"/>
          <w:szCs w:val="28"/>
          <w:rtl/>
          <w:lang w:bidi="fa-IR"/>
        </w:rPr>
        <w:t>قَالَ: «ذَاكَ‏</w:t>
      </w:r>
      <w:r w:rsidRPr="00986D0B">
        <w:rPr>
          <w:rStyle w:val="FootnoteReference"/>
          <w:rFonts w:eastAsia="2  Lotus"/>
          <w:rtl/>
          <w:lang w:bidi="fa-IR"/>
        </w:rPr>
        <w:footnoteReference w:id="5"/>
      </w:r>
      <w:r w:rsidRPr="00986D0B">
        <w:rPr>
          <w:rFonts w:ascii="Traditional Arabic" w:hAnsi="Traditional Arabic" w:cs="Traditional Arabic" w:hint="cs"/>
          <w:sz w:val="28"/>
          <w:szCs w:val="28"/>
          <w:rtl/>
          <w:lang w:bidi="fa-IR"/>
        </w:rPr>
        <w:t xml:space="preserve"> أَمِيرُ الْمُؤْمِنِينَ عَلَيْهِ السَّلَامُ» كَأَنَّمَا</w:t>
      </w:r>
      <w:r w:rsidRPr="00986D0B">
        <w:rPr>
          <w:rStyle w:val="FootnoteReference"/>
          <w:rFonts w:eastAsia="2  Lotus"/>
          <w:rtl/>
          <w:lang w:bidi="fa-IR"/>
        </w:rPr>
        <w:footnoteReference w:id="6"/>
      </w:r>
      <w:r w:rsidRPr="00986D0B">
        <w:rPr>
          <w:rFonts w:ascii="Traditional Arabic" w:hAnsi="Traditional Arabic" w:cs="Traditional Arabic" w:hint="cs"/>
          <w:sz w:val="28"/>
          <w:szCs w:val="28"/>
          <w:rtl/>
          <w:lang w:bidi="fa-IR"/>
        </w:rPr>
        <w:t xml:space="preserve"> اسْتَفْظَعْتُ‏</w:t>
      </w:r>
      <w:r w:rsidRPr="00986D0B">
        <w:rPr>
          <w:rStyle w:val="FootnoteReference"/>
          <w:rFonts w:eastAsia="2  Lotus"/>
          <w:rtl/>
          <w:lang w:bidi="fa-IR"/>
        </w:rPr>
        <w:footnoteReference w:id="7"/>
      </w:r>
      <w:r w:rsidRPr="00986D0B">
        <w:rPr>
          <w:rFonts w:ascii="Traditional Arabic" w:hAnsi="Traditional Arabic" w:cs="Traditional Arabic" w:hint="cs"/>
          <w:sz w:val="28"/>
          <w:szCs w:val="28"/>
          <w:rtl/>
          <w:lang w:bidi="fa-IR"/>
        </w:rPr>
        <w:t>، ذلِكَ مِنْ قَوْلِهِ، فَقَالَ لِي:</w:t>
      </w:r>
      <w:r w:rsidR="00986D0B" w:rsidRPr="00986D0B">
        <w:rPr>
          <w:rFonts w:ascii="Traditional Arabic" w:hAnsi="Traditional Arabic" w:cs="Traditional Arabic"/>
          <w:sz w:val="28"/>
          <w:szCs w:val="28"/>
          <w:rtl/>
          <w:lang w:bidi="fa-IR"/>
        </w:rPr>
        <w:t xml:space="preserve"> «</w:t>
      </w:r>
      <w:r w:rsidRPr="00986D0B">
        <w:rPr>
          <w:rFonts w:ascii="Traditional Arabic" w:hAnsi="Traditional Arabic" w:cs="Traditional Arabic" w:hint="cs"/>
          <w:sz w:val="28"/>
          <w:szCs w:val="28"/>
          <w:rtl/>
          <w:lang w:bidi="fa-IR"/>
        </w:rPr>
        <w:t>كَأَنَّكَ‏</w:t>
      </w:r>
      <w:r w:rsidRPr="00986D0B">
        <w:rPr>
          <w:rStyle w:val="FootnoteReference"/>
          <w:rFonts w:eastAsia="2  Lotus"/>
          <w:rtl/>
        </w:rPr>
        <w:footnoteReference w:id="8"/>
      </w:r>
      <w:r w:rsidRPr="00986D0B">
        <w:rPr>
          <w:rFonts w:ascii="Traditional Arabic" w:hAnsi="Traditional Arabic" w:cs="Traditional Arabic" w:hint="cs"/>
          <w:sz w:val="28"/>
          <w:szCs w:val="28"/>
          <w:rtl/>
          <w:lang w:bidi="fa-IR"/>
        </w:rPr>
        <w:t xml:space="preserve"> ضِقْتَ مِمَّا</w:t>
      </w:r>
      <w:r w:rsidRPr="00986D0B">
        <w:rPr>
          <w:rStyle w:val="FootnoteReference"/>
          <w:rFonts w:eastAsia="2  Lotus"/>
          <w:rtl/>
        </w:rPr>
        <w:footnoteReference w:id="9"/>
      </w:r>
      <w:r w:rsidRPr="00986D0B">
        <w:rPr>
          <w:rFonts w:ascii="Traditional Arabic" w:hAnsi="Traditional Arabic" w:cs="Traditional Arabic" w:hint="cs"/>
          <w:sz w:val="28"/>
          <w:szCs w:val="28"/>
          <w:rtl/>
          <w:lang w:bidi="fa-IR"/>
        </w:rPr>
        <w:t xml:space="preserve"> أَخْبَرْتُكَ؟» فَقُلْتُ: قَدْ</w:t>
      </w:r>
      <w:r w:rsidRPr="00986D0B">
        <w:rPr>
          <w:rStyle w:val="FootnoteReference"/>
          <w:rFonts w:eastAsia="2  Lotus"/>
          <w:rtl/>
        </w:rPr>
        <w:footnoteReference w:id="10"/>
      </w:r>
      <w:r w:rsidRPr="00986D0B">
        <w:rPr>
          <w:rFonts w:ascii="Traditional Arabic" w:hAnsi="Traditional Arabic" w:cs="Traditional Arabic" w:hint="cs"/>
          <w:sz w:val="28"/>
          <w:szCs w:val="28"/>
          <w:rtl/>
          <w:lang w:bidi="fa-IR"/>
        </w:rPr>
        <w:t xml:space="preserve"> كَانَ ذلِكَ‏</w:t>
      </w:r>
      <w:r w:rsidRPr="00986D0B">
        <w:rPr>
          <w:rStyle w:val="FootnoteReference"/>
          <w:rFonts w:eastAsia="2  Lotus"/>
          <w:rtl/>
        </w:rPr>
        <w:footnoteReference w:id="11"/>
      </w:r>
      <w:r w:rsidRPr="00986D0B">
        <w:rPr>
          <w:rFonts w:ascii="Traditional Arabic" w:hAnsi="Traditional Arabic" w:cs="Traditional Arabic" w:hint="cs"/>
          <w:sz w:val="28"/>
          <w:szCs w:val="28"/>
          <w:rtl/>
          <w:lang w:bidi="fa-IR"/>
        </w:rPr>
        <w:t xml:space="preserve"> جُعِلْتُ فِدَاكَ، فَقَالَ‏</w:t>
      </w:r>
      <w:r w:rsidRPr="00986D0B">
        <w:rPr>
          <w:rStyle w:val="FootnoteReference"/>
          <w:rFonts w:eastAsia="2  Lotus"/>
          <w:rtl/>
        </w:rPr>
        <w:footnoteReference w:id="12"/>
      </w:r>
      <w:r w:rsidRPr="00986D0B">
        <w:rPr>
          <w:rFonts w:ascii="Traditional Arabic" w:hAnsi="Traditional Arabic" w:cs="Traditional Arabic" w:hint="cs"/>
          <w:sz w:val="28"/>
          <w:szCs w:val="28"/>
          <w:rtl/>
          <w:lang w:bidi="fa-IR"/>
        </w:rPr>
        <w:t>: «لَا تَضِيقَنَ‏</w:t>
      </w:r>
      <w:r w:rsidRPr="00986D0B">
        <w:rPr>
          <w:rStyle w:val="FootnoteReference"/>
          <w:rFonts w:eastAsia="2  Lotus"/>
          <w:rtl/>
        </w:rPr>
        <w:footnoteReference w:id="13"/>
      </w:r>
      <w:r w:rsidRPr="00986D0B">
        <w:rPr>
          <w:rFonts w:ascii="Traditional Arabic" w:hAnsi="Traditional Arabic" w:cs="Traditional Arabic" w:hint="cs"/>
          <w:sz w:val="28"/>
          <w:szCs w:val="28"/>
          <w:rtl/>
          <w:lang w:bidi="fa-IR"/>
        </w:rPr>
        <w:t>؛ فَإِنَّهَا صِدِّيقَةٌ لَمْ يَكُنْ يُغَسِّلُهَا إِلَّا صِدِّيقٌ‏</w:t>
      </w:r>
      <w:r w:rsidRPr="00986D0B">
        <w:rPr>
          <w:rStyle w:val="FootnoteReference"/>
          <w:rFonts w:eastAsia="2  Lotus"/>
          <w:rtl/>
        </w:rPr>
        <w:footnoteReference w:id="14"/>
      </w:r>
      <w:r w:rsidRPr="00986D0B">
        <w:rPr>
          <w:rFonts w:ascii="Traditional Arabic" w:hAnsi="Traditional Arabic" w:cs="Traditional Arabic" w:hint="cs"/>
          <w:sz w:val="28"/>
          <w:szCs w:val="28"/>
          <w:rtl/>
          <w:lang w:bidi="fa-IR"/>
        </w:rPr>
        <w:t>، أَ مَا عَلِمْتَ أَنَّ مَرْيَمَ عَلَيْهَا السَّلَامُ لَمْ يُغَسِّلْهَا إِلَّا عِيسى‏ عَلَيْهِ السَّلَامُ؟».</w:t>
      </w:r>
    </w:p>
    <w:p w:rsidR="00C26DCB" w:rsidRPr="00986D0B" w:rsidRDefault="00C26DCB" w:rsidP="00F170C7">
      <w:pPr>
        <w:pStyle w:val="NormalWeb"/>
        <w:bidi/>
        <w:jc w:val="both"/>
        <w:rPr>
          <w:rFonts w:ascii="Traditional Arabic" w:hAnsi="Traditional Arabic" w:cs="Traditional Arabic"/>
          <w:sz w:val="28"/>
          <w:szCs w:val="28"/>
          <w:rtl/>
          <w:lang w:bidi="fa-IR"/>
        </w:rPr>
      </w:pPr>
      <w:r w:rsidRPr="00986D0B">
        <w:rPr>
          <w:rFonts w:ascii="Traditional Arabic" w:hAnsi="Traditional Arabic" w:cs="Traditional Arabic" w:hint="cs"/>
          <w:sz w:val="28"/>
          <w:szCs w:val="28"/>
          <w:rtl/>
          <w:lang w:bidi="fa-IR"/>
        </w:rPr>
        <w:t>قُلْتُ‏</w:t>
      </w:r>
      <w:r w:rsidRPr="00986D0B">
        <w:rPr>
          <w:rStyle w:val="FootnoteReference"/>
          <w:rFonts w:ascii="Traditional Arabic" w:eastAsia="2  Lotus" w:hAnsi="Traditional Arabic" w:cs="Traditional Arabic"/>
          <w:sz w:val="28"/>
          <w:szCs w:val="28"/>
          <w:rtl/>
          <w:lang w:bidi="fa-IR"/>
        </w:rPr>
        <w:footnoteReference w:id="15"/>
      </w:r>
      <w:r w:rsidRPr="00986D0B">
        <w:rPr>
          <w:rFonts w:ascii="Traditional Arabic" w:hAnsi="Traditional Arabic" w:cs="Traditional Arabic" w:hint="cs"/>
          <w:sz w:val="28"/>
          <w:szCs w:val="28"/>
          <w:rtl/>
          <w:lang w:bidi="fa-IR"/>
        </w:rPr>
        <w:t>: جُعِلْتُ فِدَاكَ، فَمَا تَقُولُ فِي الْمَرْأَةِ تَكُونُ فِي السَّفَرِ مَعَ الرِّجَالِ‏</w:t>
      </w:r>
      <w:r w:rsidRPr="00986D0B">
        <w:rPr>
          <w:rStyle w:val="FootnoteReference"/>
          <w:rFonts w:ascii="Traditional Arabic" w:eastAsia="2  Lotus" w:hAnsi="Traditional Arabic" w:cs="Traditional Arabic"/>
          <w:sz w:val="28"/>
          <w:szCs w:val="28"/>
          <w:rtl/>
          <w:lang w:bidi="fa-IR"/>
        </w:rPr>
        <w:footnoteReference w:id="16"/>
      </w:r>
      <w:r w:rsidRPr="00986D0B">
        <w:rPr>
          <w:rFonts w:ascii="Traditional Arabic" w:hAnsi="Traditional Arabic" w:cs="Traditional Arabic" w:hint="cs"/>
          <w:sz w:val="28"/>
          <w:szCs w:val="28"/>
          <w:rtl/>
          <w:lang w:bidi="fa-IR"/>
        </w:rPr>
        <w:t xml:space="preserve"> لَيْسَ لَهَا مَعَهُمْ‏</w:t>
      </w:r>
      <w:r w:rsidRPr="00986D0B">
        <w:rPr>
          <w:rStyle w:val="FootnoteReference"/>
          <w:rFonts w:ascii="Traditional Arabic" w:eastAsia="2  Lotus" w:hAnsi="Traditional Arabic" w:cs="Traditional Arabic"/>
          <w:sz w:val="28"/>
          <w:szCs w:val="28"/>
          <w:rtl/>
          <w:lang w:bidi="fa-IR"/>
        </w:rPr>
        <w:footnoteReference w:id="17"/>
      </w:r>
      <w:r w:rsidRPr="00986D0B">
        <w:rPr>
          <w:rFonts w:ascii="Traditional Arabic" w:hAnsi="Traditional Arabic" w:cs="Traditional Arabic" w:hint="cs"/>
          <w:sz w:val="28"/>
          <w:szCs w:val="28"/>
          <w:rtl/>
          <w:lang w:bidi="fa-IR"/>
        </w:rPr>
        <w:t xml:space="preserve"> ذُو مَحْرَمٍ، وَ لَامَعَهُمُ امْرَأَةٌ، فَتَمُوتُ الْمَرْأَةُ مَا يُصْنَعُ بِهَا؟</w:t>
      </w:r>
      <w:r w:rsidR="00986D0B">
        <w:rPr>
          <w:rFonts w:ascii="Traditional Arabic" w:hAnsi="Traditional Arabic" w:cs="Traditional Arabic" w:hint="cs"/>
          <w:sz w:val="28"/>
          <w:szCs w:val="28"/>
          <w:rtl/>
          <w:lang w:bidi="fa-IR"/>
        </w:rPr>
        <w:t xml:space="preserve"> </w:t>
      </w:r>
      <w:r w:rsidRPr="00986D0B">
        <w:rPr>
          <w:rFonts w:ascii="Traditional Arabic" w:hAnsi="Traditional Arabic" w:cs="Traditional Arabic" w:hint="cs"/>
          <w:sz w:val="28"/>
          <w:szCs w:val="28"/>
          <w:rtl/>
          <w:lang w:bidi="fa-IR"/>
        </w:rPr>
        <w:t>قَالَ‏</w:t>
      </w:r>
      <w:r w:rsidRPr="00986D0B">
        <w:rPr>
          <w:rStyle w:val="FootnoteReference"/>
          <w:rFonts w:ascii="Traditional Arabic" w:eastAsia="2  Lotus" w:hAnsi="Traditional Arabic" w:cs="Traditional Arabic"/>
          <w:sz w:val="28"/>
          <w:szCs w:val="28"/>
          <w:rtl/>
          <w:lang w:bidi="fa-IR"/>
        </w:rPr>
        <w:footnoteReference w:id="18"/>
      </w:r>
      <w:r w:rsidRPr="00986D0B">
        <w:rPr>
          <w:rFonts w:ascii="Traditional Arabic" w:hAnsi="Traditional Arabic" w:cs="Traditional Arabic" w:hint="cs"/>
          <w:sz w:val="28"/>
          <w:szCs w:val="28"/>
          <w:rtl/>
          <w:lang w:bidi="fa-IR"/>
        </w:rPr>
        <w:t>: «يُغْسَلُ مِنْهَا مَا أَوْجَبَ اللَّهُ عَلَيْهِ‏</w:t>
      </w:r>
      <w:r w:rsidRPr="00986D0B">
        <w:rPr>
          <w:rStyle w:val="FootnoteReference"/>
          <w:rFonts w:ascii="Traditional Arabic" w:eastAsia="2  Lotus" w:hAnsi="Traditional Arabic" w:cs="Traditional Arabic"/>
          <w:sz w:val="28"/>
          <w:szCs w:val="28"/>
          <w:rtl/>
          <w:lang w:bidi="fa-IR"/>
        </w:rPr>
        <w:footnoteReference w:id="19"/>
      </w:r>
      <w:r w:rsidRPr="00986D0B">
        <w:rPr>
          <w:rFonts w:ascii="Traditional Arabic" w:hAnsi="Traditional Arabic" w:cs="Traditional Arabic" w:hint="cs"/>
          <w:sz w:val="28"/>
          <w:szCs w:val="28"/>
          <w:rtl/>
          <w:lang w:bidi="fa-IR"/>
        </w:rPr>
        <w:t xml:space="preserve"> التَّيَمُّمَ، وَ لَاتُمَسُ‏</w:t>
      </w:r>
      <w:r w:rsidRPr="00986D0B">
        <w:rPr>
          <w:rStyle w:val="FootnoteReference"/>
          <w:rFonts w:ascii="Traditional Arabic" w:eastAsia="2  Lotus" w:hAnsi="Traditional Arabic" w:cs="Traditional Arabic"/>
          <w:sz w:val="28"/>
          <w:szCs w:val="28"/>
          <w:rtl/>
          <w:lang w:bidi="fa-IR"/>
        </w:rPr>
        <w:footnoteReference w:id="20"/>
      </w:r>
      <w:r w:rsidRPr="00986D0B">
        <w:rPr>
          <w:rFonts w:ascii="Traditional Arabic" w:hAnsi="Traditional Arabic" w:cs="Traditional Arabic" w:hint="cs"/>
          <w:sz w:val="28"/>
          <w:szCs w:val="28"/>
          <w:rtl/>
          <w:lang w:bidi="fa-IR"/>
        </w:rPr>
        <w:t>، وَ لَايُكْشَفُ‏</w:t>
      </w:r>
      <w:r w:rsidRPr="00986D0B">
        <w:rPr>
          <w:rStyle w:val="FootnoteReference"/>
          <w:rFonts w:ascii="Traditional Arabic" w:eastAsia="2  Lotus" w:hAnsi="Traditional Arabic" w:cs="Traditional Arabic"/>
          <w:sz w:val="28"/>
          <w:szCs w:val="28"/>
          <w:rtl/>
          <w:lang w:bidi="fa-IR"/>
        </w:rPr>
        <w:footnoteReference w:id="21"/>
      </w:r>
      <w:r w:rsidRPr="00986D0B">
        <w:rPr>
          <w:rFonts w:ascii="Traditional Arabic" w:hAnsi="Traditional Arabic" w:cs="Traditional Arabic" w:hint="cs"/>
          <w:sz w:val="28"/>
          <w:szCs w:val="28"/>
          <w:rtl/>
          <w:lang w:bidi="fa-IR"/>
        </w:rPr>
        <w:t xml:space="preserve"> شَيْ‏ءٌ مِنْ مَحَاسِنِهَا الَّتِي‏</w:t>
      </w:r>
      <w:r w:rsidRPr="00986D0B">
        <w:rPr>
          <w:rStyle w:val="FootnoteReference"/>
          <w:rFonts w:ascii="Traditional Arabic" w:eastAsia="2  Lotus" w:hAnsi="Traditional Arabic" w:cs="Traditional Arabic"/>
          <w:sz w:val="28"/>
          <w:szCs w:val="28"/>
          <w:rtl/>
          <w:lang w:bidi="fa-IR"/>
        </w:rPr>
        <w:footnoteReference w:id="22"/>
      </w:r>
      <w:r w:rsidRPr="00986D0B">
        <w:rPr>
          <w:rFonts w:ascii="Traditional Arabic" w:hAnsi="Traditional Arabic" w:cs="Traditional Arabic" w:hint="cs"/>
          <w:sz w:val="28"/>
          <w:szCs w:val="28"/>
          <w:rtl/>
          <w:lang w:bidi="fa-IR"/>
        </w:rPr>
        <w:t xml:space="preserve"> أَمَرَ اللَّهُ- عَزَّ وَ جَلَّ- بِسَتْرِهَا</w:t>
      </w:r>
      <w:r w:rsidRPr="00986D0B">
        <w:rPr>
          <w:rStyle w:val="FootnoteReference"/>
          <w:rFonts w:ascii="Traditional Arabic" w:eastAsia="2  Lotus" w:hAnsi="Traditional Arabic" w:cs="Traditional Arabic"/>
          <w:sz w:val="28"/>
          <w:szCs w:val="28"/>
          <w:rtl/>
          <w:lang w:bidi="fa-IR"/>
        </w:rPr>
        <w:footnoteReference w:id="23"/>
      </w:r>
      <w:r w:rsidRPr="00986D0B">
        <w:rPr>
          <w:rFonts w:ascii="Traditional Arabic" w:hAnsi="Traditional Arabic" w:cs="Traditional Arabic" w:hint="cs"/>
          <w:sz w:val="28"/>
          <w:szCs w:val="28"/>
          <w:rtl/>
          <w:lang w:bidi="fa-IR"/>
        </w:rPr>
        <w:t>».</w:t>
      </w:r>
      <w:r w:rsidR="00EB1F1D" w:rsidRPr="00986D0B">
        <w:rPr>
          <w:rFonts w:ascii="Traditional Arabic" w:hAnsi="Traditional Arabic" w:cs="Traditional Arabic" w:hint="cs"/>
          <w:sz w:val="28"/>
          <w:szCs w:val="28"/>
          <w:rtl/>
          <w:lang w:bidi="fa-IR"/>
        </w:rPr>
        <w:t xml:space="preserve"> </w:t>
      </w:r>
      <w:r w:rsidRPr="00986D0B">
        <w:rPr>
          <w:rFonts w:ascii="Traditional Arabic" w:hAnsi="Traditional Arabic" w:cs="Traditional Arabic" w:hint="cs"/>
          <w:sz w:val="28"/>
          <w:szCs w:val="28"/>
          <w:rtl/>
          <w:lang w:bidi="fa-IR"/>
        </w:rPr>
        <w:t>قُلْتُ‏</w:t>
      </w:r>
      <w:r w:rsidRPr="00986D0B">
        <w:rPr>
          <w:rStyle w:val="FootnoteReference"/>
          <w:rFonts w:ascii="Traditional Arabic" w:eastAsia="2  Lotus" w:hAnsi="Traditional Arabic" w:cs="Traditional Arabic"/>
          <w:sz w:val="28"/>
          <w:szCs w:val="28"/>
          <w:rtl/>
          <w:lang w:bidi="fa-IR"/>
        </w:rPr>
        <w:footnoteReference w:id="24"/>
      </w:r>
      <w:r w:rsidRPr="00986D0B">
        <w:rPr>
          <w:rFonts w:ascii="Traditional Arabic" w:hAnsi="Traditional Arabic" w:cs="Traditional Arabic" w:hint="cs"/>
          <w:sz w:val="28"/>
          <w:szCs w:val="28"/>
          <w:rtl/>
          <w:lang w:bidi="fa-IR"/>
        </w:rPr>
        <w:t>: كَيْفَ يُصْنَعُ بِهَا؟</w:t>
      </w:r>
      <w:r w:rsidR="00742F2E" w:rsidRPr="00986D0B">
        <w:rPr>
          <w:rFonts w:ascii="Traditional Arabic" w:hAnsi="Traditional Arabic" w:cs="Traditional Arabic" w:hint="cs"/>
          <w:sz w:val="28"/>
          <w:szCs w:val="28"/>
          <w:rtl/>
          <w:lang w:bidi="fa-IR"/>
        </w:rPr>
        <w:t xml:space="preserve"> </w:t>
      </w:r>
      <w:r w:rsidRPr="00986D0B">
        <w:rPr>
          <w:rFonts w:ascii="Traditional Arabic" w:hAnsi="Traditional Arabic" w:cs="Traditional Arabic" w:hint="cs"/>
          <w:sz w:val="28"/>
          <w:szCs w:val="28"/>
          <w:rtl/>
          <w:lang w:bidi="fa-IR"/>
        </w:rPr>
        <w:t>قَالَ: «يُغْسَلُ‏</w:t>
      </w:r>
      <w:r w:rsidRPr="00986D0B">
        <w:rPr>
          <w:rStyle w:val="FootnoteReference"/>
          <w:rFonts w:ascii="Traditional Arabic" w:eastAsia="2  Lotus" w:hAnsi="Traditional Arabic" w:cs="Traditional Arabic"/>
          <w:sz w:val="28"/>
          <w:szCs w:val="28"/>
          <w:rtl/>
          <w:lang w:bidi="fa-IR"/>
        </w:rPr>
        <w:footnoteReference w:id="25"/>
      </w:r>
      <w:r w:rsidRPr="00986D0B">
        <w:rPr>
          <w:rFonts w:ascii="Traditional Arabic" w:hAnsi="Traditional Arabic" w:cs="Traditional Arabic" w:hint="cs"/>
          <w:sz w:val="28"/>
          <w:szCs w:val="28"/>
          <w:rtl/>
          <w:lang w:bidi="fa-IR"/>
        </w:rPr>
        <w:t xml:space="preserve"> بَطْنُ‏</w:t>
      </w:r>
      <w:r w:rsidRPr="00986D0B">
        <w:rPr>
          <w:rStyle w:val="FootnoteReference"/>
          <w:rFonts w:ascii="Traditional Arabic" w:eastAsia="2  Lotus" w:hAnsi="Traditional Arabic" w:cs="Traditional Arabic"/>
          <w:sz w:val="28"/>
          <w:szCs w:val="28"/>
          <w:rtl/>
          <w:lang w:bidi="fa-IR"/>
        </w:rPr>
        <w:footnoteReference w:id="26"/>
      </w:r>
      <w:r w:rsidRPr="00986D0B">
        <w:rPr>
          <w:rFonts w:ascii="Traditional Arabic" w:hAnsi="Traditional Arabic" w:cs="Traditional Arabic" w:hint="cs"/>
          <w:sz w:val="28"/>
          <w:szCs w:val="28"/>
          <w:rtl/>
          <w:lang w:bidi="fa-IR"/>
        </w:rPr>
        <w:t xml:space="preserve"> كَفَّيْهَا وَ وَجْهُهَا</w:t>
      </w:r>
      <w:r w:rsidRPr="00986D0B">
        <w:rPr>
          <w:rStyle w:val="FootnoteReference"/>
          <w:rFonts w:ascii="Traditional Arabic" w:eastAsia="2  Lotus" w:hAnsi="Traditional Arabic" w:cs="Traditional Arabic"/>
          <w:sz w:val="28"/>
          <w:szCs w:val="28"/>
          <w:rtl/>
          <w:lang w:bidi="fa-IR"/>
        </w:rPr>
        <w:footnoteReference w:id="27"/>
      </w:r>
      <w:r w:rsidRPr="00986D0B">
        <w:rPr>
          <w:rFonts w:ascii="Traditional Arabic" w:hAnsi="Traditional Arabic" w:cs="Traditional Arabic" w:hint="cs"/>
          <w:sz w:val="28"/>
          <w:szCs w:val="28"/>
          <w:rtl/>
          <w:lang w:bidi="fa-IR"/>
        </w:rPr>
        <w:t>، وَ يُغْسَلُ‏</w:t>
      </w:r>
      <w:r w:rsidRPr="00986D0B">
        <w:rPr>
          <w:rStyle w:val="FootnoteReference"/>
          <w:rFonts w:ascii="Traditional Arabic" w:eastAsia="2  Lotus" w:hAnsi="Traditional Arabic" w:cs="Traditional Arabic"/>
          <w:sz w:val="28"/>
          <w:szCs w:val="28"/>
          <w:rtl/>
          <w:lang w:bidi="fa-IR"/>
        </w:rPr>
        <w:footnoteReference w:id="28"/>
      </w:r>
      <w:r w:rsidRPr="00986D0B">
        <w:rPr>
          <w:rFonts w:ascii="Traditional Arabic" w:hAnsi="Traditional Arabic" w:cs="Traditional Arabic" w:hint="cs"/>
          <w:sz w:val="28"/>
          <w:szCs w:val="28"/>
          <w:rtl/>
          <w:lang w:bidi="fa-IR"/>
        </w:rPr>
        <w:t xml:space="preserve"> ظَهْرُ كَفَّيْهَا».</w:t>
      </w:r>
      <w:r w:rsidR="00EB1F1D" w:rsidRPr="00986D0B">
        <w:rPr>
          <w:rFonts w:ascii="Traditional Arabic" w:hAnsi="Traditional Arabic" w:cs="Traditional Arabic" w:hint="cs"/>
          <w:sz w:val="28"/>
          <w:szCs w:val="28"/>
          <w:rtl/>
          <w:lang w:bidi="fa-IR"/>
        </w:rPr>
        <w:t xml:space="preserve"> </w:t>
      </w:r>
      <w:r w:rsidRPr="00986D0B">
        <w:rPr>
          <w:rStyle w:val="FootnoteReference"/>
          <w:rFonts w:ascii="Traditional Arabic" w:eastAsia="2  Lotus" w:hAnsi="Traditional Arabic" w:cs="Traditional Arabic"/>
          <w:sz w:val="28"/>
          <w:szCs w:val="28"/>
          <w:rtl/>
          <w:lang w:bidi="fa-IR"/>
        </w:rPr>
        <w:footnoteReference w:id="29"/>
      </w:r>
    </w:p>
    <w:p w:rsidR="00C26DCB" w:rsidRPr="00986D0B" w:rsidRDefault="00742F2E" w:rsidP="00986D0B">
      <w:pPr>
        <w:rPr>
          <w:rtl/>
        </w:rPr>
      </w:pPr>
      <w:r w:rsidRPr="00986D0B">
        <w:rPr>
          <w:rFonts w:hint="cs"/>
          <w:rtl/>
        </w:rPr>
        <w:lastRenderedPageBreak/>
        <w:t>معصوم را جز معصوم غسل ن</w:t>
      </w:r>
      <w:r w:rsidR="00504ABC" w:rsidRPr="00986D0B">
        <w:rPr>
          <w:rFonts w:hint="cs"/>
          <w:rtl/>
        </w:rPr>
        <w:t>می‌دهد</w:t>
      </w:r>
      <w:r w:rsidRPr="00986D0B">
        <w:rPr>
          <w:rFonts w:hint="cs"/>
          <w:rtl/>
        </w:rPr>
        <w:t xml:space="preserve">. این </w:t>
      </w:r>
      <w:r w:rsidR="00504ABC" w:rsidRPr="00986D0B">
        <w:rPr>
          <w:rFonts w:hint="cs"/>
          <w:rtl/>
        </w:rPr>
        <w:t>قاعده‌ای</w:t>
      </w:r>
      <w:r w:rsidR="00EB1F1D" w:rsidRPr="00986D0B">
        <w:rPr>
          <w:rFonts w:hint="cs"/>
          <w:rtl/>
        </w:rPr>
        <w:t xml:space="preserve"> است. </w:t>
      </w:r>
    </w:p>
    <w:p w:rsidR="00C26DCB" w:rsidRPr="00986D0B" w:rsidRDefault="00EB1F1D" w:rsidP="00986D0B">
      <w:pPr>
        <w:rPr>
          <w:rtl/>
        </w:rPr>
      </w:pPr>
      <w:r w:rsidRPr="00986D0B">
        <w:rPr>
          <w:rFonts w:hint="cs"/>
          <w:rtl/>
        </w:rPr>
        <w:t xml:space="preserve">ستر در روایت ستر ملازم با عدم جواز نظر </w:t>
      </w:r>
      <w:r w:rsidR="00504ABC" w:rsidRPr="00986D0B">
        <w:rPr>
          <w:rFonts w:hint="cs"/>
          <w:rtl/>
        </w:rPr>
        <w:t>می‌گوید</w:t>
      </w:r>
      <w:r w:rsidRPr="00986D0B">
        <w:rPr>
          <w:rFonts w:hint="cs"/>
          <w:rtl/>
        </w:rPr>
        <w:t xml:space="preserve">. این ملازمه بین چیزی که مستور باشد و عدم نگاه به آن را تقویت </w:t>
      </w:r>
      <w:r w:rsidR="00504ABC" w:rsidRPr="00986D0B">
        <w:rPr>
          <w:rFonts w:hint="cs"/>
          <w:rtl/>
        </w:rPr>
        <w:t>می‌کند</w:t>
      </w:r>
      <w:r w:rsidRPr="00986D0B">
        <w:rPr>
          <w:rFonts w:hint="cs"/>
          <w:rtl/>
        </w:rPr>
        <w:t xml:space="preserve">. ملازمه را ما بحث کردیم و با قرائنی گفتیم قبول داریم. شواهد روایی هم ملازمه دارد. غیر آیه یکی این است. در بعضی </w:t>
      </w:r>
      <w:r w:rsidR="00504ABC" w:rsidRPr="00986D0B">
        <w:rPr>
          <w:rFonts w:hint="cs"/>
          <w:rtl/>
        </w:rPr>
        <w:t>نسخه‌ها</w:t>
      </w:r>
      <w:r w:rsidRPr="00986D0B">
        <w:rPr>
          <w:rFonts w:hint="cs"/>
          <w:rtl/>
        </w:rPr>
        <w:t xml:space="preserve"> به جای واو در آخر ثم دارد که ترتیب تیمم را </w:t>
      </w:r>
      <w:r w:rsidR="00504ABC" w:rsidRPr="00986D0B">
        <w:rPr>
          <w:rFonts w:hint="cs"/>
          <w:rtl/>
        </w:rPr>
        <w:t>می‌گوید</w:t>
      </w:r>
      <w:r w:rsidRPr="00986D0B">
        <w:rPr>
          <w:rFonts w:hint="cs"/>
          <w:rtl/>
        </w:rPr>
        <w:t>.</w:t>
      </w:r>
    </w:p>
    <w:p w:rsidR="00EB1F1D" w:rsidRPr="00986D0B" w:rsidRDefault="00EB1F1D" w:rsidP="00986D0B">
      <w:pPr>
        <w:rPr>
          <w:rtl/>
        </w:rPr>
      </w:pPr>
      <w:r w:rsidRPr="00986D0B">
        <w:rPr>
          <w:rFonts w:hint="cs"/>
          <w:rtl/>
        </w:rPr>
        <w:t xml:space="preserve">تقریب استدلال این است که حضرت </w:t>
      </w:r>
      <w:r w:rsidR="00504ABC" w:rsidRPr="00986D0B">
        <w:rPr>
          <w:rFonts w:hint="cs"/>
          <w:rtl/>
        </w:rPr>
        <w:t>می‌گوید</w:t>
      </w:r>
      <w:r w:rsidRPr="00986D0B">
        <w:rPr>
          <w:rFonts w:hint="cs"/>
          <w:rtl/>
        </w:rPr>
        <w:t xml:space="preserve"> ما اوجب الله علیه التیمم را </w:t>
      </w:r>
      <w:r w:rsidR="00504ABC" w:rsidRPr="00986D0B">
        <w:rPr>
          <w:rFonts w:hint="cs"/>
          <w:rtl/>
        </w:rPr>
        <w:t>می‌شویند</w:t>
      </w:r>
      <w:r w:rsidRPr="00986D0B">
        <w:rPr>
          <w:rFonts w:hint="cs"/>
          <w:rtl/>
        </w:rPr>
        <w:t xml:space="preserve"> و لاتمس و لایکشف شیء من محاسنها التی امر الله بسترها. معلوم </w:t>
      </w:r>
      <w:r w:rsidR="00504ABC" w:rsidRPr="00986D0B">
        <w:rPr>
          <w:rFonts w:hint="cs"/>
          <w:rtl/>
        </w:rPr>
        <w:t>می‌شود</w:t>
      </w:r>
      <w:r w:rsidRPr="00986D0B">
        <w:rPr>
          <w:rFonts w:hint="cs"/>
          <w:rtl/>
        </w:rPr>
        <w:t xml:space="preserve"> که وجه و کفین امر الله بستره نیست. این ارتکاز نیست بلکه در جواب حضرت امام صادق </w:t>
      </w:r>
      <w:r w:rsidR="00667873">
        <w:rPr>
          <w:rtl/>
        </w:rPr>
        <w:t>عل</w:t>
      </w:r>
      <w:r w:rsidR="00667873">
        <w:rPr>
          <w:rFonts w:hint="cs"/>
          <w:rtl/>
        </w:rPr>
        <w:t>ی</w:t>
      </w:r>
      <w:r w:rsidR="00667873">
        <w:rPr>
          <w:rFonts w:hint="eastAsia"/>
          <w:rtl/>
        </w:rPr>
        <w:t>ه‌السلام</w:t>
      </w:r>
      <w:r w:rsidRPr="00986D0B">
        <w:rPr>
          <w:rFonts w:hint="cs"/>
          <w:rtl/>
        </w:rPr>
        <w:t xml:space="preserve"> است. این </w:t>
      </w:r>
      <w:r w:rsidR="00504ABC" w:rsidRPr="00986D0B">
        <w:rPr>
          <w:rFonts w:hint="cs"/>
          <w:rtl/>
        </w:rPr>
        <w:t>ظاهراً</w:t>
      </w:r>
      <w:r w:rsidRPr="00986D0B">
        <w:rPr>
          <w:rFonts w:hint="cs"/>
          <w:rtl/>
        </w:rPr>
        <w:t xml:space="preserve"> در مستند مرحوم نراقی هست هرچند مرحوم </w:t>
      </w:r>
      <w:r w:rsidR="00504ABC" w:rsidRPr="00986D0B">
        <w:rPr>
          <w:rFonts w:hint="cs"/>
          <w:rtl/>
        </w:rPr>
        <w:t>خویی</w:t>
      </w:r>
      <w:r w:rsidRPr="00986D0B">
        <w:rPr>
          <w:rFonts w:hint="cs"/>
          <w:rtl/>
        </w:rPr>
        <w:t xml:space="preserve"> </w:t>
      </w:r>
      <w:r w:rsidR="00504ABC" w:rsidRPr="00986D0B">
        <w:rPr>
          <w:rFonts w:hint="cs"/>
          <w:rtl/>
        </w:rPr>
        <w:t>این‌ها</w:t>
      </w:r>
      <w:r w:rsidRPr="00986D0B">
        <w:rPr>
          <w:rFonts w:hint="cs"/>
          <w:rtl/>
        </w:rPr>
        <w:t xml:space="preserve"> را در کتاب نکاحشان نقل نکرده است. </w:t>
      </w:r>
    </w:p>
    <w:sectPr w:rsidR="00EB1F1D" w:rsidRPr="00986D0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A1" w:rsidRDefault="00F34FA1" w:rsidP="004D5B1F">
      <w:r>
        <w:separator/>
      </w:r>
    </w:p>
  </w:endnote>
  <w:endnote w:type="continuationSeparator" w:id="0">
    <w:p w:rsidR="00F34FA1" w:rsidRDefault="00F34FA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BC" w:rsidRDefault="00504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F4B44" w:rsidRDefault="003F4B44" w:rsidP="004D5B1F">
        <w:pPr>
          <w:pStyle w:val="Footer"/>
        </w:pPr>
        <w:r>
          <w:fldChar w:fldCharType="begin"/>
        </w:r>
        <w:r>
          <w:instrText xml:space="preserve"> PAGE   \* MERGEFORMAT </w:instrText>
        </w:r>
        <w:r>
          <w:fldChar w:fldCharType="separate"/>
        </w:r>
        <w:r w:rsidR="00CF4F19">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BC" w:rsidRDefault="00504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A1" w:rsidRDefault="00F34FA1" w:rsidP="004D5B1F">
      <w:r>
        <w:separator/>
      </w:r>
    </w:p>
  </w:footnote>
  <w:footnote w:type="continuationSeparator" w:id="0">
    <w:p w:rsidR="00F34FA1" w:rsidRDefault="00F34FA1" w:rsidP="004D5B1F">
      <w:r>
        <w:continuationSeparator/>
      </w:r>
    </w:p>
  </w:footnote>
  <w:footnote w:id="1">
    <w:p w:rsidR="00216F27" w:rsidRPr="00986D0B" w:rsidRDefault="00216F27" w:rsidP="00986D0B">
      <w:pPr>
        <w:pStyle w:val="FootnoteText"/>
        <w:ind w:firstLine="4"/>
        <w:rPr>
          <w:rFonts w:hint="cs"/>
          <w:b/>
          <w:bCs/>
          <w:rtl/>
        </w:rPr>
      </w:pPr>
      <w:r w:rsidRPr="00986D0B">
        <w:rPr>
          <w:rStyle w:val="FootnoteReference"/>
          <w:rFonts w:eastAsia="2  Lotus"/>
          <w:b/>
          <w:bCs/>
        </w:rPr>
        <w:footnoteRef/>
      </w:r>
      <w:r w:rsidR="00986D0B" w:rsidRPr="00986D0B">
        <w:rPr>
          <w:rFonts w:hint="cs"/>
          <w:b/>
          <w:bCs/>
          <w:rtl/>
        </w:rPr>
        <w:t>.</w:t>
      </w:r>
      <w:r w:rsidR="00986D0B" w:rsidRPr="00986D0B">
        <w:rPr>
          <w:b/>
          <w:bCs/>
          <w:rtl/>
        </w:rPr>
        <w:t xml:space="preserve"> وسائل الشيعة، ج‏20، ص 233</w:t>
      </w:r>
      <w:r w:rsidR="00986D0B" w:rsidRPr="00986D0B">
        <w:rPr>
          <w:rFonts w:hint="cs"/>
          <w:b/>
          <w:bCs/>
          <w:rtl/>
        </w:rPr>
        <w:t>.</w:t>
      </w:r>
    </w:p>
  </w:footnote>
  <w:footnote w:id="2">
    <w:p w:rsidR="00667873" w:rsidRDefault="00667873">
      <w:pPr>
        <w:pStyle w:val="FootnoteText"/>
      </w:pPr>
      <w:r>
        <w:rPr>
          <w:rStyle w:val="FootnoteReference"/>
        </w:rPr>
        <w:footnoteRef/>
      </w:r>
      <w:r>
        <w:rPr>
          <w:rFonts w:hint="cs"/>
          <w:rtl/>
        </w:rPr>
        <w:t>. سوره نحل (</w:t>
      </w:r>
      <w:r>
        <w:t>16</w:t>
      </w:r>
      <w:r>
        <w:rPr>
          <w:rFonts w:hint="cs"/>
          <w:rtl/>
        </w:rPr>
        <w:t xml:space="preserve">)، آیه </w:t>
      </w:r>
      <w:r>
        <w:t>43.</w:t>
      </w:r>
    </w:p>
  </w:footnote>
  <w:footnote w:id="3">
    <w:p w:rsidR="00667873" w:rsidRDefault="00667873">
      <w:pPr>
        <w:pStyle w:val="FootnoteText"/>
        <w:rPr>
          <w:rFonts w:hint="cs"/>
          <w:rtl/>
        </w:rPr>
      </w:pPr>
      <w:r>
        <w:rPr>
          <w:rStyle w:val="FootnoteReference"/>
        </w:rPr>
        <w:footnoteRef/>
      </w:r>
      <w:r>
        <w:rPr>
          <w:rFonts w:hint="cs"/>
          <w:rtl/>
        </w:rPr>
        <w:t>. سوره ص (38)، آیه 39.</w:t>
      </w:r>
    </w:p>
  </w:footnote>
  <w:footnote w:id="4">
    <w:p w:rsidR="00C26DCB" w:rsidRPr="00986D0B" w:rsidRDefault="00C26DCB" w:rsidP="00986D0B">
      <w:pPr>
        <w:pStyle w:val="FootnoteText"/>
        <w:ind w:firstLine="4"/>
        <w:rPr>
          <w:b/>
          <w:bCs/>
          <w:rtl/>
          <w:lang w:bidi="ar-SA"/>
        </w:rPr>
      </w:pPr>
      <w:r w:rsidRPr="00986D0B">
        <w:rPr>
          <w:rStyle w:val="FootnoteReference"/>
          <w:rFonts w:eastAsia="2  Lotus"/>
          <w:b/>
          <w:bCs/>
        </w:rPr>
        <w:footnoteRef/>
      </w:r>
      <w:r w:rsidRPr="00986D0B">
        <w:rPr>
          <w:rFonts w:hint="cs"/>
          <w:b/>
          <w:bCs/>
          <w:rtl/>
        </w:rPr>
        <w:t>. في الوافي:+</w:t>
      </w:r>
      <w:r w:rsidR="00986D0B" w:rsidRPr="00986D0B">
        <w:rPr>
          <w:b/>
          <w:bCs/>
          <w:rtl/>
        </w:rPr>
        <w:t>«</w:t>
      </w:r>
      <w:r w:rsidRPr="00986D0B">
        <w:rPr>
          <w:rFonts w:hint="cs"/>
          <w:b/>
          <w:bCs/>
          <w:rtl/>
        </w:rPr>
        <w:t>جعلت فداك».</w:t>
      </w:r>
    </w:p>
  </w:footnote>
  <w:footnote w:id="5">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بخ، بف، جن»:</w:t>
      </w:r>
      <w:r w:rsidR="00986D0B" w:rsidRPr="00986D0B">
        <w:rPr>
          <w:b/>
          <w:bCs/>
          <w:rtl/>
        </w:rPr>
        <w:t xml:space="preserve"> «</w:t>
      </w:r>
      <w:r w:rsidRPr="00986D0B">
        <w:rPr>
          <w:rFonts w:hint="cs"/>
          <w:b/>
          <w:bCs/>
          <w:rtl/>
        </w:rPr>
        <w:t>ذلك».</w:t>
      </w:r>
    </w:p>
  </w:footnote>
  <w:footnote w:id="6">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هكذا </w:t>
      </w:r>
      <w:r w:rsidR="00986D0B" w:rsidRPr="00986D0B">
        <w:rPr>
          <w:b/>
          <w:bCs/>
          <w:rtl/>
        </w:rPr>
        <w:t>في «</w:t>
      </w:r>
      <w:r w:rsidRPr="00986D0B">
        <w:rPr>
          <w:rFonts w:hint="cs"/>
          <w:b/>
          <w:bCs/>
          <w:rtl/>
        </w:rPr>
        <w:t>ظ، غ، ى، بث، بس، جح» و البحار</w:t>
      </w:r>
      <w:r w:rsidR="00986D0B" w:rsidRPr="00986D0B">
        <w:rPr>
          <w:b/>
          <w:bCs/>
          <w:rtl/>
        </w:rPr>
        <w:t>؛ و</w:t>
      </w:r>
      <w:r w:rsidRPr="00986D0B">
        <w:rPr>
          <w:rFonts w:hint="cs"/>
          <w:b/>
          <w:bCs/>
          <w:rtl/>
        </w:rPr>
        <w:t xml:space="preserve"> </w:t>
      </w:r>
      <w:r w:rsidR="00986D0B" w:rsidRPr="00986D0B">
        <w:rPr>
          <w:b/>
          <w:bCs/>
          <w:rtl/>
        </w:rPr>
        <w:t>في «</w:t>
      </w:r>
      <w:r w:rsidRPr="00986D0B">
        <w:rPr>
          <w:rFonts w:hint="cs"/>
          <w:b/>
          <w:bCs/>
          <w:rtl/>
        </w:rPr>
        <w:t xml:space="preserve">بخ، بف» و </w:t>
      </w:r>
      <w:r w:rsidR="00986D0B" w:rsidRPr="00986D0B">
        <w:rPr>
          <w:b/>
          <w:bCs/>
          <w:rtl/>
        </w:rPr>
        <w:t>حاشية «</w:t>
      </w:r>
      <w:r w:rsidRPr="00986D0B">
        <w:rPr>
          <w:rFonts w:hint="cs"/>
          <w:b/>
          <w:bCs/>
          <w:rtl/>
        </w:rPr>
        <w:t>غ» و الوسائل، ح 2825:</w:t>
      </w:r>
      <w:r w:rsidR="00986D0B" w:rsidRPr="00986D0B">
        <w:rPr>
          <w:b/>
          <w:bCs/>
          <w:rtl/>
        </w:rPr>
        <w:t xml:space="preserve"> «</w:t>
      </w:r>
      <w:r w:rsidRPr="00986D0B">
        <w:rPr>
          <w:rFonts w:hint="cs"/>
          <w:b/>
          <w:bCs/>
          <w:rtl/>
        </w:rPr>
        <w:t>فكأنّما»</w:t>
      </w:r>
      <w:r w:rsidR="00986D0B" w:rsidRPr="00986D0B">
        <w:rPr>
          <w:b/>
          <w:bCs/>
          <w:rtl/>
        </w:rPr>
        <w:t>؛ و</w:t>
      </w:r>
      <w:r w:rsidRPr="00986D0B">
        <w:rPr>
          <w:rFonts w:hint="cs"/>
          <w:b/>
          <w:bCs/>
          <w:rtl/>
        </w:rPr>
        <w:t xml:space="preserve"> في سائر النسخ و المطبوع:</w:t>
      </w:r>
      <w:r w:rsidR="00986D0B" w:rsidRPr="00986D0B">
        <w:rPr>
          <w:b/>
          <w:bCs/>
          <w:rtl/>
        </w:rPr>
        <w:t xml:space="preserve"> «</w:t>
      </w:r>
      <w:r w:rsidRPr="00986D0B">
        <w:rPr>
          <w:rFonts w:hint="cs"/>
          <w:b/>
          <w:bCs/>
          <w:rtl/>
        </w:rPr>
        <w:t>كأنّك»</w:t>
      </w:r>
      <w:r w:rsidR="00986D0B" w:rsidRPr="00986D0B">
        <w:rPr>
          <w:b/>
          <w:bCs/>
          <w:rtl/>
        </w:rPr>
        <w:t>؛ و</w:t>
      </w:r>
      <w:r w:rsidRPr="00986D0B">
        <w:rPr>
          <w:rFonts w:hint="cs"/>
          <w:b/>
          <w:bCs/>
          <w:rtl/>
        </w:rPr>
        <w:t xml:space="preserve"> في الوافي و التهذيب، ص 440 و الاستبصار، ص 199 و العلل:</w:t>
      </w:r>
      <w:r w:rsidR="00986D0B" w:rsidRPr="00986D0B">
        <w:rPr>
          <w:b/>
          <w:bCs/>
          <w:rtl/>
        </w:rPr>
        <w:t xml:space="preserve"> «</w:t>
      </w:r>
      <w:r w:rsidRPr="00986D0B">
        <w:rPr>
          <w:rFonts w:hint="cs"/>
          <w:b/>
          <w:bCs/>
          <w:rtl/>
        </w:rPr>
        <w:t>قال: فكأنّي»</w:t>
      </w:r>
      <w:r w:rsidR="00986D0B" w:rsidRPr="00986D0B">
        <w:rPr>
          <w:b/>
          <w:bCs/>
          <w:rtl/>
        </w:rPr>
        <w:t>؛ و</w:t>
      </w:r>
      <w:r w:rsidRPr="00986D0B">
        <w:rPr>
          <w:rFonts w:hint="cs"/>
          <w:b/>
          <w:bCs/>
          <w:rtl/>
        </w:rPr>
        <w:t xml:space="preserve"> في الكافي، ح 1247:</w:t>
      </w:r>
      <w:r w:rsidR="00986D0B" w:rsidRPr="00986D0B">
        <w:rPr>
          <w:b/>
          <w:bCs/>
          <w:rtl/>
        </w:rPr>
        <w:t xml:space="preserve"> «</w:t>
      </w:r>
      <w:r w:rsidRPr="00986D0B">
        <w:rPr>
          <w:rFonts w:hint="cs"/>
          <w:b/>
          <w:bCs/>
          <w:rtl/>
        </w:rPr>
        <w:t>كأنّي».</w:t>
      </w:r>
    </w:p>
  </w:footnote>
  <w:footnote w:id="7">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 xml:space="preserve">بخ» و </w:t>
      </w:r>
      <w:r w:rsidR="00986D0B" w:rsidRPr="00986D0B">
        <w:rPr>
          <w:b/>
          <w:bCs/>
          <w:rtl/>
        </w:rPr>
        <w:t>حاشية «</w:t>
      </w:r>
      <w:r w:rsidRPr="00986D0B">
        <w:rPr>
          <w:rFonts w:hint="cs"/>
          <w:b/>
          <w:bCs/>
          <w:rtl/>
        </w:rPr>
        <w:t>بث» و الوافي و الكافي، ح 1247، و التهذيب، ص 440 و الاستبصار، ص 199 و العلل:</w:t>
      </w:r>
      <w:r w:rsidR="00986D0B" w:rsidRPr="00986D0B">
        <w:rPr>
          <w:b/>
          <w:bCs/>
          <w:rtl/>
        </w:rPr>
        <w:t xml:space="preserve"> «</w:t>
      </w:r>
      <w:r w:rsidRPr="00986D0B">
        <w:rPr>
          <w:rFonts w:hint="cs"/>
          <w:b/>
          <w:bCs/>
          <w:rtl/>
        </w:rPr>
        <w:t>استعظمت»</w:t>
      </w:r>
      <w:r w:rsidR="00986D0B" w:rsidRPr="00986D0B">
        <w:rPr>
          <w:b/>
          <w:bCs/>
          <w:rtl/>
        </w:rPr>
        <w:t>؛ و «</w:t>
      </w:r>
      <w:r w:rsidRPr="00986D0B">
        <w:rPr>
          <w:rFonts w:hint="cs"/>
          <w:b/>
          <w:bCs/>
          <w:rtl/>
        </w:rPr>
        <w:t>استفظعت»، أي وجده فظيعاً، يقال: أفظعتُ الشي‏ءَ و استفظعته، أي وجدته فظيعاً و هو الشديد الشنيع مُجاوز المقدار. راجع: الصحاح، ج 3، ص 1259</w:t>
      </w:r>
      <w:r w:rsidR="00986D0B" w:rsidRPr="00986D0B">
        <w:rPr>
          <w:b/>
          <w:bCs/>
          <w:rtl/>
        </w:rPr>
        <w:t>(</w:t>
      </w:r>
      <w:r w:rsidRPr="00986D0B">
        <w:rPr>
          <w:rFonts w:hint="cs"/>
          <w:b/>
          <w:bCs/>
          <w:rtl/>
        </w:rPr>
        <w:t>فظع).</w:t>
      </w:r>
    </w:p>
  </w:footnote>
  <w:footnote w:id="8">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جس»:-</w:t>
      </w:r>
      <w:r w:rsidR="00986D0B" w:rsidRPr="00986D0B">
        <w:rPr>
          <w:b/>
          <w:bCs/>
          <w:rtl/>
        </w:rPr>
        <w:t>«</w:t>
      </w:r>
      <w:r w:rsidRPr="00986D0B">
        <w:rPr>
          <w:rFonts w:hint="cs"/>
          <w:b/>
          <w:bCs/>
          <w:rtl/>
        </w:rPr>
        <w:t>لي كأنّك»</w:t>
      </w:r>
      <w:r w:rsidR="00986D0B" w:rsidRPr="00986D0B">
        <w:rPr>
          <w:b/>
          <w:bCs/>
          <w:rtl/>
        </w:rPr>
        <w:t>؛ و</w:t>
      </w:r>
      <w:r w:rsidRPr="00986D0B">
        <w:rPr>
          <w:rFonts w:hint="cs"/>
          <w:b/>
          <w:bCs/>
          <w:rtl/>
        </w:rPr>
        <w:t xml:space="preserve"> في الوافي:</w:t>
      </w:r>
      <w:r w:rsidR="00986D0B" w:rsidRPr="00986D0B">
        <w:rPr>
          <w:b/>
          <w:bCs/>
          <w:rtl/>
        </w:rPr>
        <w:t xml:space="preserve"> «</w:t>
      </w:r>
      <w:r w:rsidRPr="00986D0B">
        <w:rPr>
          <w:rFonts w:hint="cs"/>
          <w:b/>
          <w:bCs/>
          <w:rtl/>
        </w:rPr>
        <w:t xml:space="preserve">قال: فكأنّك» </w:t>
      </w:r>
      <w:r w:rsidR="00986D0B" w:rsidRPr="00986D0B">
        <w:rPr>
          <w:b/>
          <w:bCs/>
          <w:rtl/>
        </w:rPr>
        <w:t>بدل «</w:t>
      </w:r>
      <w:r w:rsidRPr="00986D0B">
        <w:rPr>
          <w:rFonts w:hint="cs"/>
          <w:b/>
          <w:bCs/>
          <w:rtl/>
        </w:rPr>
        <w:t>فقال لي: كأنّك».</w:t>
      </w:r>
    </w:p>
  </w:footnote>
  <w:footnote w:id="9">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بخ، بف»:</w:t>
      </w:r>
      <w:r w:rsidR="00986D0B" w:rsidRPr="00986D0B">
        <w:rPr>
          <w:b/>
          <w:bCs/>
          <w:rtl/>
        </w:rPr>
        <w:t xml:space="preserve"> «</w:t>
      </w:r>
      <w:r w:rsidRPr="00986D0B">
        <w:rPr>
          <w:rFonts w:hint="cs"/>
          <w:b/>
          <w:bCs/>
          <w:rtl/>
        </w:rPr>
        <w:t>بما».</w:t>
      </w:r>
    </w:p>
  </w:footnote>
  <w:footnote w:id="10">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في الوافي:</w:t>
      </w:r>
      <w:r w:rsidR="00986D0B" w:rsidRPr="00986D0B">
        <w:rPr>
          <w:b/>
          <w:bCs/>
          <w:rtl/>
        </w:rPr>
        <w:t xml:space="preserve"> «</w:t>
      </w:r>
      <w:r w:rsidRPr="00986D0B">
        <w:rPr>
          <w:rFonts w:hint="cs"/>
          <w:b/>
          <w:bCs/>
          <w:rtl/>
        </w:rPr>
        <w:t xml:space="preserve">قلت: فقد» </w:t>
      </w:r>
      <w:r w:rsidR="00986D0B" w:rsidRPr="00986D0B">
        <w:rPr>
          <w:b/>
          <w:bCs/>
          <w:rtl/>
        </w:rPr>
        <w:t>بدل «</w:t>
      </w:r>
      <w:r w:rsidRPr="00986D0B">
        <w:rPr>
          <w:rFonts w:hint="cs"/>
          <w:b/>
          <w:bCs/>
          <w:rtl/>
        </w:rPr>
        <w:t>فقلت: قد».</w:t>
      </w:r>
    </w:p>
  </w:footnote>
  <w:footnote w:id="11">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جن»:</w:t>
      </w:r>
      <w:r w:rsidR="00986D0B" w:rsidRPr="00986D0B">
        <w:rPr>
          <w:b/>
          <w:bCs/>
          <w:rtl/>
        </w:rPr>
        <w:t xml:space="preserve"> «</w:t>
      </w:r>
      <w:r w:rsidRPr="00986D0B">
        <w:rPr>
          <w:rFonts w:hint="cs"/>
          <w:b/>
          <w:bCs/>
          <w:rtl/>
        </w:rPr>
        <w:t>كان مثل ذلك»</w:t>
      </w:r>
      <w:r w:rsidR="00986D0B" w:rsidRPr="00986D0B">
        <w:rPr>
          <w:b/>
          <w:bCs/>
          <w:rtl/>
        </w:rPr>
        <w:t>؛ و</w:t>
      </w:r>
      <w:r w:rsidRPr="00986D0B">
        <w:rPr>
          <w:rFonts w:hint="cs"/>
          <w:b/>
          <w:bCs/>
          <w:rtl/>
        </w:rPr>
        <w:t xml:space="preserve"> في البحار:-</w:t>
      </w:r>
      <w:r w:rsidR="00986D0B" w:rsidRPr="00986D0B">
        <w:rPr>
          <w:b/>
          <w:bCs/>
          <w:rtl/>
        </w:rPr>
        <w:t>«</w:t>
      </w:r>
      <w:r w:rsidRPr="00986D0B">
        <w:rPr>
          <w:rFonts w:hint="cs"/>
          <w:b/>
          <w:bCs/>
          <w:rtl/>
        </w:rPr>
        <w:t>ذلك».</w:t>
      </w:r>
    </w:p>
  </w:footnote>
  <w:footnote w:id="12">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هكذا في معظم النسخ التي قوبلت و الوسائل، ح 2825 و البحار و الاستبصار، ص 199</w:t>
      </w:r>
      <w:r w:rsidR="00986D0B" w:rsidRPr="00986D0B">
        <w:rPr>
          <w:b/>
          <w:bCs/>
          <w:rtl/>
        </w:rPr>
        <w:t>؛ و</w:t>
      </w:r>
      <w:r w:rsidRPr="00986D0B">
        <w:rPr>
          <w:rFonts w:hint="cs"/>
          <w:b/>
          <w:bCs/>
          <w:rtl/>
        </w:rPr>
        <w:t xml:space="preserve"> </w:t>
      </w:r>
      <w:r w:rsidR="00986D0B" w:rsidRPr="00986D0B">
        <w:rPr>
          <w:b/>
          <w:bCs/>
          <w:rtl/>
        </w:rPr>
        <w:t>في «</w:t>
      </w:r>
      <w:r w:rsidRPr="00986D0B">
        <w:rPr>
          <w:rFonts w:hint="cs"/>
          <w:b/>
          <w:bCs/>
          <w:rtl/>
        </w:rPr>
        <w:t>بح، بف» و الوافي و التهذيب، ص 440 و العلل:</w:t>
      </w:r>
      <w:r w:rsidR="00986D0B" w:rsidRPr="00986D0B">
        <w:rPr>
          <w:b/>
          <w:bCs/>
          <w:rtl/>
        </w:rPr>
        <w:t xml:space="preserve"> «</w:t>
      </w:r>
      <w:r w:rsidRPr="00986D0B">
        <w:rPr>
          <w:rFonts w:hint="cs"/>
          <w:b/>
          <w:bCs/>
          <w:rtl/>
        </w:rPr>
        <w:t>قال»</w:t>
      </w:r>
      <w:r w:rsidR="00986D0B" w:rsidRPr="00986D0B">
        <w:rPr>
          <w:b/>
          <w:bCs/>
          <w:rtl/>
        </w:rPr>
        <w:t>؛ و</w:t>
      </w:r>
      <w:r w:rsidRPr="00986D0B">
        <w:rPr>
          <w:rFonts w:hint="cs"/>
          <w:b/>
          <w:bCs/>
          <w:rtl/>
        </w:rPr>
        <w:t xml:space="preserve"> في المطبوع:+</w:t>
      </w:r>
      <w:r w:rsidR="00986D0B" w:rsidRPr="00986D0B">
        <w:rPr>
          <w:b/>
          <w:bCs/>
          <w:rtl/>
        </w:rPr>
        <w:t>«</w:t>
      </w:r>
      <w:r w:rsidRPr="00986D0B">
        <w:rPr>
          <w:rFonts w:hint="cs"/>
          <w:b/>
          <w:bCs/>
          <w:rtl/>
        </w:rPr>
        <w:t>لي».</w:t>
      </w:r>
    </w:p>
  </w:footnote>
  <w:footnote w:id="13">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في الوافي:+</w:t>
      </w:r>
      <w:r w:rsidR="00986D0B" w:rsidRPr="00986D0B">
        <w:rPr>
          <w:b/>
          <w:bCs/>
          <w:rtl/>
        </w:rPr>
        <w:t>«</w:t>
      </w:r>
      <w:r w:rsidRPr="00986D0B">
        <w:rPr>
          <w:rFonts w:hint="cs"/>
          <w:b/>
          <w:bCs/>
          <w:rtl/>
        </w:rPr>
        <w:t>بها».</w:t>
      </w:r>
    </w:p>
  </w:footnote>
  <w:footnote w:id="14">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ى»:</w:t>
      </w:r>
      <w:r w:rsidR="00986D0B" w:rsidRPr="00986D0B">
        <w:rPr>
          <w:b/>
          <w:bCs/>
          <w:rtl/>
        </w:rPr>
        <w:t xml:space="preserve"> «</w:t>
      </w:r>
      <w:r w:rsidRPr="00986D0B">
        <w:rPr>
          <w:rFonts w:hint="cs"/>
          <w:b/>
          <w:bCs/>
          <w:rtl/>
        </w:rPr>
        <w:t>الصدّيق».</w:t>
      </w:r>
    </w:p>
  </w:footnote>
  <w:footnote w:id="15">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في الوافي و التهذيب، ص 440:</w:t>
      </w:r>
      <w:r w:rsidR="00986D0B" w:rsidRPr="00986D0B">
        <w:rPr>
          <w:b/>
          <w:bCs/>
          <w:rtl/>
        </w:rPr>
        <w:t xml:space="preserve"> «</w:t>
      </w:r>
      <w:r w:rsidRPr="00986D0B">
        <w:rPr>
          <w:rFonts w:hint="cs"/>
          <w:b/>
          <w:bCs/>
          <w:rtl/>
        </w:rPr>
        <w:t>قال: قلت».</w:t>
      </w:r>
    </w:p>
  </w:footnote>
  <w:footnote w:id="16">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في الوافي و التهذيب، ص 342:</w:t>
      </w:r>
      <w:r w:rsidR="00986D0B" w:rsidRPr="00986D0B">
        <w:rPr>
          <w:b/>
          <w:bCs/>
          <w:rtl/>
        </w:rPr>
        <w:t xml:space="preserve"> «</w:t>
      </w:r>
      <w:r w:rsidRPr="00986D0B">
        <w:rPr>
          <w:rFonts w:hint="cs"/>
          <w:b/>
          <w:bCs/>
          <w:rtl/>
        </w:rPr>
        <w:t>مع رجال».</w:t>
      </w:r>
    </w:p>
  </w:footnote>
  <w:footnote w:id="17">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ظ، ى، بث، بح، بخ، بس، بف، جح، جس» و الوافي:</w:t>
      </w:r>
      <w:r w:rsidR="00986D0B" w:rsidRPr="00986D0B">
        <w:rPr>
          <w:b/>
          <w:bCs/>
          <w:rtl/>
        </w:rPr>
        <w:t xml:space="preserve"> «</w:t>
      </w:r>
      <w:r w:rsidRPr="00986D0B">
        <w:rPr>
          <w:rFonts w:hint="cs"/>
          <w:b/>
          <w:bCs/>
          <w:rtl/>
        </w:rPr>
        <w:t>معهم لها»</w:t>
      </w:r>
      <w:r w:rsidR="00986D0B" w:rsidRPr="00986D0B">
        <w:rPr>
          <w:b/>
          <w:bCs/>
          <w:rtl/>
        </w:rPr>
        <w:t>؛ و</w:t>
      </w:r>
      <w:r w:rsidRPr="00986D0B">
        <w:rPr>
          <w:rFonts w:hint="cs"/>
          <w:b/>
          <w:bCs/>
          <w:rtl/>
        </w:rPr>
        <w:t xml:space="preserve"> </w:t>
      </w:r>
      <w:r w:rsidR="00986D0B" w:rsidRPr="00986D0B">
        <w:rPr>
          <w:b/>
          <w:bCs/>
          <w:rtl/>
        </w:rPr>
        <w:t>في «</w:t>
      </w:r>
      <w:r w:rsidRPr="00986D0B">
        <w:rPr>
          <w:rFonts w:hint="cs"/>
          <w:b/>
          <w:bCs/>
          <w:rtl/>
        </w:rPr>
        <w:t>غ» و الفقيه و الاستبصار، ص 200:</w:t>
      </w:r>
      <w:r w:rsidR="00986D0B" w:rsidRPr="00986D0B">
        <w:rPr>
          <w:b/>
          <w:bCs/>
          <w:rtl/>
        </w:rPr>
        <w:t xml:space="preserve"> «</w:t>
      </w:r>
      <w:r w:rsidRPr="00986D0B">
        <w:rPr>
          <w:rFonts w:hint="cs"/>
          <w:b/>
          <w:bCs/>
          <w:rtl/>
        </w:rPr>
        <w:t>فيهم لها»</w:t>
      </w:r>
      <w:r w:rsidR="00986D0B" w:rsidRPr="00986D0B">
        <w:rPr>
          <w:b/>
          <w:bCs/>
          <w:rtl/>
        </w:rPr>
        <w:t>؛ و</w:t>
      </w:r>
      <w:r w:rsidRPr="00986D0B">
        <w:rPr>
          <w:rFonts w:hint="cs"/>
          <w:b/>
          <w:bCs/>
          <w:rtl/>
        </w:rPr>
        <w:t xml:space="preserve"> </w:t>
      </w:r>
      <w:r w:rsidR="00986D0B" w:rsidRPr="00986D0B">
        <w:rPr>
          <w:b/>
          <w:bCs/>
          <w:rtl/>
        </w:rPr>
        <w:t>في «</w:t>
      </w:r>
      <w:r w:rsidRPr="00986D0B">
        <w:rPr>
          <w:rFonts w:hint="cs"/>
          <w:b/>
          <w:bCs/>
          <w:rtl/>
        </w:rPr>
        <w:t>جن»:-</w:t>
      </w:r>
      <w:r w:rsidR="00986D0B" w:rsidRPr="00986D0B">
        <w:rPr>
          <w:b/>
          <w:bCs/>
          <w:rtl/>
        </w:rPr>
        <w:t>«</w:t>
      </w:r>
      <w:r w:rsidRPr="00986D0B">
        <w:rPr>
          <w:rFonts w:hint="cs"/>
          <w:b/>
          <w:bCs/>
          <w:rtl/>
        </w:rPr>
        <w:t>لها».</w:t>
      </w:r>
    </w:p>
  </w:footnote>
  <w:footnote w:id="18">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بخ، بف»:</w:t>
      </w:r>
      <w:r w:rsidR="00986D0B" w:rsidRPr="00986D0B">
        <w:rPr>
          <w:b/>
          <w:bCs/>
          <w:rtl/>
        </w:rPr>
        <w:t xml:space="preserve"> «</w:t>
      </w:r>
      <w:r w:rsidRPr="00986D0B">
        <w:rPr>
          <w:rFonts w:hint="cs"/>
          <w:b/>
          <w:bCs/>
          <w:rtl/>
        </w:rPr>
        <w:t>فقال».</w:t>
      </w:r>
    </w:p>
  </w:footnote>
  <w:footnote w:id="19">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بح» و الاستبصار، ص 200:</w:t>
      </w:r>
      <w:r w:rsidR="00986D0B" w:rsidRPr="00986D0B">
        <w:rPr>
          <w:b/>
          <w:bCs/>
          <w:rtl/>
        </w:rPr>
        <w:t xml:space="preserve"> «</w:t>
      </w:r>
      <w:r w:rsidRPr="00986D0B">
        <w:rPr>
          <w:rFonts w:hint="cs"/>
          <w:b/>
          <w:bCs/>
          <w:rtl/>
        </w:rPr>
        <w:t>عليها».</w:t>
      </w:r>
    </w:p>
  </w:footnote>
  <w:footnote w:id="20">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في الوافي و التهذيب، ص 342 و 442 و الاستبصار، ص 200 و 202:</w:t>
      </w:r>
      <w:r w:rsidR="00986D0B" w:rsidRPr="00986D0B">
        <w:rPr>
          <w:b/>
          <w:bCs/>
          <w:rtl/>
        </w:rPr>
        <w:t xml:space="preserve"> «</w:t>
      </w:r>
      <w:r w:rsidRPr="00986D0B">
        <w:rPr>
          <w:rFonts w:hint="cs"/>
          <w:b/>
          <w:bCs/>
          <w:rtl/>
        </w:rPr>
        <w:t>و لا يمسّ».</w:t>
      </w:r>
    </w:p>
  </w:footnote>
  <w:footnote w:id="21">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غ، بث»:</w:t>
      </w:r>
      <w:r w:rsidR="00986D0B" w:rsidRPr="00986D0B">
        <w:rPr>
          <w:b/>
          <w:bCs/>
          <w:rtl/>
        </w:rPr>
        <w:t xml:space="preserve"> «</w:t>
      </w:r>
      <w:r w:rsidRPr="00986D0B">
        <w:rPr>
          <w:rFonts w:hint="cs"/>
          <w:b/>
          <w:bCs/>
          <w:rtl/>
        </w:rPr>
        <w:t>و لا تكشف».</w:t>
      </w:r>
    </w:p>
  </w:footnote>
  <w:footnote w:id="22">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هكذا </w:t>
      </w:r>
      <w:r w:rsidR="00986D0B" w:rsidRPr="00986D0B">
        <w:rPr>
          <w:b/>
          <w:bCs/>
          <w:rtl/>
        </w:rPr>
        <w:t>في «</w:t>
      </w:r>
      <w:r w:rsidRPr="00986D0B">
        <w:rPr>
          <w:rFonts w:hint="cs"/>
          <w:b/>
          <w:bCs/>
          <w:rtl/>
        </w:rPr>
        <w:t xml:space="preserve">غ، بخ، بف» و </w:t>
      </w:r>
      <w:r w:rsidR="00986D0B" w:rsidRPr="00986D0B">
        <w:rPr>
          <w:b/>
          <w:bCs/>
          <w:rtl/>
        </w:rPr>
        <w:t>حاشية «</w:t>
      </w:r>
      <w:r w:rsidRPr="00986D0B">
        <w:rPr>
          <w:rFonts w:hint="cs"/>
          <w:b/>
          <w:bCs/>
          <w:rtl/>
        </w:rPr>
        <w:t>بث، بح» و الوافي و الفقيه و التهذيب، ص 342 و 442 و الاستبصار، ص 200 و 202 و في سائر النسخ و المطبوع:</w:t>
      </w:r>
      <w:r w:rsidR="00986D0B" w:rsidRPr="00986D0B">
        <w:rPr>
          <w:b/>
          <w:bCs/>
          <w:rtl/>
        </w:rPr>
        <w:t xml:space="preserve"> «</w:t>
      </w:r>
      <w:r w:rsidRPr="00986D0B">
        <w:rPr>
          <w:rFonts w:hint="cs"/>
          <w:b/>
          <w:bCs/>
          <w:rtl/>
        </w:rPr>
        <w:t>الذي».</w:t>
      </w:r>
    </w:p>
  </w:footnote>
  <w:footnote w:id="23">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هكذا في الوافي و الفقيه و التهذيب، ص 342 و 442 و الاستبصار، ص 200 و 202 و في النسخ و المطبوع:</w:t>
      </w:r>
      <w:r w:rsidR="00986D0B" w:rsidRPr="00986D0B">
        <w:rPr>
          <w:b/>
          <w:bCs/>
          <w:rtl/>
        </w:rPr>
        <w:t xml:space="preserve"> «</w:t>
      </w:r>
      <w:r w:rsidRPr="00986D0B">
        <w:rPr>
          <w:rFonts w:hint="cs"/>
          <w:b/>
          <w:bCs/>
          <w:rtl/>
        </w:rPr>
        <w:t>بستره».</w:t>
      </w:r>
    </w:p>
  </w:footnote>
  <w:footnote w:id="24">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بخ، بف» و الوافي و التهذيب و الاستبصار، ص 200 و 202:</w:t>
      </w:r>
      <w:r w:rsidR="00986D0B" w:rsidRPr="00986D0B">
        <w:rPr>
          <w:b/>
          <w:bCs/>
          <w:rtl/>
        </w:rPr>
        <w:t xml:space="preserve"> «</w:t>
      </w:r>
      <w:r w:rsidRPr="00986D0B">
        <w:rPr>
          <w:rFonts w:hint="cs"/>
          <w:b/>
          <w:bCs/>
          <w:rtl/>
        </w:rPr>
        <w:t>فقلت».</w:t>
      </w:r>
    </w:p>
  </w:footnote>
  <w:footnote w:id="25">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بح»:</w:t>
      </w:r>
      <w:r w:rsidR="00986D0B" w:rsidRPr="00986D0B">
        <w:rPr>
          <w:b/>
          <w:bCs/>
          <w:rtl/>
        </w:rPr>
        <w:t xml:space="preserve"> «</w:t>
      </w:r>
      <w:r w:rsidRPr="00986D0B">
        <w:rPr>
          <w:rFonts w:hint="cs"/>
          <w:b/>
          <w:bCs/>
          <w:rtl/>
        </w:rPr>
        <w:t>يغسّل».</w:t>
      </w:r>
    </w:p>
  </w:footnote>
  <w:footnote w:id="26">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xml:space="preserve">. </w:t>
      </w:r>
      <w:r w:rsidR="00986D0B" w:rsidRPr="00986D0B">
        <w:rPr>
          <w:b/>
          <w:bCs/>
          <w:rtl/>
        </w:rPr>
        <w:t>في «</w:t>
      </w:r>
      <w:r w:rsidRPr="00986D0B">
        <w:rPr>
          <w:rFonts w:hint="cs"/>
          <w:b/>
          <w:bCs/>
          <w:rtl/>
        </w:rPr>
        <w:t>بح» و الفقيه:</w:t>
      </w:r>
      <w:r w:rsidR="00986D0B" w:rsidRPr="00986D0B">
        <w:rPr>
          <w:b/>
          <w:bCs/>
          <w:rtl/>
        </w:rPr>
        <w:t xml:space="preserve"> «</w:t>
      </w:r>
      <w:r w:rsidRPr="00986D0B">
        <w:rPr>
          <w:rFonts w:hint="cs"/>
          <w:b/>
          <w:bCs/>
          <w:rtl/>
        </w:rPr>
        <w:t>باطن».</w:t>
      </w:r>
    </w:p>
  </w:footnote>
  <w:footnote w:id="27">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في الوافي و الفقيه:</w:t>
      </w:r>
      <w:r w:rsidR="00986D0B" w:rsidRPr="00986D0B">
        <w:rPr>
          <w:b/>
          <w:bCs/>
          <w:rtl/>
        </w:rPr>
        <w:t xml:space="preserve"> «</w:t>
      </w:r>
      <w:r w:rsidRPr="00986D0B">
        <w:rPr>
          <w:rFonts w:hint="cs"/>
          <w:b/>
          <w:bCs/>
          <w:rtl/>
        </w:rPr>
        <w:t xml:space="preserve">ثمّ يغسل وجهها» </w:t>
      </w:r>
      <w:r w:rsidR="00986D0B" w:rsidRPr="00986D0B">
        <w:rPr>
          <w:b/>
          <w:bCs/>
          <w:rtl/>
        </w:rPr>
        <w:t>بدل «</w:t>
      </w:r>
      <w:r w:rsidRPr="00986D0B">
        <w:rPr>
          <w:rFonts w:hint="cs"/>
          <w:b/>
          <w:bCs/>
          <w:rtl/>
        </w:rPr>
        <w:t>و وجهها».</w:t>
      </w:r>
    </w:p>
  </w:footnote>
  <w:footnote w:id="28">
    <w:p w:rsidR="00C26DCB" w:rsidRPr="00986D0B" w:rsidRDefault="00C26DCB" w:rsidP="00986D0B">
      <w:pPr>
        <w:pStyle w:val="FootnoteText"/>
        <w:ind w:firstLine="4"/>
        <w:rPr>
          <w:b/>
          <w:bCs/>
          <w:rtl/>
        </w:rPr>
      </w:pPr>
      <w:r w:rsidRPr="00986D0B">
        <w:rPr>
          <w:rStyle w:val="FootnoteReference"/>
          <w:rFonts w:eastAsia="2  Lotus"/>
          <w:b/>
          <w:bCs/>
        </w:rPr>
        <w:footnoteRef/>
      </w:r>
      <w:r w:rsidRPr="00986D0B">
        <w:rPr>
          <w:rFonts w:hint="cs"/>
          <w:b/>
          <w:bCs/>
          <w:rtl/>
        </w:rPr>
        <w:t>. في الوافي و الفقيه:</w:t>
      </w:r>
      <w:r w:rsidR="00986D0B" w:rsidRPr="00986D0B">
        <w:rPr>
          <w:b/>
          <w:bCs/>
          <w:rtl/>
        </w:rPr>
        <w:t xml:space="preserve"> «</w:t>
      </w:r>
      <w:r w:rsidRPr="00986D0B">
        <w:rPr>
          <w:rFonts w:hint="cs"/>
          <w:b/>
          <w:bCs/>
          <w:rtl/>
        </w:rPr>
        <w:t>ثمّ يغسل».</w:t>
      </w:r>
    </w:p>
  </w:footnote>
  <w:footnote w:id="29">
    <w:p w:rsidR="00C26DCB" w:rsidRPr="00986D0B" w:rsidRDefault="00C26DCB" w:rsidP="00986D0B">
      <w:pPr>
        <w:pStyle w:val="FootnoteText"/>
        <w:ind w:firstLine="4"/>
        <w:rPr>
          <w:b/>
          <w:bCs/>
          <w:rtl/>
        </w:rPr>
      </w:pPr>
      <w:r w:rsidRPr="00986D0B">
        <w:rPr>
          <w:rStyle w:val="FootnoteReference"/>
          <w:rFonts w:eastAsia="2  Lotus"/>
          <w:b/>
          <w:bCs/>
        </w:rPr>
        <w:footnoteRef/>
      </w:r>
      <w:r w:rsidR="00F170C7">
        <w:rPr>
          <w:rFonts w:hint="cs"/>
          <w:b/>
          <w:bCs/>
          <w:rtl/>
        </w:rPr>
        <w:t>.</w:t>
      </w:r>
      <w:r w:rsidRPr="00986D0B">
        <w:rPr>
          <w:rFonts w:hint="cs"/>
          <w:b/>
          <w:bCs/>
          <w:rtl/>
        </w:rPr>
        <w:t xml:space="preserve"> </w:t>
      </w:r>
      <w:r w:rsidR="00742F2E" w:rsidRPr="00986D0B">
        <w:rPr>
          <w:rFonts w:hint="cs"/>
          <w:b/>
          <w:bCs/>
          <w:rtl/>
        </w:rPr>
        <w:t>كافي (ط - دار الحديث)، ج‏5، ص: 42</w:t>
      </w:r>
      <w:r w:rsidR="00EB1F1D" w:rsidRPr="00986D0B">
        <w:rPr>
          <w:rFonts w:hint="cs"/>
          <w:b/>
          <w:bCs/>
          <w:rtl/>
        </w:rPr>
        <w:t>0-422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BC" w:rsidRDefault="00504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44" w:rsidRDefault="003F4B44" w:rsidP="00504ABC">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104FE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1A04F5">
      <w:rPr>
        <w:rFonts w:ascii="Adobe Arabic" w:hAnsi="Adobe Arabic" w:cs="Adobe Arabic" w:hint="cs"/>
        <w:b/>
        <w:bCs/>
        <w:sz w:val="24"/>
        <w:szCs w:val="24"/>
        <w:rtl/>
      </w:rPr>
      <w:t>2</w:t>
    </w:r>
    <w:r w:rsidR="00504ABC">
      <w:rPr>
        <w:rFonts w:ascii="Adobe Arabic" w:hAnsi="Adobe Arabic" w:cs="Adobe Arabic" w:hint="cs"/>
        <w:b/>
        <w:bCs/>
        <w:sz w:val="24"/>
        <w:szCs w:val="24"/>
        <w:rtl/>
      </w:rPr>
      <w:t>6</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3F4B44" w:rsidRPr="00012D8B" w:rsidRDefault="003F4B44" w:rsidP="00504ABC">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104FE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w:t>
    </w:r>
    <w:r w:rsidR="00BF2D4D">
      <w:rPr>
        <w:rFonts w:ascii="Adobe Arabic" w:hAnsi="Adobe Arabic" w:cs="Adobe Arabic" w:hint="cs"/>
        <w:b/>
        <w:bCs/>
        <w:sz w:val="24"/>
        <w:szCs w:val="24"/>
        <w:rtl/>
      </w:rPr>
      <w:t>جواز</w:t>
    </w:r>
    <w:r>
      <w:rPr>
        <w:rFonts w:ascii="Adobe Arabic" w:hAnsi="Adobe Arabic" w:cs="Adobe Arabic" w:hint="cs"/>
        <w:b/>
        <w:bCs/>
        <w:sz w:val="24"/>
        <w:szCs w:val="24"/>
        <w:rtl/>
      </w:rPr>
      <w:t xml:space="preserve"> نگاه به وجه و کفین اجنبی    </w:t>
    </w:r>
    <w:r w:rsidR="00104FE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BF2D4D">
      <w:rPr>
        <w:rFonts w:ascii="Adobe Arabic" w:hAnsi="Adobe Arabic" w:cs="Adobe Arabic" w:hint="cs"/>
        <w:b/>
        <w:bCs/>
        <w:sz w:val="24"/>
        <w:szCs w:val="24"/>
        <w:rtl/>
      </w:rPr>
      <w:t>6</w:t>
    </w:r>
    <w:r w:rsidR="00504ABC">
      <w:rPr>
        <w:rFonts w:ascii="Adobe Arabic" w:hAnsi="Adobe Arabic" w:cs="Adobe Arabic" w:hint="cs"/>
        <w:b/>
        <w:bCs/>
        <w:sz w:val="24"/>
        <w:szCs w:val="24"/>
        <w:rtl/>
      </w:rPr>
      <w:t>6</w:t>
    </w:r>
  </w:p>
  <w:p w:rsidR="003F4B44" w:rsidRPr="00873379" w:rsidRDefault="003F4B44"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BC" w:rsidRDefault="00504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23"/>
  </w:num>
  <w:num w:numId="3">
    <w:abstractNumId w:val="31"/>
  </w:num>
  <w:num w:numId="4">
    <w:abstractNumId w:val="32"/>
  </w:num>
  <w:num w:numId="5">
    <w:abstractNumId w:val="17"/>
  </w:num>
  <w:num w:numId="6">
    <w:abstractNumId w:val="4"/>
  </w:num>
  <w:num w:numId="7">
    <w:abstractNumId w:val="24"/>
  </w:num>
  <w:num w:numId="8">
    <w:abstractNumId w:val="33"/>
  </w:num>
  <w:num w:numId="9">
    <w:abstractNumId w:val="9"/>
  </w:num>
  <w:num w:numId="10">
    <w:abstractNumId w:val="30"/>
  </w:num>
  <w:num w:numId="11">
    <w:abstractNumId w:val="5"/>
  </w:num>
  <w:num w:numId="12">
    <w:abstractNumId w:val="10"/>
  </w:num>
  <w:num w:numId="13">
    <w:abstractNumId w:val="12"/>
  </w:num>
  <w:num w:numId="14">
    <w:abstractNumId w:val="15"/>
  </w:num>
  <w:num w:numId="15">
    <w:abstractNumId w:val="26"/>
  </w:num>
  <w:num w:numId="16">
    <w:abstractNumId w:val="2"/>
  </w:num>
  <w:num w:numId="17">
    <w:abstractNumId w:val="21"/>
  </w:num>
  <w:num w:numId="18">
    <w:abstractNumId w:val="28"/>
  </w:num>
  <w:num w:numId="19">
    <w:abstractNumId w:val="19"/>
  </w:num>
  <w:num w:numId="20">
    <w:abstractNumId w:val="34"/>
  </w:num>
  <w:num w:numId="21">
    <w:abstractNumId w:val="25"/>
  </w:num>
  <w:num w:numId="22">
    <w:abstractNumId w:val="8"/>
  </w:num>
  <w:num w:numId="23">
    <w:abstractNumId w:val="14"/>
  </w:num>
  <w:num w:numId="24">
    <w:abstractNumId w:val="27"/>
  </w:num>
  <w:num w:numId="25">
    <w:abstractNumId w:val="11"/>
  </w:num>
  <w:num w:numId="26">
    <w:abstractNumId w:val="13"/>
  </w:num>
  <w:num w:numId="27">
    <w:abstractNumId w:val="7"/>
  </w:num>
  <w:num w:numId="28">
    <w:abstractNumId w:val="3"/>
  </w:num>
  <w:num w:numId="29">
    <w:abstractNumId w:val="0"/>
  </w:num>
  <w:num w:numId="30">
    <w:abstractNumId w:val="6"/>
  </w:num>
  <w:num w:numId="31">
    <w:abstractNumId w:val="1"/>
  </w:num>
  <w:num w:numId="32">
    <w:abstractNumId w:val="16"/>
  </w:num>
  <w:num w:numId="33">
    <w:abstractNumId w:val="20"/>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4FEE"/>
    <w:rsid w:val="00106153"/>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37B2"/>
    <w:rsid w:val="001B4AC9"/>
    <w:rsid w:val="001B535E"/>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2ACE"/>
    <w:rsid w:val="00274DC7"/>
    <w:rsid w:val="00277653"/>
    <w:rsid w:val="002776F6"/>
    <w:rsid w:val="00282D16"/>
    <w:rsid w:val="00283229"/>
    <w:rsid w:val="002914BD"/>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6002"/>
    <w:rsid w:val="0031675F"/>
    <w:rsid w:val="00316F0C"/>
    <w:rsid w:val="00317D04"/>
    <w:rsid w:val="00321726"/>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1A43"/>
    <w:rsid w:val="00372795"/>
    <w:rsid w:val="00374D1C"/>
    <w:rsid w:val="00375CC3"/>
    <w:rsid w:val="00380FDB"/>
    <w:rsid w:val="00381508"/>
    <w:rsid w:val="00385371"/>
    <w:rsid w:val="00386A07"/>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A28"/>
    <w:rsid w:val="003C3F71"/>
    <w:rsid w:val="003C56D7"/>
    <w:rsid w:val="003C7899"/>
    <w:rsid w:val="003C7EBD"/>
    <w:rsid w:val="003D1CA0"/>
    <w:rsid w:val="003D2945"/>
    <w:rsid w:val="003D2F0A"/>
    <w:rsid w:val="003D46A4"/>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30FD7"/>
    <w:rsid w:val="005318A6"/>
    <w:rsid w:val="00531A7A"/>
    <w:rsid w:val="00533B7B"/>
    <w:rsid w:val="00542623"/>
    <w:rsid w:val="00543B39"/>
    <w:rsid w:val="00544FBD"/>
    <w:rsid w:val="00545B0C"/>
    <w:rsid w:val="00547D42"/>
    <w:rsid w:val="00551628"/>
    <w:rsid w:val="005522A3"/>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229C"/>
    <w:rsid w:val="006626D2"/>
    <w:rsid w:val="006630B1"/>
    <w:rsid w:val="006631CE"/>
    <w:rsid w:val="00663AAD"/>
    <w:rsid w:val="00667873"/>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293C"/>
    <w:rsid w:val="007F2F4B"/>
    <w:rsid w:val="007F3221"/>
    <w:rsid w:val="007F3776"/>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1823"/>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86D0B"/>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6734"/>
    <w:rsid w:val="00A66E35"/>
    <w:rsid w:val="00A725C2"/>
    <w:rsid w:val="00A73A9B"/>
    <w:rsid w:val="00A769EE"/>
    <w:rsid w:val="00A77E4B"/>
    <w:rsid w:val="00A810A5"/>
    <w:rsid w:val="00A90B5A"/>
    <w:rsid w:val="00A90D7C"/>
    <w:rsid w:val="00A94B5C"/>
    <w:rsid w:val="00A9616A"/>
    <w:rsid w:val="00A96F68"/>
    <w:rsid w:val="00AA2342"/>
    <w:rsid w:val="00AA788B"/>
    <w:rsid w:val="00AB2B2D"/>
    <w:rsid w:val="00AB4646"/>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6DCB"/>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5E2"/>
    <w:rsid w:val="00CA3C1E"/>
    <w:rsid w:val="00CA52D5"/>
    <w:rsid w:val="00CB01BD"/>
    <w:rsid w:val="00CB0E5D"/>
    <w:rsid w:val="00CB0E9D"/>
    <w:rsid w:val="00CB520D"/>
    <w:rsid w:val="00CB5DA3"/>
    <w:rsid w:val="00CC1B41"/>
    <w:rsid w:val="00CC3976"/>
    <w:rsid w:val="00CC5AD5"/>
    <w:rsid w:val="00CC6F78"/>
    <w:rsid w:val="00CC70CB"/>
    <w:rsid w:val="00CC720E"/>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1D9C"/>
    <w:rsid w:val="00CF257C"/>
    <w:rsid w:val="00CF42E2"/>
    <w:rsid w:val="00CF4F19"/>
    <w:rsid w:val="00CF7916"/>
    <w:rsid w:val="00CF7CD9"/>
    <w:rsid w:val="00D009A0"/>
    <w:rsid w:val="00D00C2B"/>
    <w:rsid w:val="00D130E1"/>
    <w:rsid w:val="00D15074"/>
    <w:rsid w:val="00D150A3"/>
    <w:rsid w:val="00D158F3"/>
    <w:rsid w:val="00D15FDC"/>
    <w:rsid w:val="00D16A86"/>
    <w:rsid w:val="00D22DE5"/>
    <w:rsid w:val="00D2470E"/>
    <w:rsid w:val="00D25245"/>
    <w:rsid w:val="00D2594B"/>
    <w:rsid w:val="00D32B95"/>
    <w:rsid w:val="00D330C0"/>
    <w:rsid w:val="00D33F52"/>
    <w:rsid w:val="00D3665C"/>
    <w:rsid w:val="00D36CD1"/>
    <w:rsid w:val="00D370D0"/>
    <w:rsid w:val="00D420F3"/>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246"/>
    <w:rsid w:val="00E624CF"/>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5BB7"/>
    <w:rsid w:val="00EA5D97"/>
    <w:rsid w:val="00EA7B94"/>
    <w:rsid w:val="00EA7E6F"/>
    <w:rsid w:val="00EB0BDB"/>
    <w:rsid w:val="00EB1882"/>
    <w:rsid w:val="00EB1F1D"/>
    <w:rsid w:val="00EB3D35"/>
    <w:rsid w:val="00EB4C19"/>
    <w:rsid w:val="00EB72A1"/>
    <w:rsid w:val="00EB7403"/>
    <w:rsid w:val="00EC0D90"/>
    <w:rsid w:val="00EC173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170C7"/>
    <w:rsid w:val="00F22492"/>
    <w:rsid w:val="00F25714"/>
    <w:rsid w:val="00F25D3A"/>
    <w:rsid w:val="00F30E8D"/>
    <w:rsid w:val="00F3446D"/>
    <w:rsid w:val="00F34C42"/>
    <w:rsid w:val="00F34FA1"/>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09054019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BC14-DE88-41B4-BA7A-D8B2391D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1641</TotalTime>
  <Pages>7</Pages>
  <Words>1758</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72</cp:revision>
  <dcterms:created xsi:type="dcterms:W3CDTF">2020-06-22T09:32:00Z</dcterms:created>
  <dcterms:modified xsi:type="dcterms:W3CDTF">2020-11-16T08:17:00Z</dcterms:modified>
</cp:coreProperties>
</file>