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2112317463"/>
        <w:docPartObj>
          <w:docPartGallery w:val="Table of Contents"/>
          <w:docPartUnique/>
        </w:docPartObj>
      </w:sdtPr>
      <w:sdtEndPr>
        <w:rPr>
          <w:b/>
          <w:noProof/>
        </w:rPr>
      </w:sdtEndPr>
      <w:sdtContent>
        <w:p w:rsidR="00D509B4" w:rsidRPr="00AF54D5" w:rsidRDefault="00D509B4" w:rsidP="00D509B4">
          <w:pPr>
            <w:pStyle w:val="TOCHeading"/>
            <w:rPr>
              <w:rFonts w:cs="Traditional Arabic"/>
            </w:rPr>
          </w:pPr>
          <w:r w:rsidRPr="00AF54D5">
            <w:rPr>
              <w:rFonts w:cs="Traditional Arabic" w:hint="cs"/>
              <w:rtl/>
            </w:rPr>
            <w:t>فهرست</w:t>
          </w:r>
        </w:p>
        <w:p w:rsidR="00D509B4" w:rsidRPr="00AF54D5" w:rsidRDefault="00D509B4" w:rsidP="00D509B4">
          <w:pPr>
            <w:pStyle w:val="TOC1"/>
            <w:tabs>
              <w:tab w:val="right" w:leader="dot" w:pos="9350"/>
            </w:tabs>
            <w:rPr>
              <w:noProof/>
              <w:sz w:val="22"/>
              <w:szCs w:val="22"/>
              <w:lang w:bidi="ar-SA"/>
            </w:rPr>
          </w:pPr>
          <w:r w:rsidRPr="00AF54D5">
            <w:fldChar w:fldCharType="begin"/>
          </w:r>
          <w:r w:rsidRPr="00AF54D5">
            <w:instrText xml:space="preserve"> TOC \o "1-3" \h \z \u </w:instrText>
          </w:r>
          <w:r w:rsidRPr="00AF54D5">
            <w:fldChar w:fldCharType="separate"/>
          </w:r>
          <w:hyperlink w:anchor="_Toc59892028" w:history="1">
            <w:r w:rsidRPr="00AF54D5">
              <w:rPr>
                <w:rStyle w:val="Hyperlink"/>
                <w:noProof/>
                <w:rtl/>
              </w:rPr>
              <w:t>مقدمه</w:t>
            </w:r>
            <w:r w:rsidRPr="00AF54D5">
              <w:rPr>
                <w:noProof/>
                <w:webHidden/>
              </w:rPr>
              <w:tab/>
            </w:r>
            <w:r w:rsidRPr="00AF54D5">
              <w:rPr>
                <w:noProof/>
                <w:webHidden/>
              </w:rPr>
              <w:fldChar w:fldCharType="begin"/>
            </w:r>
            <w:r w:rsidRPr="00AF54D5">
              <w:rPr>
                <w:noProof/>
                <w:webHidden/>
              </w:rPr>
              <w:instrText xml:space="preserve"> PAGEREF _Toc59892028 \h </w:instrText>
            </w:r>
            <w:r w:rsidRPr="00AF54D5">
              <w:rPr>
                <w:noProof/>
                <w:webHidden/>
              </w:rPr>
            </w:r>
            <w:r w:rsidRPr="00AF54D5">
              <w:rPr>
                <w:noProof/>
                <w:webHidden/>
              </w:rPr>
              <w:fldChar w:fldCharType="separate"/>
            </w:r>
            <w:r w:rsidRPr="00AF54D5">
              <w:rPr>
                <w:noProof/>
                <w:webHidden/>
              </w:rPr>
              <w:t>2</w:t>
            </w:r>
            <w:r w:rsidRPr="00AF54D5">
              <w:rPr>
                <w:noProof/>
                <w:webHidden/>
              </w:rPr>
              <w:fldChar w:fldCharType="end"/>
            </w:r>
          </w:hyperlink>
        </w:p>
        <w:p w:rsidR="00D509B4" w:rsidRPr="00AF54D5" w:rsidRDefault="000812AB" w:rsidP="00D509B4">
          <w:pPr>
            <w:pStyle w:val="TOC1"/>
            <w:tabs>
              <w:tab w:val="right" w:leader="dot" w:pos="9350"/>
            </w:tabs>
            <w:rPr>
              <w:noProof/>
              <w:sz w:val="22"/>
              <w:szCs w:val="22"/>
              <w:lang w:bidi="ar-SA"/>
            </w:rPr>
          </w:pPr>
          <w:hyperlink w:anchor="_Toc59892029" w:history="1">
            <w:r w:rsidR="00D509B4" w:rsidRPr="00AF54D5">
              <w:rPr>
                <w:rStyle w:val="Hyperlink"/>
                <w:noProof/>
                <w:rtl/>
              </w:rPr>
              <w:t>فرع اول: موارد ملحق به جواز نظر</w:t>
            </w:r>
            <w:r w:rsidR="00D509B4" w:rsidRPr="00AF54D5">
              <w:rPr>
                <w:noProof/>
                <w:webHidden/>
              </w:rPr>
              <w:tab/>
            </w:r>
            <w:r w:rsidR="00D509B4" w:rsidRPr="00AF54D5">
              <w:rPr>
                <w:noProof/>
                <w:webHidden/>
              </w:rPr>
              <w:fldChar w:fldCharType="begin"/>
            </w:r>
            <w:r w:rsidR="00D509B4" w:rsidRPr="00AF54D5">
              <w:rPr>
                <w:noProof/>
                <w:webHidden/>
              </w:rPr>
              <w:instrText xml:space="preserve"> PAGEREF _Toc59892029 \h </w:instrText>
            </w:r>
            <w:r w:rsidR="00D509B4" w:rsidRPr="00AF54D5">
              <w:rPr>
                <w:noProof/>
                <w:webHidden/>
              </w:rPr>
            </w:r>
            <w:r w:rsidR="00D509B4" w:rsidRPr="00AF54D5">
              <w:rPr>
                <w:noProof/>
                <w:webHidden/>
              </w:rPr>
              <w:fldChar w:fldCharType="separate"/>
            </w:r>
            <w:r w:rsidR="00D509B4" w:rsidRPr="00AF54D5">
              <w:rPr>
                <w:noProof/>
                <w:webHidden/>
              </w:rPr>
              <w:t>2</w:t>
            </w:r>
            <w:r w:rsidR="00D509B4" w:rsidRPr="00AF54D5">
              <w:rPr>
                <w:noProof/>
                <w:webHidden/>
              </w:rPr>
              <w:fldChar w:fldCharType="end"/>
            </w:r>
          </w:hyperlink>
        </w:p>
        <w:p w:rsidR="00D509B4" w:rsidRPr="00AF54D5" w:rsidRDefault="000812AB" w:rsidP="00D509B4">
          <w:pPr>
            <w:pStyle w:val="TOC2"/>
            <w:tabs>
              <w:tab w:val="right" w:leader="dot" w:pos="9350"/>
            </w:tabs>
            <w:rPr>
              <w:noProof/>
              <w:sz w:val="22"/>
              <w:szCs w:val="22"/>
              <w:lang w:bidi="ar-SA"/>
            </w:rPr>
          </w:pPr>
          <w:hyperlink w:anchor="_Toc59892030" w:history="1">
            <w:r w:rsidR="00D509B4" w:rsidRPr="00AF54D5">
              <w:rPr>
                <w:rStyle w:val="Hyperlink"/>
                <w:noProof/>
                <w:rtl/>
              </w:rPr>
              <w:t>مورد اول: قدمان:</w:t>
            </w:r>
            <w:r w:rsidR="00D509B4" w:rsidRPr="00AF54D5">
              <w:rPr>
                <w:noProof/>
                <w:webHidden/>
              </w:rPr>
              <w:tab/>
            </w:r>
            <w:r w:rsidR="00D509B4" w:rsidRPr="00AF54D5">
              <w:rPr>
                <w:noProof/>
                <w:webHidden/>
              </w:rPr>
              <w:fldChar w:fldCharType="begin"/>
            </w:r>
            <w:r w:rsidR="00D509B4" w:rsidRPr="00AF54D5">
              <w:rPr>
                <w:noProof/>
                <w:webHidden/>
              </w:rPr>
              <w:instrText xml:space="preserve"> PAGEREF _Toc59892030 \h </w:instrText>
            </w:r>
            <w:r w:rsidR="00D509B4" w:rsidRPr="00AF54D5">
              <w:rPr>
                <w:noProof/>
                <w:webHidden/>
              </w:rPr>
            </w:r>
            <w:r w:rsidR="00D509B4" w:rsidRPr="00AF54D5">
              <w:rPr>
                <w:noProof/>
                <w:webHidden/>
              </w:rPr>
              <w:fldChar w:fldCharType="separate"/>
            </w:r>
            <w:r w:rsidR="00D509B4" w:rsidRPr="00AF54D5">
              <w:rPr>
                <w:noProof/>
                <w:webHidden/>
              </w:rPr>
              <w:t>2</w:t>
            </w:r>
            <w:r w:rsidR="00D509B4" w:rsidRPr="00AF54D5">
              <w:rPr>
                <w:noProof/>
                <w:webHidden/>
              </w:rPr>
              <w:fldChar w:fldCharType="end"/>
            </w:r>
          </w:hyperlink>
        </w:p>
        <w:p w:rsidR="00D509B4" w:rsidRPr="00AF54D5" w:rsidRDefault="000812AB" w:rsidP="00D509B4">
          <w:pPr>
            <w:pStyle w:val="TOC3"/>
            <w:rPr>
              <w:rFonts w:eastAsiaTheme="minorEastAsia"/>
              <w:noProof/>
              <w:sz w:val="22"/>
              <w:szCs w:val="22"/>
              <w:lang w:bidi="ar-SA"/>
            </w:rPr>
          </w:pPr>
          <w:hyperlink w:anchor="_Toc59892031" w:history="1">
            <w:r w:rsidR="00D509B4" w:rsidRPr="00AF54D5">
              <w:rPr>
                <w:rStyle w:val="Hyperlink"/>
                <w:noProof/>
                <w:rtl/>
              </w:rPr>
              <w:t>استدلال اول بر جواز</w:t>
            </w:r>
            <w:r w:rsidR="00D509B4" w:rsidRPr="00AF54D5">
              <w:rPr>
                <w:noProof/>
                <w:webHidden/>
              </w:rPr>
              <w:tab/>
            </w:r>
            <w:r w:rsidR="00D509B4" w:rsidRPr="00AF54D5">
              <w:rPr>
                <w:noProof/>
                <w:webHidden/>
              </w:rPr>
              <w:fldChar w:fldCharType="begin"/>
            </w:r>
            <w:r w:rsidR="00D509B4" w:rsidRPr="00AF54D5">
              <w:rPr>
                <w:noProof/>
                <w:webHidden/>
              </w:rPr>
              <w:instrText xml:space="preserve"> PAGEREF _Toc59892031 \h </w:instrText>
            </w:r>
            <w:r w:rsidR="00D509B4" w:rsidRPr="00AF54D5">
              <w:rPr>
                <w:noProof/>
                <w:webHidden/>
              </w:rPr>
            </w:r>
            <w:r w:rsidR="00D509B4" w:rsidRPr="00AF54D5">
              <w:rPr>
                <w:noProof/>
                <w:webHidden/>
              </w:rPr>
              <w:fldChar w:fldCharType="separate"/>
            </w:r>
            <w:r w:rsidR="00D509B4" w:rsidRPr="00AF54D5">
              <w:rPr>
                <w:noProof/>
                <w:webHidden/>
              </w:rPr>
              <w:t>2</w:t>
            </w:r>
            <w:r w:rsidR="00D509B4" w:rsidRPr="00AF54D5">
              <w:rPr>
                <w:noProof/>
                <w:webHidden/>
              </w:rPr>
              <w:fldChar w:fldCharType="end"/>
            </w:r>
          </w:hyperlink>
        </w:p>
        <w:p w:rsidR="00D509B4" w:rsidRPr="00AF54D5" w:rsidRDefault="000812AB" w:rsidP="00D509B4">
          <w:pPr>
            <w:pStyle w:val="TOC3"/>
            <w:rPr>
              <w:rFonts w:eastAsiaTheme="minorEastAsia"/>
              <w:noProof/>
              <w:sz w:val="22"/>
              <w:szCs w:val="22"/>
              <w:lang w:bidi="ar-SA"/>
            </w:rPr>
          </w:pPr>
          <w:hyperlink w:anchor="_Toc59892032" w:history="1">
            <w:r w:rsidR="00D509B4" w:rsidRPr="00AF54D5">
              <w:rPr>
                <w:rStyle w:val="Hyperlink"/>
                <w:noProof/>
                <w:rtl/>
              </w:rPr>
              <w:t>استدلال دوم بر جواز</w:t>
            </w:r>
            <w:r w:rsidR="00D509B4" w:rsidRPr="00AF54D5">
              <w:rPr>
                <w:noProof/>
                <w:webHidden/>
              </w:rPr>
              <w:tab/>
            </w:r>
            <w:r w:rsidR="00D509B4" w:rsidRPr="00AF54D5">
              <w:rPr>
                <w:noProof/>
                <w:webHidden/>
              </w:rPr>
              <w:fldChar w:fldCharType="begin"/>
            </w:r>
            <w:r w:rsidR="00D509B4" w:rsidRPr="00AF54D5">
              <w:rPr>
                <w:noProof/>
                <w:webHidden/>
              </w:rPr>
              <w:instrText xml:space="preserve"> PAGEREF _Toc59892032 \h </w:instrText>
            </w:r>
            <w:r w:rsidR="00D509B4" w:rsidRPr="00AF54D5">
              <w:rPr>
                <w:noProof/>
                <w:webHidden/>
              </w:rPr>
            </w:r>
            <w:r w:rsidR="00D509B4" w:rsidRPr="00AF54D5">
              <w:rPr>
                <w:noProof/>
                <w:webHidden/>
              </w:rPr>
              <w:fldChar w:fldCharType="separate"/>
            </w:r>
            <w:r w:rsidR="00D509B4" w:rsidRPr="00AF54D5">
              <w:rPr>
                <w:noProof/>
                <w:webHidden/>
              </w:rPr>
              <w:t>3</w:t>
            </w:r>
            <w:r w:rsidR="00D509B4" w:rsidRPr="00AF54D5">
              <w:rPr>
                <w:noProof/>
                <w:webHidden/>
              </w:rPr>
              <w:fldChar w:fldCharType="end"/>
            </w:r>
          </w:hyperlink>
        </w:p>
        <w:p w:rsidR="00D509B4" w:rsidRPr="00AF54D5" w:rsidRDefault="000812AB" w:rsidP="00D509B4">
          <w:pPr>
            <w:pStyle w:val="TOC2"/>
            <w:tabs>
              <w:tab w:val="right" w:leader="dot" w:pos="9350"/>
            </w:tabs>
            <w:rPr>
              <w:noProof/>
              <w:sz w:val="22"/>
              <w:szCs w:val="22"/>
              <w:lang w:bidi="ar-SA"/>
            </w:rPr>
          </w:pPr>
          <w:hyperlink w:anchor="_Toc59892033" w:history="1">
            <w:r w:rsidR="00D509B4" w:rsidRPr="00AF54D5">
              <w:rPr>
                <w:rStyle w:val="Hyperlink"/>
                <w:noProof/>
                <w:rtl/>
              </w:rPr>
              <w:t>مورد دوم: موضع السوار</w:t>
            </w:r>
            <w:r w:rsidR="00D509B4" w:rsidRPr="00AF54D5">
              <w:rPr>
                <w:noProof/>
                <w:webHidden/>
              </w:rPr>
              <w:tab/>
            </w:r>
            <w:r w:rsidR="00D509B4" w:rsidRPr="00AF54D5">
              <w:rPr>
                <w:noProof/>
                <w:webHidden/>
              </w:rPr>
              <w:fldChar w:fldCharType="begin"/>
            </w:r>
            <w:r w:rsidR="00D509B4" w:rsidRPr="00AF54D5">
              <w:rPr>
                <w:noProof/>
                <w:webHidden/>
              </w:rPr>
              <w:instrText xml:space="preserve"> PAGEREF _Toc59892033 \h </w:instrText>
            </w:r>
            <w:r w:rsidR="00D509B4" w:rsidRPr="00AF54D5">
              <w:rPr>
                <w:noProof/>
                <w:webHidden/>
              </w:rPr>
            </w:r>
            <w:r w:rsidR="00D509B4" w:rsidRPr="00AF54D5">
              <w:rPr>
                <w:noProof/>
                <w:webHidden/>
              </w:rPr>
              <w:fldChar w:fldCharType="separate"/>
            </w:r>
            <w:r w:rsidR="00D509B4" w:rsidRPr="00AF54D5">
              <w:rPr>
                <w:noProof/>
                <w:webHidden/>
              </w:rPr>
              <w:t>4</w:t>
            </w:r>
            <w:r w:rsidR="00D509B4" w:rsidRPr="00AF54D5">
              <w:rPr>
                <w:noProof/>
                <w:webHidden/>
              </w:rPr>
              <w:fldChar w:fldCharType="end"/>
            </w:r>
          </w:hyperlink>
        </w:p>
        <w:p w:rsidR="00D509B4" w:rsidRPr="00AF54D5" w:rsidRDefault="000812AB" w:rsidP="00D509B4">
          <w:pPr>
            <w:pStyle w:val="TOC3"/>
            <w:rPr>
              <w:rFonts w:eastAsiaTheme="minorEastAsia"/>
              <w:noProof/>
              <w:sz w:val="22"/>
              <w:szCs w:val="22"/>
              <w:lang w:bidi="ar-SA"/>
            </w:rPr>
          </w:pPr>
          <w:hyperlink w:anchor="_Toc59892034" w:history="1">
            <w:r w:rsidR="00D509B4" w:rsidRPr="00AF54D5">
              <w:rPr>
                <w:rStyle w:val="Hyperlink"/>
                <w:noProof/>
                <w:rtl/>
              </w:rPr>
              <w:t>استدلال اول بر جواز:</w:t>
            </w:r>
            <w:r w:rsidR="00D509B4" w:rsidRPr="00AF54D5">
              <w:rPr>
                <w:noProof/>
                <w:webHidden/>
              </w:rPr>
              <w:tab/>
            </w:r>
            <w:r w:rsidR="00D509B4" w:rsidRPr="00AF54D5">
              <w:rPr>
                <w:noProof/>
                <w:webHidden/>
              </w:rPr>
              <w:fldChar w:fldCharType="begin"/>
            </w:r>
            <w:r w:rsidR="00D509B4" w:rsidRPr="00AF54D5">
              <w:rPr>
                <w:noProof/>
                <w:webHidden/>
              </w:rPr>
              <w:instrText xml:space="preserve"> PAGEREF _Toc59892034 \h </w:instrText>
            </w:r>
            <w:r w:rsidR="00D509B4" w:rsidRPr="00AF54D5">
              <w:rPr>
                <w:noProof/>
                <w:webHidden/>
              </w:rPr>
            </w:r>
            <w:r w:rsidR="00D509B4" w:rsidRPr="00AF54D5">
              <w:rPr>
                <w:noProof/>
                <w:webHidden/>
              </w:rPr>
              <w:fldChar w:fldCharType="separate"/>
            </w:r>
            <w:r w:rsidR="00D509B4" w:rsidRPr="00AF54D5">
              <w:rPr>
                <w:noProof/>
                <w:webHidden/>
              </w:rPr>
              <w:t>4</w:t>
            </w:r>
            <w:r w:rsidR="00D509B4" w:rsidRPr="00AF54D5">
              <w:rPr>
                <w:noProof/>
                <w:webHidden/>
              </w:rPr>
              <w:fldChar w:fldCharType="end"/>
            </w:r>
          </w:hyperlink>
        </w:p>
        <w:p w:rsidR="00D509B4" w:rsidRPr="00AF54D5" w:rsidRDefault="000812AB" w:rsidP="00D509B4">
          <w:pPr>
            <w:pStyle w:val="TOC3"/>
            <w:rPr>
              <w:rFonts w:eastAsiaTheme="minorEastAsia"/>
              <w:noProof/>
              <w:sz w:val="22"/>
              <w:szCs w:val="22"/>
              <w:lang w:bidi="ar-SA"/>
            </w:rPr>
          </w:pPr>
          <w:hyperlink w:anchor="_Toc59892035" w:history="1">
            <w:r w:rsidR="00D509B4" w:rsidRPr="00AF54D5">
              <w:rPr>
                <w:rStyle w:val="Hyperlink"/>
                <w:noProof/>
                <w:rtl/>
              </w:rPr>
              <w:t>استدلال دوم بر جواز</w:t>
            </w:r>
            <w:r w:rsidR="00D509B4" w:rsidRPr="00AF54D5">
              <w:rPr>
                <w:noProof/>
                <w:webHidden/>
              </w:rPr>
              <w:tab/>
            </w:r>
            <w:r w:rsidR="00D509B4" w:rsidRPr="00AF54D5">
              <w:rPr>
                <w:noProof/>
                <w:webHidden/>
              </w:rPr>
              <w:fldChar w:fldCharType="begin"/>
            </w:r>
            <w:r w:rsidR="00D509B4" w:rsidRPr="00AF54D5">
              <w:rPr>
                <w:noProof/>
                <w:webHidden/>
              </w:rPr>
              <w:instrText xml:space="preserve"> PAGEREF _Toc59892035 \h </w:instrText>
            </w:r>
            <w:r w:rsidR="00D509B4" w:rsidRPr="00AF54D5">
              <w:rPr>
                <w:noProof/>
                <w:webHidden/>
              </w:rPr>
            </w:r>
            <w:r w:rsidR="00D509B4" w:rsidRPr="00AF54D5">
              <w:rPr>
                <w:noProof/>
                <w:webHidden/>
              </w:rPr>
              <w:fldChar w:fldCharType="separate"/>
            </w:r>
            <w:r w:rsidR="00D509B4" w:rsidRPr="00AF54D5">
              <w:rPr>
                <w:noProof/>
                <w:webHidden/>
              </w:rPr>
              <w:t>5</w:t>
            </w:r>
            <w:r w:rsidR="00D509B4" w:rsidRPr="00AF54D5">
              <w:rPr>
                <w:noProof/>
                <w:webHidden/>
              </w:rPr>
              <w:fldChar w:fldCharType="end"/>
            </w:r>
          </w:hyperlink>
        </w:p>
        <w:p w:rsidR="00D509B4" w:rsidRPr="00AF54D5" w:rsidRDefault="000812AB" w:rsidP="00D509B4">
          <w:pPr>
            <w:pStyle w:val="TOC3"/>
            <w:rPr>
              <w:rFonts w:eastAsiaTheme="minorEastAsia"/>
              <w:noProof/>
              <w:sz w:val="22"/>
              <w:szCs w:val="22"/>
              <w:lang w:bidi="ar-SA"/>
            </w:rPr>
          </w:pPr>
          <w:hyperlink w:anchor="_Toc59892036" w:history="1">
            <w:r w:rsidR="00D509B4" w:rsidRPr="00AF54D5">
              <w:rPr>
                <w:rStyle w:val="Hyperlink"/>
                <w:noProof/>
                <w:rtl/>
              </w:rPr>
              <w:t>استدلال سوم بر جواز:</w:t>
            </w:r>
            <w:r w:rsidR="00D509B4" w:rsidRPr="00AF54D5">
              <w:rPr>
                <w:noProof/>
                <w:webHidden/>
              </w:rPr>
              <w:tab/>
            </w:r>
            <w:r w:rsidR="00D509B4" w:rsidRPr="00AF54D5">
              <w:rPr>
                <w:noProof/>
                <w:webHidden/>
              </w:rPr>
              <w:fldChar w:fldCharType="begin"/>
            </w:r>
            <w:r w:rsidR="00D509B4" w:rsidRPr="00AF54D5">
              <w:rPr>
                <w:noProof/>
                <w:webHidden/>
              </w:rPr>
              <w:instrText xml:space="preserve"> PAGEREF _Toc59892036 \h </w:instrText>
            </w:r>
            <w:r w:rsidR="00D509B4" w:rsidRPr="00AF54D5">
              <w:rPr>
                <w:noProof/>
                <w:webHidden/>
              </w:rPr>
            </w:r>
            <w:r w:rsidR="00D509B4" w:rsidRPr="00AF54D5">
              <w:rPr>
                <w:noProof/>
                <w:webHidden/>
              </w:rPr>
              <w:fldChar w:fldCharType="separate"/>
            </w:r>
            <w:r w:rsidR="00D509B4" w:rsidRPr="00AF54D5">
              <w:rPr>
                <w:noProof/>
                <w:webHidden/>
              </w:rPr>
              <w:t>5</w:t>
            </w:r>
            <w:r w:rsidR="00D509B4" w:rsidRPr="00AF54D5">
              <w:rPr>
                <w:noProof/>
                <w:webHidden/>
              </w:rPr>
              <w:fldChar w:fldCharType="end"/>
            </w:r>
          </w:hyperlink>
        </w:p>
        <w:p w:rsidR="00D509B4" w:rsidRPr="00AF54D5" w:rsidRDefault="000812AB" w:rsidP="00D509B4">
          <w:pPr>
            <w:pStyle w:val="TOC2"/>
            <w:tabs>
              <w:tab w:val="right" w:leader="dot" w:pos="9350"/>
            </w:tabs>
            <w:rPr>
              <w:noProof/>
              <w:sz w:val="22"/>
              <w:szCs w:val="22"/>
              <w:lang w:bidi="ar-SA"/>
            </w:rPr>
          </w:pPr>
          <w:hyperlink w:anchor="_Toc59892037" w:history="1">
            <w:r w:rsidR="00D509B4" w:rsidRPr="00AF54D5">
              <w:rPr>
                <w:rStyle w:val="Hyperlink"/>
                <w:noProof/>
                <w:rtl/>
              </w:rPr>
              <w:t>مورد سوم: چانه</w:t>
            </w:r>
            <w:r w:rsidR="00D509B4" w:rsidRPr="00AF54D5">
              <w:rPr>
                <w:noProof/>
                <w:webHidden/>
              </w:rPr>
              <w:tab/>
            </w:r>
            <w:r w:rsidR="00D509B4" w:rsidRPr="00AF54D5">
              <w:rPr>
                <w:noProof/>
                <w:webHidden/>
              </w:rPr>
              <w:fldChar w:fldCharType="begin"/>
            </w:r>
            <w:r w:rsidR="00D509B4" w:rsidRPr="00AF54D5">
              <w:rPr>
                <w:noProof/>
                <w:webHidden/>
              </w:rPr>
              <w:instrText xml:space="preserve"> PAGEREF _Toc59892037 \h </w:instrText>
            </w:r>
            <w:r w:rsidR="00D509B4" w:rsidRPr="00AF54D5">
              <w:rPr>
                <w:noProof/>
                <w:webHidden/>
              </w:rPr>
            </w:r>
            <w:r w:rsidR="00D509B4" w:rsidRPr="00AF54D5">
              <w:rPr>
                <w:noProof/>
                <w:webHidden/>
              </w:rPr>
              <w:fldChar w:fldCharType="separate"/>
            </w:r>
            <w:r w:rsidR="00D509B4" w:rsidRPr="00AF54D5">
              <w:rPr>
                <w:noProof/>
                <w:webHidden/>
              </w:rPr>
              <w:t>7</w:t>
            </w:r>
            <w:r w:rsidR="00D509B4" w:rsidRPr="00AF54D5">
              <w:rPr>
                <w:noProof/>
                <w:webHidden/>
              </w:rPr>
              <w:fldChar w:fldCharType="end"/>
            </w:r>
          </w:hyperlink>
        </w:p>
        <w:p w:rsidR="00D509B4" w:rsidRPr="00AF54D5" w:rsidRDefault="00D509B4">
          <w:r w:rsidRPr="00AF54D5">
            <w:rPr>
              <w:b/>
              <w:bCs/>
              <w:noProof/>
            </w:rPr>
            <w:fldChar w:fldCharType="end"/>
          </w:r>
        </w:p>
      </w:sdtContent>
    </w:sdt>
    <w:p w:rsidR="00D14C56" w:rsidRPr="00AF54D5" w:rsidRDefault="00D14C56" w:rsidP="00D30BB4">
      <w:pPr>
        <w:rPr>
          <w:rtl/>
        </w:rPr>
      </w:pPr>
    </w:p>
    <w:p w:rsidR="00D14C56" w:rsidRPr="00AF54D5" w:rsidRDefault="00D14C56">
      <w:pPr>
        <w:bidi w:val="0"/>
        <w:spacing w:after="0"/>
        <w:ind w:firstLine="0"/>
        <w:jc w:val="left"/>
        <w:rPr>
          <w:rtl/>
        </w:rPr>
      </w:pPr>
      <w:r w:rsidRPr="00AF54D5">
        <w:rPr>
          <w:rtl/>
        </w:rPr>
        <w:br w:type="page"/>
      </w:r>
    </w:p>
    <w:p w:rsidR="002267D3" w:rsidRPr="00AF54D5" w:rsidRDefault="002267D3" w:rsidP="002267D3">
      <w:pPr>
        <w:jc w:val="center"/>
      </w:pPr>
      <w:bookmarkStart w:id="0" w:name="_Toc55762589"/>
      <w:bookmarkStart w:id="1" w:name="_Toc52629501"/>
      <w:r w:rsidRPr="00AF54D5">
        <w:rPr>
          <w:rFonts w:hint="cs"/>
          <w:rtl/>
        </w:rPr>
        <w:lastRenderedPageBreak/>
        <w:t>بسم الله الرحمن الرحیم</w:t>
      </w:r>
    </w:p>
    <w:p w:rsidR="002267D3" w:rsidRPr="00AF54D5" w:rsidRDefault="002267D3" w:rsidP="002267D3">
      <w:pPr>
        <w:pStyle w:val="Heading1"/>
        <w:rPr>
          <w:szCs w:val="44"/>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AF54D5">
        <w:rPr>
          <w:rFonts w:hint="cs"/>
          <w:szCs w:val="44"/>
          <w:rtl/>
        </w:rPr>
        <w:t xml:space="preserve">موضوع: </w:t>
      </w:r>
      <w:r w:rsidRPr="00AF54D5">
        <w:rPr>
          <w:rFonts w:hint="cs"/>
          <w:color w:val="000000" w:themeColor="text1"/>
          <w:szCs w:val="44"/>
          <w:rtl/>
        </w:rPr>
        <w:t>فقه / نکاح</w:t>
      </w:r>
      <w:bookmarkEnd w:id="2"/>
      <w:bookmarkEnd w:id="3"/>
      <w:bookmarkEnd w:id="4"/>
      <w:bookmarkEnd w:id="5"/>
      <w:bookmarkEnd w:id="6"/>
      <w:bookmarkEnd w:id="7"/>
      <w:bookmarkEnd w:id="8"/>
      <w:bookmarkEnd w:id="9"/>
    </w:p>
    <w:p w:rsidR="002267D3" w:rsidRPr="00AF54D5" w:rsidRDefault="002267D3" w:rsidP="002267D3">
      <w:pPr>
        <w:pStyle w:val="Heading1"/>
        <w:rPr>
          <w:rtl/>
        </w:rPr>
      </w:pPr>
      <w:bookmarkStart w:id="10" w:name="_Toc58837279"/>
      <w:bookmarkEnd w:id="0"/>
      <w:bookmarkEnd w:id="1"/>
      <w:r w:rsidRPr="00AF54D5">
        <w:rPr>
          <w:rFonts w:hint="cs"/>
          <w:rtl/>
        </w:rPr>
        <w:t>مقدمه</w:t>
      </w:r>
      <w:bookmarkEnd w:id="10"/>
    </w:p>
    <w:p w:rsidR="00D30BB4" w:rsidRPr="00AF54D5" w:rsidRDefault="00D30BB4" w:rsidP="00D509B4">
      <w:pPr>
        <w:rPr>
          <w:rtl/>
        </w:rPr>
      </w:pPr>
      <w:r w:rsidRPr="00AF54D5">
        <w:rPr>
          <w:rFonts w:hint="cs"/>
          <w:rtl/>
        </w:rPr>
        <w:t xml:space="preserve">در ذیل مسئله 31 به مقام چهارم در </w:t>
      </w:r>
      <w:r w:rsidR="00D509B4" w:rsidRPr="00AF54D5">
        <w:rPr>
          <w:rFonts w:hint="cs"/>
          <w:rtl/>
        </w:rPr>
        <w:t>تقسیم‌بندی</w:t>
      </w:r>
      <w:r w:rsidRPr="00AF54D5">
        <w:rPr>
          <w:rFonts w:hint="cs"/>
          <w:rtl/>
        </w:rPr>
        <w:t xml:space="preserve"> ما از مباحث نظر پرداختیم. مقام چهارم نگاه مرد به وجه و کفین اجنبیه بود. در این مقام </w:t>
      </w:r>
      <w:r w:rsidR="00D509B4" w:rsidRPr="00AF54D5">
        <w:rPr>
          <w:rFonts w:hint="cs"/>
          <w:rtl/>
        </w:rPr>
        <w:t>همان‌طور</w:t>
      </w:r>
      <w:r w:rsidRPr="00AF54D5">
        <w:rPr>
          <w:rFonts w:hint="cs"/>
          <w:rtl/>
        </w:rPr>
        <w:t xml:space="preserve"> که ملاحظه کردید سه قول مهم و دارای قائل در میان فقها بود و این سه قول هم بر اساس سه طایفه از روایات بود. در این مبحث هم طایفه مانعه هم مجوزه هم مفصله را بحث کردیم و </w:t>
      </w:r>
      <w:r w:rsidR="00D509B4" w:rsidRPr="00AF54D5">
        <w:rPr>
          <w:rFonts w:hint="cs"/>
          <w:rtl/>
        </w:rPr>
        <w:t>نهایتاً</w:t>
      </w:r>
      <w:r w:rsidRPr="00AF54D5">
        <w:rPr>
          <w:rFonts w:hint="cs"/>
          <w:rtl/>
        </w:rPr>
        <w:t xml:space="preserve"> این طایفه مفصله نتوانست تفصیلی را در محل بحث افاده کند. با </w:t>
      </w:r>
      <w:r w:rsidR="00D509B4" w:rsidRPr="00AF54D5">
        <w:rPr>
          <w:rFonts w:hint="cs"/>
          <w:rtl/>
        </w:rPr>
        <w:t>تقریرها</w:t>
      </w:r>
      <w:r w:rsidRPr="00AF54D5">
        <w:rPr>
          <w:rFonts w:hint="cs"/>
          <w:rtl/>
        </w:rPr>
        <w:t xml:space="preserve"> و بیانات مختلفی که عرض شد. طایفه مانعه هم پاسخ داده شد</w:t>
      </w:r>
      <w:r w:rsidR="002267D3" w:rsidRPr="00AF54D5">
        <w:rPr>
          <w:rtl/>
        </w:rPr>
        <w:t xml:space="preserve">؛ </w:t>
      </w:r>
      <w:r w:rsidRPr="00AF54D5">
        <w:rPr>
          <w:rFonts w:hint="cs"/>
          <w:rtl/>
        </w:rPr>
        <w:t xml:space="preserve">بنابراین طایفه مجوزه ترجیح پیدا </w:t>
      </w:r>
      <w:r w:rsidR="00D509B4" w:rsidRPr="00AF54D5">
        <w:rPr>
          <w:rFonts w:hint="cs"/>
          <w:rtl/>
        </w:rPr>
        <w:t>می‌کند</w:t>
      </w:r>
      <w:r w:rsidRPr="00AF54D5">
        <w:rPr>
          <w:rFonts w:hint="cs"/>
          <w:rtl/>
        </w:rPr>
        <w:t xml:space="preserve">. حاصل کلام در مقام رابع که نظر الی الوجه و الکفین من الاجنبیه باشد جواز است. در ذیل این مبحث قبل آنکه به مقامات بعد بپردازیم چند فرع مناسبت است </w:t>
      </w:r>
      <w:r w:rsidR="00D509B4" w:rsidRPr="00AF54D5">
        <w:rPr>
          <w:rFonts w:hint="cs"/>
          <w:rtl/>
        </w:rPr>
        <w:t>موردتوجه</w:t>
      </w:r>
      <w:r w:rsidRPr="00AF54D5">
        <w:rPr>
          <w:rFonts w:hint="cs"/>
          <w:rtl/>
        </w:rPr>
        <w:t xml:space="preserve"> قرار گیرد.</w:t>
      </w:r>
    </w:p>
    <w:p w:rsidR="00D509B4" w:rsidRPr="00AF54D5" w:rsidRDefault="00D30BB4" w:rsidP="00D509B4">
      <w:pPr>
        <w:pStyle w:val="Heading1"/>
        <w:rPr>
          <w:rtl/>
        </w:rPr>
      </w:pPr>
      <w:bookmarkStart w:id="11" w:name="_Toc59892029"/>
      <w:r w:rsidRPr="00AF54D5">
        <w:rPr>
          <w:rFonts w:hint="cs"/>
          <w:rtl/>
        </w:rPr>
        <w:t>فرع اول:</w:t>
      </w:r>
      <w:r w:rsidR="00D509B4" w:rsidRPr="00AF54D5">
        <w:rPr>
          <w:rFonts w:hint="cs"/>
          <w:rtl/>
        </w:rPr>
        <w:t xml:space="preserve"> موارد ملحق به جواز نظر</w:t>
      </w:r>
      <w:bookmarkEnd w:id="11"/>
    </w:p>
    <w:p w:rsidR="00D30BB4" w:rsidRPr="00AF54D5" w:rsidRDefault="00D30BB4" w:rsidP="00D30BB4">
      <w:pPr>
        <w:rPr>
          <w:rtl/>
        </w:rPr>
      </w:pPr>
    </w:p>
    <w:p w:rsidR="00D509B4" w:rsidRPr="00AF54D5" w:rsidRDefault="00D30BB4" w:rsidP="00D30BB4">
      <w:pPr>
        <w:rPr>
          <w:rtl/>
        </w:rPr>
      </w:pPr>
      <w:r w:rsidRPr="00AF54D5">
        <w:rPr>
          <w:rFonts w:hint="cs"/>
          <w:rtl/>
        </w:rPr>
        <w:t xml:space="preserve">در مورد غیر وجه و کفین است. بنابر این قولی که ترجیح داده شد نگاه به وجه و کفین مستثنی است و جایز است. </w:t>
      </w:r>
      <w:r w:rsidR="00D509B4" w:rsidRPr="00AF54D5">
        <w:rPr>
          <w:rFonts w:hint="cs"/>
          <w:rtl/>
        </w:rPr>
        <w:t>سؤالی</w:t>
      </w:r>
      <w:r w:rsidRPr="00AF54D5">
        <w:rPr>
          <w:rFonts w:hint="cs"/>
          <w:rtl/>
        </w:rPr>
        <w:t xml:space="preserve"> که در این فرع اول مطرح است این است که علاوه بر این قدمین یا مواضع دیگری هم هست که ملحق به وجه و کفین شود و مستثنی از حرمت نظر شود یا </w:t>
      </w:r>
      <w:r w:rsidR="00D509B4" w:rsidRPr="00AF54D5">
        <w:rPr>
          <w:rFonts w:hint="cs"/>
          <w:rtl/>
        </w:rPr>
        <w:t>به‌عبارت‌دیگر</w:t>
      </w:r>
      <w:r w:rsidRPr="00AF54D5">
        <w:rPr>
          <w:rFonts w:hint="cs"/>
          <w:rtl/>
        </w:rPr>
        <w:t xml:space="preserve"> نگاه به آن جایز باشد یا اینکه </w:t>
      </w:r>
      <w:r w:rsidR="00D509B4" w:rsidRPr="00AF54D5">
        <w:rPr>
          <w:rFonts w:hint="cs"/>
          <w:rtl/>
        </w:rPr>
        <w:t>این‌طور</w:t>
      </w:r>
      <w:r w:rsidRPr="00AF54D5">
        <w:rPr>
          <w:rFonts w:hint="cs"/>
          <w:rtl/>
        </w:rPr>
        <w:t xml:space="preserve"> نیست؟</w:t>
      </w:r>
    </w:p>
    <w:p w:rsidR="00D509B4" w:rsidRPr="00AF54D5" w:rsidRDefault="00D509B4" w:rsidP="00D509B4">
      <w:pPr>
        <w:pStyle w:val="Heading2"/>
        <w:rPr>
          <w:rFonts w:ascii="Traditional Arabic" w:hAnsi="Traditional Arabic" w:cs="Traditional Arabic"/>
          <w:rtl/>
        </w:rPr>
      </w:pPr>
      <w:bookmarkStart w:id="12" w:name="_Toc59892030"/>
      <w:r w:rsidRPr="00AF54D5">
        <w:rPr>
          <w:rFonts w:ascii="Traditional Arabic" w:hAnsi="Traditional Arabic" w:cs="Traditional Arabic" w:hint="cs"/>
          <w:rtl/>
        </w:rPr>
        <w:t>مورد اول: قدمان:</w:t>
      </w:r>
      <w:bookmarkEnd w:id="12"/>
    </w:p>
    <w:p w:rsidR="00D509B4" w:rsidRPr="00AF54D5" w:rsidRDefault="00D509B4" w:rsidP="00D509B4">
      <w:pPr>
        <w:pStyle w:val="Heading3"/>
        <w:rPr>
          <w:rtl/>
        </w:rPr>
      </w:pPr>
      <w:bookmarkStart w:id="13" w:name="_Toc59892031"/>
      <w:r w:rsidRPr="00AF54D5">
        <w:rPr>
          <w:rFonts w:hint="cs"/>
          <w:rtl/>
        </w:rPr>
        <w:t>استدلال اول بر جواز</w:t>
      </w:r>
      <w:bookmarkEnd w:id="13"/>
    </w:p>
    <w:p w:rsidR="00D30BB4" w:rsidRPr="00AF54D5" w:rsidRDefault="00D30BB4" w:rsidP="00D30BB4">
      <w:pPr>
        <w:rPr>
          <w:rtl/>
        </w:rPr>
      </w:pPr>
      <w:r w:rsidRPr="00AF54D5">
        <w:rPr>
          <w:rFonts w:hint="cs"/>
          <w:rtl/>
        </w:rPr>
        <w:t xml:space="preserve">در اینجا اگر خاطر شریفتان باشد در بعضی ادله سابق علاوه بر وجه و کفین چیزهای دیگری هم </w:t>
      </w:r>
      <w:r w:rsidR="00D509B4" w:rsidRPr="00AF54D5">
        <w:rPr>
          <w:rFonts w:hint="cs"/>
          <w:rtl/>
        </w:rPr>
        <w:t>افزوده‌شده</w:t>
      </w:r>
      <w:r w:rsidRPr="00AF54D5">
        <w:rPr>
          <w:rFonts w:hint="cs"/>
          <w:rtl/>
        </w:rPr>
        <w:t xml:space="preserve"> بود که دو مورد است که روایت ناظر به </w:t>
      </w:r>
      <w:r w:rsidR="002267D3" w:rsidRPr="00AF54D5">
        <w:rPr>
          <w:rFonts w:hint="cs"/>
          <w:rtl/>
        </w:rPr>
        <w:t>آن‌ها</w:t>
      </w:r>
      <w:r w:rsidRPr="00AF54D5">
        <w:rPr>
          <w:rFonts w:hint="cs"/>
          <w:rtl/>
        </w:rPr>
        <w:t xml:space="preserve"> بود. یکی قدمان بود. در روایاتی که مجوزه بودند و نگاه به وجه و کفین را تجویز </w:t>
      </w:r>
      <w:r w:rsidR="00D509B4" w:rsidRPr="00AF54D5">
        <w:rPr>
          <w:rFonts w:hint="cs"/>
          <w:rtl/>
        </w:rPr>
        <w:t>می‌کردند</w:t>
      </w:r>
      <w:r w:rsidRPr="00AF54D5">
        <w:rPr>
          <w:rFonts w:hint="cs"/>
          <w:rtl/>
        </w:rPr>
        <w:t xml:space="preserve"> </w:t>
      </w:r>
      <w:r w:rsidR="00D509B4" w:rsidRPr="00AF54D5">
        <w:rPr>
          <w:rFonts w:hint="cs"/>
          <w:rtl/>
        </w:rPr>
        <w:t>ظاهراً</w:t>
      </w:r>
      <w:r w:rsidRPr="00AF54D5">
        <w:rPr>
          <w:rFonts w:hint="cs"/>
          <w:rtl/>
        </w:rPr>
        <w:t xml:space="preserve"> در یک روایت علاوه بر وجه و کفان قدمان هم بود. دلیل چهارم از ادله مجوزه بود که مرسله مروک ابن عبید بود. در وسائل باب 109 از مقدمات نکاح حدیث 2 از کافی نقل شده بود:</w:t>
      </w:r>
    </w:p>
    <w:p w:rsidR="00D30BB4" w:rsidRPr="00AF54D5" w:rsidRDefault="00D30BB4" w:rsidP="002267D3">
      <w:pPr>
        <w:pStyle w:val="NormalWeb"/>
        <w:bidi/>
        <w:rPr>
          <w:rFonts w:ascii="Traditional Arabic" w:eastAsia="2  Badr" w:hAnsi="Traditional Arabic" w:cs="Traditional Arabic"/>
          <w:sz w:val="28"/>
          <w:szCs w:val="28"/>
          <w:rtl/>
          <w:lang w:bidi="fa-IR"/>
        </w:rPr>
      </w:pPr>
      <w:r w:rsidRPr="00AF54D5">
        <w:rPr>
          <w:rFonts w:ascii="Traditional Arabic" w:eastAsia="2  Badr" w:hAnsi="Traditional Arabic" w:cs="Traditional Arabic" w:hint="cs"/>
          <w:sz w:val="28"/>
          <w:szCs w:val="28"/>
          <w:rtl/>
          <w:lang w:bidi="fa-IR"/>
        </w:rPr>
        <w:t xml:space="preserve">وَ عَنْ مُحَمَّدِ بْنِ يَحْيَى عَنْ أَحْمَدَ بْنِ مُحَمَّدِ بْنِ عِيسَى عَنْ مَرْوَكِ بْنِ عُبَيْدٍ عَنْ بَپعْضِ أَصْحَابِنَا عَنْ أَبِي عَبْدِ اللَّهِ ع قَالَ: </w:t>
      </w:r>
      <w:r w:rsidR="002267D3" w:rsidRPr="00AF54D5">
        <w:rPr>
          <w:rFonts w:ascii="Traditional Arabic" w:eastAsia="2  Badr" w:hAnsi="Traditional Arabic" w:cs="Traditional Arabic" w:hint="cs"/>
          <w:sz w:val="28"/>
          <w:szCs w:val="28"/>
          <w:rtl/>
          <w:lang w:bidi="fa-IR"/>
        </w:rPr>
        <w:t>«</w:t>
      </w:r>
      <w:r w:rsidRPr="00AF54D5">
        <w:rPr>
          <w:rFonts w:ascii="Traditional Arabic" w:eastAsia="2  Badr" w:hAnsi="Traditional Arabic" w:cs="Traditional Arabic" w:hint="cs"/>
          <w:color w:val="008000"/>
          <w:sz w:val="28"/>
          <w:szCs w:val="28"/>
          <w:rtl/>
          <w:lang w:bidi="fa-IR"/>
        </w:rPr>
        <w:t>قُلْتُ لَهُ مَا يَحِلُ‏ لِلرَّجُلِ‏ أَنْ‏ يرَى‏ مِنَ الْمَرْأَةِ إِذَا لَمْ يَكُنْ مَحْرَماً قَالَ الْوَجْهُ وَ الْكَفَّانِ وَ الْقَدَمَانِ</w:t>
      </w:r>
      <w:r w:rsidR="002267D3" w:rsidRPr="00AF54D5">
        <w:rPr>
          <w:rFonts w:ascii="Traditional Arabic" w:eastAsia="2  Badr" w:hAnsi="Traditional Arabic" w:cs="Traditional Arabic" w:hint="cs"/>
          <w:sz w:val="28"/>
          <w:szCs w:val="28"/>
          <w:rtl/>
          <w:lang w:bidi="fa-IR"/>
        </w:rPr>
        <w:t>»</w:t>
      </w:r>
      <w:r w:rsidRPr="00AF54D5">
        <w:rPr>
          <w:rFonts w:ascii="Traditional Arabic" w:eastAsia="2  Badr" w:hAnsi="Traditional Arabic" w:cs="Traditional Arabic" w:hint="cs"/>
          <w:sz w:val="28"/>
          <w:szCs w:val="28"/>
          <w:rtl/>
          <w:lang w:bidi="fa-IR"/>
        </w:rPr>
        <w:t>.</w:t>
      </w:r>
      <w:r w:rsidR="002267D3" w:rsidRPr="00AF54D5">
        <w:rPr>
          <w:rStyle w:val="FootnoteReference"/>
          <w:rFonts w:ascii="Traditional Arabic" w:eastAsia="2  Badr" w:hAnsi="Traditional Arabic" w:cs="Traditional Arabic"/>
          <w:sz w:val="28"/>
          <w:szCs w:val="28"/>
          <w:rtl/>
          <w:lang w:bidi="fa-IR"/>
        </w:rPr>
        <w:footnoteReference w:id="1"/>
      </w:r>
    </w:p>
    <w:p w:rsidR="00D30BB4" w:rsidRPr="00AF54D5" w:rsidRDefault="00D30BB4" w:rsidP="00D30BB4">
      <w:pPr>
        <w:rPr>
          <w:rtl/>
        </w:rPr>
      </w:pPr>
      <w:r w:rsidRPr="00AF54D5">
        <w:rPr>
          <w:rFonts w:hint="cs"/>
          <w:rtl/>
        </w:rPr>
        <w:lastRenderedPageBreak/>
        <w:t xml:space="preserve">مرحوم کلینی در کافی و صدوق در خصال نقل </w:t>
      </w:r>
      <w:r w:rsidR="00D509B4" w:rsidRPr="00AF54D5">
        <w:rPr>
          <w:rFonts w:hint="cs"/>
          <w:rtl/>
        </w:rPr>
        <w:t>کرده‌اند</w:t>
      </w:r>
      <w:r w:rsidRPr="00AF54D5">
        <w:rPr>
          <w:rFonts w:hint="cs"/>
          <w:rtl/>
        </w:rPr>
        <w:t xml:space="preserve">. ما هم در آنجا بحثی که انجام دادیم </w:t>
      </w:r>
      <w:r w:rsidR="002267D3" w:rsidRPr="00AF54D5">
        <w:rPr>
          <w:rtl/>
        </w:rPr>
        <w:t>نت</w:t>
      </w:r>
      <w:r w:rsidR="002267D3" w:rsidRPr="00AF54D5">
        <w:rPr>
          <w:rFonts w:hint="cs"/>
          <w:rtl/>
        </w:rPr>
        <w:t>ی</w:t>
      </w:r>
      <w:r w:rsidR="002267D3" w:rsidRPr="00AF54D5">
        <w:rPr>
          <w:rFonts w:hint="eastAsia"/>
          <w:rtl/>
        </w:rPr>
        <w:t>جه</w:t>
      </w:r>
      <w:r w:rsidR="002267D3" w:rsidRPr="00AF54D5">
        <w:rPr>
          <w:rtl/>
        </w:rPr>
        <w:t xml:space="preserve"> ا</w:t>
      </w:r>
      <w:r w:rsidR="002267D3" w:rsidRPr="00AF54D5">
        <w:rPr>
          <w:rFonts w:hint="cs"/>
          <w:rtl/>
        </w:rPr>
        <w:t>ی</w:t>
      </w:r>
      <w:r w:rsidR="002267D3" w:rsidRPr="00AF54D5">
        <w:rPr>
          <w:rFonts w:hint="eastAsia"/>
          <w:rtl/>
        </w:rPr>
        <w:t>ن</w:t>
      </w:r>
      <w:r w:rsidRPr="00AF54D5">
        <w:rPr>
          <w:rFonts w:hint="cs"/>
          <w:rtl/>
        </w:rPr>
        <w:t xml:space="preserve"> بود که </w:t>
      </w:r>
      <w:r w:rsidR="00D509B4" w:rsidRPr="00AF54D5">
        <w:rPr>
          <w:rFonts w:hint="cs"/>
          <w:rtl/>
        </w:rPr>
        <w:t>ازنظر</w:t>
      </w:r>
      <w:r w:rsidRPr="00AF54D5">
        <w:rPr>
          <w:rFonts w:hint="cs"/>
          <w:rtl/>
        </w:rPr>
        <w:t xml:space="preserve"> سند خالی از اشکال نیست زیرا ارسال دارد. مروک ابن عبید </w:t>
      </w:r>
      <w:r w:rsidR="00D509B4" w:rsidRPr="00AF54D5">
        <w:rPr>
          <w:rFonts w:hint="cs"/>
          <w:rtl/>
        </w:rPr>
        <w:t>می‌گوید</w:t>
      </w:r>
      <w:r w:rsidRPr="00AF54D5">
        <w:rPr>
          <w:rFonts w:hint="cs"/>
          <w:rtl/>
        </w:rPr>
        <w:t xml:space="preserve"> عن بعض اصحابنا و این ارسال را </w:t>
      </w:r>
      <w:r w:rsidR="00D509B4" w:rsidRPr="00AF54D5">
        <w:rPr>
          <w:rFonts w:hint="cs"/>
          <w:rtl/>
        </w:rPr>
        <w:t>نمی‌شود</w:t>
      </w:r>
      <w:r w:rsidRPr="00AF54D5">
        <w:rPr>
          <w:rFonts w:hint="cs"/>
          <w:rtl/>
        </w:rPr>
        <w:t xml:space="preserve"> کاری کرد و از </w:t>
      </w:r>
      <w:r w:rsidR="00D509B4" w:rsidRPr="00AF54D5">
        <w:rPr>
          <w:rFonts w:hint="cs"/>
          <w:rtl/>
        </w:rPr>
        <w:t>ارسال‌هایی</w:t>
      </w:r>
      <w:r w:rsidRPr="00AF54D5">
        <w:rPr>
          <w:rFonts w:hint="cs"/>
          <w:rtl/>
        </w:rPr>
        <w:t xml:space="preserve"> هم نیست که بشود به آن مطمئن شد. </w:t>
      </w:r>
      <w:r w:rsidR="00D509B4" w:rsidRPr="00AF54D5">
        <w:rPr>
          <w:rFonts w:hint="cs"/>
          <w:rtl/>
        </w:rPr>
        <w:t>ازلحاظ</w:t>
      </w:r>
      <w:r w:rsidRPr="00AF54D5">
        <w:rPr>
          <w:rFonts w:hint="cs"/>
          <w:rtl/>
        </w:rPr>
        <w:t xml:space="preserve"> سند مواجه با ضعف ارسال است اما </w:t>
      </w:r>
      <w:r w:rsidR="00D509B4" w:rsidRPr="00AF54D5">
        <w:rPr>
          <w:rFonts w:hint="cs"/>
          <w:rtl/>
        </w:rPr>
        <w:t>ازنظر</w:t>
      </w:r>
      <w:r w:rsidRPr="00AF54D5">
        <w:rPr>
          <w:rFonts w:hint="cs"/>
          <w:rtl/>
        </w:rPr>
        <w:t xml:space="preserve"> دلالت در وجه و کفین دلالت تامی داشت. از روایاتی بود که دلالت واضحی بر </w:t>
      </w:r>
      <w:r w:rsidR="00D509B4" w:rsidRPr="00AF54D5">
        <w:rPr>
          <w:rFonts w:hint="cs"/>
          <w:rtl/>
        </w:rPr>
        <w:t>جواز نظر</w:t>
      </w:r>
      <w:r w:rsidRPr="00AF54D5">
        <w:rPr>
          <w:rFonts w:hint="cs"/>
          <w:rtl/>
        </w:rPr>
        <w:t xml:space="preserve"> به وجه و کفین داشت که علاوه بر وجه و کفین قدمین را هم بیان کرده بودند.</w:t>
      </w:r>
    </w:p>
    <w:p w:rsidR="002A0E06" w:rsidRPr="00AF54D5" w:rsidRDefault="00D30BB4" w:rsidP="002A0E06">
      <w:pPr>
        <w:rPr>
          <w:rtl/>
        </w:rPr>
      </w:pPr>
      <w:r w:rsidRPr="00AF54D5">
        <w:rPr>
          <w:rFonts w:hint="cs"/>
          <w:rtl/>
        </w:rPr>
        <w:t>آنجا</w:t>
      </w:r>
      <w:r w:rsidR="002A0E06" w:rsidRPr="00AF54D5">
        <w:rPr>
          <w:rFonts w:hint="cs"/>
          <w:rtl/>
        </w:rPr>
        <w:t xml:space="preserve"> اشکالاتی که به دلالت روایت </w:t>
      </w:r>
      <w:r w:rsidR="00D509B4" w:rsidRPr="00AF54D5">
        <w:rPr>
          <w:rFonts w:hint="cs"/>
          <w:rtl/>
        </w:rPr>
        <w:t>می‌شد</w:t>
      </w:r>
      <w:r w:rsidR="002A0E06" w:rsidRPr="00AF54D5">
        <w:rPr>
          <w:rFonts w:hint="cs"/>
          <w:rtl/>
        </w:rPr>
        <w:t xml:space="preserve"> چند تا بود که پاسخ دادیم. یکی از اشکالات این بود که این روایت علاوه بر وجه و کفین شامل قدمین هم هست و اجماع داریم بر اینکه نگاه به قدمین جایز نیست. پاسخ داده شد که </w:t>
      </w:r>
      <w:r w:rsidR="00D509B4" w:rsidRPr="00AF54D5">
        <w:rPr>
          <w:rFonts w:hint="cs"/>
          <w:rtl/>
        </w:rPr>
        <w:t>نمی‌شود</w:t>
      </w:r>
      <w:r w:rsidR="002A0E06" w:rsidRPr="00AF54D5">
        <w:rPr>
          <w:rFonts w:hint="cs"/>
          <w:rtl/>
        </w:rPr>
        <w:t xml:space="preserve"> احراز اجماعی در قدما در خصوص حرمت نظر به قدمین کرد. پس روایت از روایاتی است که </w:t>
      </w:r>
      <w:r w:rsidR="00D509B4" w:rsidRPr="00AF54D5">
        <w:rPr>
          <w:rFonts w:hint="cs"/>
          <w:rtl/>
        </w:rPr>
        <w:t>می‌گوید</w:t>
      </w:r>
      <w:r w:rsidR="002A0E06" w:rsidRPr="00AF54D5">
        <w:rPr>
          <w:rFonts w:hint="cs"/>
          <w:rtl/>
        </w:rPr>
        <w:t xml:space="preserve"> قدمان هم جایز است. این جهتی است که در این روایت است. به نظر </w:t>
      </w:r>
      <w:r w:rsidR="00D509B4" w:rsidRPr="00AF54D5">
        <w:rPr>
          <w:rFonts w:hint="cs"/>
          <w:rtl/>
        </w:rPr>
        <w:t>می‌آید</w:t>
      </w:r>
      <w:r w:rsidR="002A0E06" w:rsidRPr="00AF54D5">
        <w:rPr>
          <w:rFonts w:hint="cs"/>
          <w:rtl/>
        </w:rPr>
        <w:t xml:space="preserve"> دلالت این روایت بر </w:t>
      </w:r>
      <w:r w:rsidR="002267D3" w:rsidRPr="00AF54D5">
        <w:rPr>
          <w:rFonts w:hint="cs"/>
          <w:rtl/>
        </w:rPr>
        <w:t xml:space="preserve">جواز نظر </w:t>
      </w:r>
      <w:r w:rsidR="002A0E06" w:rsidRPr="00AF54D5">
        <w:rPr>
          <w:rFonts w:hint="cs"/>
          <w:rtl/>
        </w:rPr>
        <w:t xml:space="preserve">به قدمین تام است. ممکن است کسی مناقشه کند که سند ندارد که درست است. مناقشه دوم اینکه </w:t>
      </w:r>
      <w:r w:rsidR="002267D3" w:rsidRPr="00AF54D5">
        <w:rPr>
          <w:rFonts w:hint="cs"/>
          <w:rtl/>
        </w:rPr>
        <w:t xml:space="preserve">جواز نظر </w:t>
      </w:r>
      <w:r w:rsidR="002A0E06" w:rsidRPr="00AF54D5">
        <w:rPr>
          <w:rFonts w:hint="cs"/>
          <w:rtl/>
        </w:rPr>
        <w:t xml:space="preserve">به قدمین خلاف اجماع است که این مناقشه وارد نیست زیرا اجماعی احراز نکردیم. شاید در بعضی کلمات اصحاب هم اشاره به </w:t>
      </w:r>
      <w:r w:rsidR="002267D3" w:rsidRPr="00AF54D5">
        <w:rPr>
          <w:rFonts w:hint="cs"/>
          <w:rtl/>
        </w:rPr>
        <w:t xml:space="preserve">جواز نظر </w:t>
      </w:r>
      <w:r w:rsidR="002A0E06" w:rsidRPr="00AF54D5">
        <w:rPr>
          <w:rFonts w:hint="cs"/>
          <w:rtl/>
        </w:rPr>
        <w:t>به قدمین هم شده باشد. تازه مراجعه نکردم ولی در خاطرم هست که قائل دارد</w:t>
      </w:r>
      <w:r w:rsidR="002267D3" w:rsidRPr="00AF54D5">
        <w:rPr>
          <w:rtl/>
        </w:rPr>
        <w:t>؛ بنابرا</w:t>
      </w:r>
      <w:r w:rsidR="002267D3" w:rsidRPr="00AF54D5">
        <w:rPr>
          <w:rFonts w:hint="cs"/>
          <w:rtl/>
        </w:rPr>
        <w:t>ی</w:t>
      </w:r>
      <w:r w:rsidR="002267D3" w:rsidRPr="00AF54D5">
        <w:rPr>
          <w:rFonts w:hint="eastAsia"/>
          <w:rtl/>
        </w:rPr>
        <w:t>ن</w:t>
      </w:r>
      <w:r w:rsidR="002267D3" w:rsidRPr="00AF54D5">
        <w:rPr>
          <w:rtl/>
        </w:rPr>
        <w:t xml:space="preserve"> </w:t>
      </w:r>
      <w:r w:rsidR="002267D3" w:rsidRPr="00AF54D5">
        <w:rPr>
          <w:rFonts w:hint="cs"/>
          <w:rtl/>
        </w:rPr>
        <w:t>ی</w:t>
      </w:r>
      <w:r w:rsidR="002267D3" w:rsidRPr="00AF54D5">
        <w:rPr>
          <w:rFonts w:hint="eastAsia"/>
          <w:rtl/>
        </w:rPr>
        <w:t>ک</w:t>
      </w:r>
      <w:r w:rsidR="002A0E06" w:rsidRPr="00AF54D5">
        <w:rPr>
          <w:rFonts w:hint="cs"/>
          <w:rtl/>
        </w:rPr>
        <w:t xml:space="preserve"> وجه ارسال اینجا </w:t>
      </w:r>
      <w:r w:rsidR="00D509B4" w:rsidRPr="00AF54D5">
        <w:rPr>
          <w:rFonts w:hint="cs"/>
          <w:rtl/>
        </w:rPr>
        <w:t>ارسال‌شده</w:t>
      </w:r>
      <w:r w:rsidR="002A0E06" w:rsidRPr="00AF54D5">
        <w:rPr>
          <w:rFonts w:hint="cs"/>
          <w:rtl/>
        </w:rPr>
        <w:t xml:space="preserve"> و دیگری خلاف اجماع. خیلی </w:t>
      </w:r>
      <w:r w:rsidR="00D509B4" w:rsidRPr="00AF54D5">
        <w:rPr>
          <w:rFonts w:hint="cs"/>
          <w:rtl/>
        </w:rPr>
        <w:t>وقت‌ها</w:t>
      </w:r>
      <w:r w:rsidR="002A0E06" w:rsidRPr="00AF54D5">
        <w:rPr>
          <w:rFonts w:hint="cs"/>
          <w:rtl/>
        </w:rPr>
        <w:t xml:space="preserve"> در کلمات قدما این مسئله مطرح نبوده و اینکه مطرح باشد و جمع بزرگی معتقد به عدم </w:t>
      </w:r>
      <w:r w:rsidR="002267D3" w:rsidRPr="00AF54D5">
        <w:rPr>
          <w:rFonts w:hint="cs"/>
          <w:rtl/>
        </w:rPr>
        <w:t xml:space="preserve">جواز نظر </w:t>
      </w:r>
      <w:r w:rsidR="002A0E06" w:rsidRPr="00AF54D5">
        <w:rPr>
          <w:rFonts w:hint="cs"/>
          <w:rtl/>
        </w:rPr>
        <w:t xml:space="preserve">باشند احراز نشده است. در مورد ارسال البته بر مبانی متعارف قابل پاسخ نیست مگر اینکه کسی بگوید هرچه در کافی آمده </w:t>
      </w:r>
      <w:r w:rsidR="00D509B4" w:rsidRPr="00AF54D5">
        <w:rPr>
          <w:rFonts w:hint="cs"/>
          <w:rtl/>
        </w:rPr>
        <w:t>قابل‌اعتماد</w:t>
      </w:r>
      <w:r w:rsidR="002A0E06" w:rsidRPr="00AF54D5">
        <w:rPr>
          <w:rFonts w:hint="cs"/>
          <w:rtl/>
        </w:rPr>
        <w:t xml:space="preserve"> است. کسانی به این مسئله معتقدند هم پیشینیان هم در متأخرین که </w:t>
      </w:r>
      <w:r w:rsidR="00D509B4" w:rsidRPr="00AF54D5">
        <w:rPr>
          <w:rFonts w:hint="cs"/>
          <w:rtl/>
        </w:rPr>
        <w:t>می‌گویند</w:t>
      </w:r>
      <w:r w:rsidR="002A0E06" w:rsidRPr="00AF54D5">
        <w:rPr>
          <w:rFonts w:hint="cs"/>
          <w:rtl/>
        </w:rPr>
        <w:t xml:space="preserve"> آنچه در کافی آمده معتبر است. البته اینکه بگویند هرکه نامش در کافی آمده </w:t>
      </w:r>
      <w:r w:rsidR="00D509B4" w:rsidRPr="00AF54D5">
        <w:rPr>
          <w:rFonts w:hint="cs"/>
          <w:rtl/>
        </w:rPr>
        <w:t>به‌عنوان</w:t>
      </w:r>
      <w:r w:rsidR="002A0E06" w:rsidRPr="00AF54D5">
        <w:rPr>
          <w:rFonts w:hint="cs"/>
          <w:rtl/>
        </w:rPr>
        <w:t xml:space="preserve"> توثیق عام ثقه است یک تقریر و اعتماد به همه روایات است که کمتر قائل دارد، تقریر دوم این است که مفادی که از روایات مرحوم کلینی </w:t>
      </w:r>
      <w:r w:rsidR="00D509B4" w:rsidRPr="00AF54D5">
        <w:rPr>
          <w:rFonts w:hint="cs"/>
          <w:rtl/>
        </w:rPr>
        <w:t>آورده‌اند</w:t>
      </w:r>
      <w:r w:rsidR="002A0E06" w:rsidRPr="00AF54D5">
        <w:rPr>
          <w:rFonts w:hint="cs"/>
          <w:rtl/>
        </w:rPr>
        <w:t xml:space="preserve"> در کافی موثوق به است. مفاد موثوق به است نه اینکه سند موثوق به باشد. از جهت اینکه اشتهار داشته یا اسناد دیگری داشته و امثال </w:t>
      </w:r>
      <w:r w:rsidR="00D509B4" w:rsidRPr="00AF54D5">
        <w:rPr>
          <w:rFonts w:hint="cs"/>
          <w:rtl/>
        </w:rPr>
        <w:t>این‌ها</w:t>
      </w:r>
      <w:r w:rsidR="002A0E06" w:rsidRPr="00AF54D5">
        <w:rPr>
          <w:rFonts w:hint="cs"/>
          <w:rtl/>
        </w:rPr>
        <w:t xml:space="preserve">. اگر کسی این را بگوید </w:t>
      </w:r>
      <w:r w:rsidR="00D509B4" w:rsidRPr="00AF54D5">
        <w:rPr>
          <w:rFonts w:hint="cs"/>
          <w:rtl/>
        </w:rPr>
        <w:t>طبعاً</w:t>
      </w:r>
      <w:r w:rsidR="002A0E06" w:rsidRPr="00AF54D5">
        <w:rPr>
          <w:rFonts w:hint="cs"/>
          <w:rtl/>
        </w:rPr>
        <w:t xml:space="preserve"> اشکال اول روایت هم دفع </w:t>
      </w:r>
      <w:r w:rsidR="00D509B4" w:rsidRPr="00AF54D5">
        <w:rPr>
          <w:rFonts w:hint="cs"/>
          <w:rtl/>
        </w:rPr>
        <w:t>می‌شود</w:t>
      </w:r>
      <w:r w:rsidR="002A0E06" w:rsidRPr="00AF54D5">
        <w:rPr>
          <w:rFonts w:hint="cs"/>
          <w:rtl/>
        </w:rPr>
        <w:t xml:space="preserve"> و اعتبار پیدا </w:t>
      </w:r>
      <w:r w:rsidR="00D509B4" w:rsidRPr="00AF54D5">
        <w:rPr>
          <w:rFonts w:hint="cs"/>
          <w:rtl/>
        </w:rPr>
        <w:t>می‌کند</w:t>
      </w:r>
      <w:r w:rsidR="002A0E06" w:rsidRPr="00AF54D5">
        <w:rPr>
          <w:rFonts w:hint="cs"/>
          <w:rtl/>
        </w:rPr>
        <w:t>.</w:t>
      </w:r>
    </w:p>
    <w:p w:rsidR="002A0E06" w:rsidRPr="00AF54D5" w:rsidRDefault="002A0E06" w:rsidP="002A0E06">
      <w:pPr>
        <w:rPr>
          <w:rtl/>
        </w:rPr>
      </w:pPr>
      <w:r w:rsidRPr="00AF54D5">
        <w:rPr>
          <w:rFonts w:hint="cs"/>
          <w:rtl/>
        </w:rPr>
        <w:t xml:space="preserve">این در خصوص قدمان است. غیر </w:t>
      </w:r>
      <w:r w:rsidR="00D509B4" w:rsidRPr="00AF54D5">
        <w:rPr>
          <w:rFonts w:hint="cs"/>
          <w:rtl/>
        </w:rPr>
        <w:t>این‌جایی</w:t>
      </w:r>
      <w:r w:rsidRPr="00AF54D5">
        <w:rPr>
          <w:rFonts w:hint="cs"/>
          <w:rtl/>
        </w:rPr>
        <w:t xml:space="preserve"> به خاطرم ن</w:t>
      </w:r>
      <w:r w:rsidR="00D509B4" w:rsidRPr="00AF54D5">
        <w:rPr>
          <w:rFonts w:hint="cs"/>
          <w:rtl/>
        </w:rPr>
        <w:t>می‌آید</w:t>
      </w:r>
      <w:r w:rsidRPr="00AF54D5">
        <w:rPr>
          <w:rFonts w:hint="cs"/>
          <w:rtl/>
        </w:rPr>
        <w:t xml:space="preserve"> که قدمان را هم استثنا کرده باشد و روایت </w:t>
      </w:r>
      <w:r w:rsidR="00D509B4" w:rsidRPr="00AF54D5">
        <w:rPr>
          <w:rFonts w:hint="cs"/>
          <w:rtl/>
        </w:rPr>
        <w:t>خاصه‌ای</w:t>
      </w:r>
      <w:r w:rsidRPr="00AF54D5">
        <w:rPr>
          <w:rFonts w:hint="cs"/>
          <w:rtl/>
        </w:rPr>
        <w:t xml:space="preserve"> داشته باشیم. این دلیل اول است که قدمان مستثنی هستند و اگر کسی این روایت را </w:t>
      </w:r>
      <w:r w:rsidR="002267D3" w:rsidRPr="00AF54D5">
        <w:rPr>
          <w:rFonts w:hint="cs"/>
          <w:rtl/>
        </w:rPr>
        <w:t>سنداً</w:t>
      </w:r>
      <w:r w:rsidRPr="00AF54D5">
        <w:rPr>
          <w:rFonts w:hint="cs"/>
          <w:rtl/>
        </w:rPr>
        <w:t xml:space="preserve"> بپذیرد </w:t>
      </w:r>
      <w:r w:rsidR="00D509B4" w:rsidRPr="00AF54D5">
        <w:rPr>
          <w:rFonts w:hint="cs"/>
          <w:rtl/>
        </w:rPr>
        <w:t>می‌تواند</w:t>
      </w:r>
      <w:r w:rsidRPr="00AF54D5">
        <w:rPr>
          <w:rFonts w:hint="cs"/>
          <w:rtl/>
        </w:rPr>
        <w:t xml:space="preserve"> این احتمال را بدهد. </w:t>
      </w:r>
      <w:r w:rsidR="00D509B4" w:rsidRPr="00AF54D5">
        <w:rPr>
          <w:rFonts w:hint="cs"/>
          <w:rtl/>
        </w:rPr>
        <w:t>این‌یک</w:t>
      </w:r>
      <w:r w:rsidRPr="00AF54D5">
        <w:rPr>
          <w:rFonts w:hint="cs"/>
          <w:rtl/>
        </w:rPr>
        <w:t xml:space="preserve"> راه است.</w:t>
      </w:r>
    </w:p>
    <w:p w:rsidR="00D509B4" w:rsidRPr="00AF54D5" w:rsidRDefault="00D509B4" w:rsidP="00D509B4">
      <w:pPr>
        <w:pStyle w:val="Heading3"/>
        <w:rPr>
          <w:rtl/>
        </w:rPr>
      </w:pPr>
      <w:bookmarkStart w:id="14" w:name="_Toc59892032"/>
      <w:r w:rsidRPr="00AF54D5">
        <w:rPr>
          <w:rFonts w:hint="cs"/>
          <w:rtl/>
        </w:rPr>
        <w:t>استدلال دوم بر جواز</w:t>
      </w:r>
      <w:bookmarkEnd w:id="14"/>
    </w:p>
    <w:p w:rsidR="002A0E06" w:rsidRPr="00AF54D5" w:rsidRDefault="002A0E06" w:rsidP="002A0E06">
      <w:pPr>
        <w:rPr>
          <w:rtl/>
        </w:rPr>
      </w:pPr>
      <w:r w:rsidRPr="00AF54D5">
        <w:rPr>
          <w:rFonts w:hint="cs"/>
          <w:rtl/>
        </w:rPr>
        <w:t xml:space="preserve">راه دوم این است که در قدمان بگوییم اطلاقی در حرمت نظر به اجنبیه نداریم و ادله مانعه هم از قدم منصرف است مثل دست و صورت که متعارف بوده </w:t>
      </w:r>
      <w:r w:rsidR="00D509B4" w:rsidRPr="00AF54D5">
        <w:rPr>
          <w:rFonts w:hint="cs"/>
          <w:rtl/>
        </w:rPr>
        <w:t>پوشانده</w:t>
      </w:r>
      <w:r w:rsidRPr="00AF54D5">
        <w:rPr>
          <w:rFonts w:hint="cs"/>
          <w:rtl/>
        </w:rPr>
        <w:t xml:space="preserve"> نشود. جوراب جدید است و قدیم خیلی متعارف نبوده. آنچه متعارف بوده لباس بلندی بوده که پا را هم </w:t>
      </w:r>
      <w:r w:rsidR="00D509B4" w:rsidRPr="00AF54D5">
        <w:rPr>
          <w:rFonts w:hint="cs"/>
          <w:rtl/>
        </w:rPr>
        <w:t>می‌پوشانده</w:t>
      </w:r>
      <w:r w:rsidRPr="00AF54D5">
        <w:rPr>
          <w:rFonts w:hint="cs"/>
          <w:rtl/>
        </w:rPr>
        <w:t xml:space="preserve">. </w:t>
      </w:r>
      <w:r w:rsidR="00D509B4" w:rsidRPr="00AF54D5">
        <w:rPr>
          <w:rFonts w:hint="cs"/>
          <w:rtl/>
        </w:rPr>
        <w:t>ازاین‌جهت</w:t>
      </w:r>
      <w:r w:rsidRPr="00AF54D5">
        <w:rPr>
          <w:rFonts w:hint="cs"/>
          <w:rtl/>
        </w:rPr>
        <w:t xml:space="preserve"> ممکن است دلیل دومی را هم کسی بیان کند مبنی بر مقدماتی که عرض کردم. یکی اینکه اطلاقی بر حرمت نظر الی جمیع جسد المرأه الاجنبیه نداریم. دوم اینکه در روایات مانعه هم </w:t>
      </w:r>
      <w:r w:rsidR="00D509B4" w:rsidRPr="00AF54D5">
        <w:rPr>
          <w:rFonts w:hint="cs"/>
          <w:rtl/>
        </w:rPr>
        <w:t>این‌چنین</w:t>
      </w:r>
      <w:r w:rsidRPr="00AF54D5">
        <w:rPr>
          <w:rFonts w:hint="cs"/>
          <w:rtl/>
        </w:rPr>
        <w:t xml:space="preserve"> شمولی نیست و </w:t>
      </w:r>
      <w:r w:rsidR="00D509B4" w:rsidRPr="00AF54D5">
        <w:rPr>
          <w:rFonts w:hint="cs"/>
          <w:rtl/>
        </w:rPr>
        <w:t>احیاناً</w:t>
      </w:r>
      <w:r w:rsidRPr="00AF54D5">
        <w:rPr>
          <w:rFonts w:hint="cs"/>
          <w:rtl/>
        </w:rPr>
        <w:t xml:space="preserve"> اگر هم چیزی باشد انصراف دارد. نکته سوم اینکه ممکن است کسی بگوید مکشوف بودن قدمین متعارف بوده </w:t>
      </w:r>
      <w:r w:rsidR="00260D93" w:rsidRPr="00AF54D5">
        <w:rPr>
          <w:rFonts w:hint="cs"/>
          <w:rtl/>
        </w:rPr>
        <w:t xml:space="preserve">در اینجا اگر منعی بود باید منع واضح و روشنی </w:t>
      </w:r>
      <w:r w:rsidR="00D509B4" w:rsidRPr="00AF54D5">
        <w:rPr>
          <w:rFonts w:hint="cs"/>
          <w:rtl/>
        </w:rPr>
        <w:t>می‌بود</w:t>
      </w:r>
      <w:r w:rsidR="00260D93" w:rsidRPr="00AF54D5">
        <w:rPr>
          <w:rFonts w:hint="cs"/>
          <w:rtl/>
        </w:rPr>
        <w:t>. این هم تقریر دوم است که ممکن است کسی مطرح کند. خیلی واضح نیست برای ما که تمام باشد. مقداری در آن روایات دقت مجددی باید کرد. ممکن است کسی این استدلال را هم بکند.</w:t>
      </w:r>
    </w:p>
    <w:p w:rsidR="00D509B4" w:rsidRPr="00AF54D5" w:rsidRDefault="00D509B4" w:rsidP="002A0E06">
      <w:pPr>
        <w:rPr>
          <w:rtl/>
        </w:rPr>
      </w:pPr>
    </w:p>
    <w:p w:rsidR="00D509B4" w:rsidRPr="00AF54D5" w:rsidRDefault="00D509B4" w:rsidP="00D509B4">
      <w:pPr>
        <w:pStyle w:val="Heading2"/>
        <w:rPr>
          <w:rFonts w:ascii="Traditional Arabic" w:hAnsi="Traditional Arabic" w:cs="Traditional Arabic"/>
          <w:rtl/>
        </w:rPr>
      </w:pPr>
      <w:bookmarkStart w:id="15" w:name="_Toc59892033"/>
      <w:r w:rsidRPr="00AF54D5">
        <w:rPr>
          <w:rFonts w:ascii="Traditional Arabic" w:hAnsi="Traditional Arabic" w:cs="Traditional Arabic" w:hint="cs"/>
          <w:rtl/>
        </w:rPr>
        <w:t>مورد دوم: موضع السوار</w:t>
      </w:r>
      <w:bookmarkEnd w:id="15"/>
    </w:p>
    <w:p w:rsidR="00D509B4" w:rsidRPr="00AF54D5" w:rsidRDefault="00D509B4" w:rsidP="00D509B4">
      <w:pPr>
        <w:pStyle w:val="Heading3"/>
        <w:rPr>
          <w:rtl/>
        </w:rPr>
      </w:pPr>
      <w:bookmarkStart w:id="16" w:name="_Toc59892034"/>
      <w:r w:rsidRPr="00AF54D5">
        <w:rPr>
          <w:rFonts w:hint="cs"/>
          <w:rtl/>
        </w:rPr>
        <w:t>استدلال اول بر جواز:</w:t>
      </w:r>
      <w:bookmarkEnd w:id="16"/>
    </w:p>
    <w:p w:rsidR="00260D93" w:rsidRPr="00AF54D5" w:rsidRDefault="00D509B4" w:rsidP="002A0E06">
      <w:pPr>
        <w:rPr>
          <w:rtl/>
        </w:rPr>
      </w:pPr>
      <w:r w:rsidRPr="00AF54D5">
        <w:rPr>
          <w:rFonts w:hint="cs"/>
          <w:rtl/>
        </w:rPr>
        <w:t>این‌یک</w:t>
      </w:r>
      <w:r w:rsidR="00260D93" w:rsidRPr="00AF54D5">
        <w:rPr>
          <w:rFonts w:hint="cs"/>
          <w:rtl/>
        </w:rPr>
        <w:t xml:space="preserve"> فرع در قدمان است. فرع دیگر در مورد موضع السوار و امثال آن است</w:t>
      </w:r>
      <w:r w:rsidR="002267D3" w:rsidRPr="00AF54D5">
        <w:rPr>
          <w:rtl/>
        </w:rPr>
        <w:t xml:space="preserve">؛ </w:t>
      </w:r>
      <w:r w:rsidR="00260D93" w:rsidRPr="00AF54D5">
        <w:rPr>
          <w:rFonts w:hint="cs"/>
          <w:rtl/>
        </w:rPr>
        <w:t xml:space="preserve">یعنی استثنای بخشی بیش از وجه و کفین متعارف است. وقتی گفته </w:t>
      </w:r>
      <w:r w:rsidRPr="00AF54D5">
        <w:rPr>
          <w:rFonts w:hint="cs"/>
          <w:rtl/>
        </w:rPr>
        <w:t>می‌شود</w:t>
      </w:r>
      <w:r w:rsidR="00260D93" w:rsidRPr="00AF54D5">
        <w:rPr>
          <w:rFonts w:hint="cs"/>
          <w:rtl/>
        </w:rPr>
        <w:t xml:space="preserve"> وجه معنای خودش را دارد کفین هم تا مچ است. ممکن است کسی بگوید علاوه بر </w:t>
      </w:r>
      <w:r w:rsidRPr="00AF54D5">
        <w:rPr>
          <w:rFonts w:hint="cs"/>
          <w:rtl/>
        </w:rPr>
        <w:t>این‌ها</w:t>
      </w:r>
      <w:r w:rsidR="00260D93" w:rsidRPr="00AF54D5">
        <w:rPr>
          <w:rFonts w:hint="cs"/>
          <w:rtl/>
        </w:rPr>
        <w:t xml:space="preserve"> بالاتر از مچ هم مشمول حکم جواز است. در این جهت هم روایتی که خیلی مفصل </w:t>
      </w:r>
      <w:r w:rsidRPr="00AF54D5">
        <w:rPr>
          <w:rFonts w:hint="cs"/>
          <w:rtl/>
        </w:rPr>
        <w:t>درباره‌اش</w:t>
      </w:r>
      <w:r w:rsidR="00260D93" w:rsidRPr="00AF54D5">
        <w:rPr>
          <w:rFonts w:hint="cs"/>
          <w:rtl/>
        </w:rPr>
        <w:t xml:space="preserve"> صحبت کردیم ممکن است مورد استدلال قرار بگیرد که در ادله </w:t>
      </w:r>
      <w:r w:rsidR="002267D3" w:rsidRPr="00AF54D5">
        <w:rPr>
          <w:rFonts w:hint="cs"/>
          <w:rtl/>
        </w:rPr>
        <w:t xml:space="preserve">جواز نظر </w:t>
      </w:r>
      <w:r w:rsidR="00260D93" w:rsidRPr="00AF54D5">
        <w:rPr>
          <w:rFonts w:hint="cs"/>
          <w:rtl/>
        </w:rPr>
        <w:t>و طایفه مجوزه دلیل پنجم عبارت بود از روایت قرب الاسناد:</w:t>
      </w:r>
    </w:p>
    <w:p w:rsidR="00260D93" w:rsidRPr="00AF54D5" w:rsidRDefault="00260D93" w:rsidP="00AF54D5">
      <w:pPr>
        <w:rPr>
          <w:rtl/>
        </w:rPr>
      </w:pPr>
      <w:r w:rsidRPr="00AF54D5">
        <w:rPr>
          <w:rFonts w:hint="cs"/>
          <w:color w:val="008000"/>
          <w:rtl/>
        </w:rPr>
        <w:t>وَ سَأَلْتُهُ‏ عَنِ‏ الرَّجُلِ‏ مَا يَصْلُحُ‏ لَهُ أَنْ يَنْظُرَ إِلَيْهِ مِنَ الْمَرْأَةِ الَّتِي لَا تَحِلُّ لَهُ؟ قَالَ: «الْوَجْهُ، وَ الْكَفُّ، وَ مَوْضِعُ السِّوَارِ</w:t>
      </w:r>
      <w:r w:rsidRPr="00AF54D5">
        <w:rPr>
          <w:rFonts w:hint="cs"/>
          <w:rtl/>
        </w:rPr>
        <w:t>»</w:t>
      </w:r>
      <w:r w:rsidR="00AF54D5" w:rsidRPr="00AF54D5">
        <w:rPr>
          <w:rFonts w:hint="cs"/>
          <w:rtl/>
        </w:rPr>
        <w:t>.</w:t>
      </w:r>
      <w:r w:rsidR="00AF54D5" w:rsidRPr="00AF54D5">
        <w:rPr>
          <w:rStyle w:val="FootnoteReference"/>
          <w:rtl/>
        </w:rPr>
        <w:footnoteReference w:id="2"/>
      </w:r>
    </w:p>
    <w:p w:rsidR="00260D93" w:rsidRPr="00AF54D5" w:rsidRDefault="002267D3" w:rsidP="002A0E06">
      <w:pPr>
        <w:rPr>
          <w:rtl/>
        </w:rPr>
      </w:pPr>
      <w:r w:rsidRPr="00AF54D5">
        <w:rPr>
          <w:rFonts w:hint="cs"/>
          <w:rtl/>
        </w:rPr>
        <w:t>سنداً</w:t>
      </w:r>
      <w:r w:rsidR="00260D93" w:rsidRPr="00AF54D5">
        <w:rPr>
          <w:rFonts w:hint="cs"/>
          <w:rtl/>
        </w:rPr>
        <w:t xml:space="preserve"> خالی از اشکال نیست هم از جهت قرب الاسناد هم عبدالله ابن حسن</w:t>
      </w:r>
      <w:r w:rsidRPr="00AF54D5">
        <w:rPr>
          <w:rtl/>
        </w:rPr>
        <w:t xml:space="preserve">؛ </w:t>
      </w:r>
      <w:r w:rsidR="00260D93" w:rsidRPr="00AF54D5">
        <w:rPr>
          <w:rFonts w:hint="cs"/>
          <w:rtl/>
        </w:rPr>
        <w:t xml:space="preserve">اما </w:t>
      </w:r>
      <w:r w:rsidR="00D509B4" w:rsidRPr="00AF54D5">
        <w:rPr>
          <w:rFonts w:hint="cs"/>
          <w:rtl/>
        </w:rPr>
        <w:t>ازنظر</w:t>
      </w:r>
      <w:r w:rsidR="00260D93" w:rsidRPr="00AF54D5">
        <w:rPr>
          <w:rFonts w:hint="cs"/>
          <w:rtl/>
        </w:rPr>
        <w:t xml:space="preserve"> دلالت دلالتش را تام دانستیم و اشکالاتش را جواب دادیم. این روایت شبیه قبلی از وضوحی در دلالت برخوردار است. این روایت هم علاوه بر وجه و کف به موضع سوار اشاره </w:t>
      </w:r>
      <w:r w:rsidR="00D509B4" w:rsidRPr="00AF54D5">
        <w:rPr>
          <w:rFonts w:hint="cs"/>
          <w:rtl/>
        </w:rPr>
        <w:t>می‌کند</w:t>
      </w:r>
      <w:r w:rsidR="00260D93" w:rsidRPr="00AF54D5">
        <w:rPr>
          <w:rFonts w:hint="cs"/>
          <w:rtl/>
        </w:rPr>
        <w:t xml:space="preserve">. جای دستبند و النگو موضع السوار است. حال یا خود سوار مراد است یا جایی که دستبند بسته </w:t>
      </w:r>
      <w:r w:rsidR="00D509B4" w:rsidRPr="00AF54D5">
        <w:rPr>
          <w:rFonts w:hint="cs"/>
          <w:rtl/>
        </w:rPr>
        <w:t>می‌شود</w:t>
      </w:r>
      <w:r w:rsidR="00260D93" w:rsidRPr="00AF54D5">
        <w:rPr>
          <w:rFonts w:hint="cs"/>
          <w:rtl/>
        </w:rPr>
        <w:t xml:space="preserve">. حتی اگر خود سوار هم بسته شود ملازم با موضع سوار است که </w:t>
      </w:r>
      <w:r w:rsidR="00D509B4" w:rsidRPr="00AF54D5">
        <w:rPr>
          <w:rFonts w:hint="cs"/>
          <w:rtl/>
        </w:rPr>
        <w:t>رفت‌وبرگشت</w:t>
      </w:r>
      <w:r w:rsidR="00260D93" w:rsidRPr="00AF54D5">
        <w:rPr>
          <w:rFonts w:hint="cs"/>
          <w:rtl/>
        </w:rPr>
        <w:t xml:space="preserve"> دارد. چیز ثابتی نیست که آن را پوشانده است. وقتی </w:t>
      </w:r>
      <w:r w:rsidR="00D509B4" w:rsidRPr="00AF54D5">
        <w:rPr>
          <w:rFonts w:hint="cs"/>
          <w:rtl/>
        </w:rPr>
        <w:t>می‌گوید</w:t>
      </w:r>
      <w:r w:rsidR="00260D93" w:rsidRPr="00AF54D5">
        <w:rPr>
          <w:rFonts w:hint="cs"/>
          <w:rtl/>
        </w:rPr>
        <w:t xml:space="preserve"> به سوار </w:t>
      </w:r>
      <w:r w:rsidR="00D509B4" w:rsidRPr="00AF54D5">
        <w:rPr>
          <w:rFonts w:hint="cs"/>
          <w:rtl/>
        </w:rPr>
        <w:t>می‌شود</w:t>
      </w:r>
      <w:r w:rsidR="00260D93" w:rsidRPr="00AF54D5">
        <w:rPr>
          <w:rFonts w:hint="cs"/>
          <w:rtl/>
        </w:rPr>
        <w:t xml:space="preserve"> نگاه کرد یعنی به موضعش هم </w:t>
      </w:r>
      <w:r w:rsidR="00D509B4" w:rsidRPr="00AF54D5">
        <w:rPr>
          <w:rFonts w:hint="cs"/>
          <w:rtl/>
        </w:rPr>
        <w:t>می‌شود</w:t>
      </w:r>
      <w:r w:rsidR="00260D93" w:rsidRPr="00AF54D5">
        <w:rPr>
          <w:rFonts w:hint="cs"/>
          <w:rtl/>
        </w:rPr>
        <w:t xml:space="preserve"> نگاه کرد. این دلالت تام است.</w:t>
      </w:r>
    </w:p>
    <w:p w:rsidR="00260D93" w:rsidRPr="00AF54D5" w:rsidRDefault="00260D93" w:rsidP="002A0E06">
      <w:pPr>
        <w:rPr>
          <w:rtl/>
        </w:rPr>
      </w:pPr>
      <w:r w:rsidRPr="00AF54D5">
        <w:rPr>
          <w:rFonts w:hint="cs"/>
          <w:rtl/>
        </w:rPr>
        <w:t xml:space="preserve"> عین بحث قبلی به این روایت هم دو اشکال </w:t>
      </w:r>
      <w:r w:rsidR="00D509B4" w:rsidRPr="00AF54D5">
        <w:rPr>
          <w:rFonts w:hint="cs"/>
          <w:rtl/>
        </w:rPr>
        <w:t>واردشده</w:t>
      </w:r>
      <w:r w:rsidRPr="00AF54D5">
        <w:rPr>
          <w:rFonts w:hint="cs"/>
          <w:rtl/>
        </w:rPr>
        <w:t xml:space="preserve"> است. یکی اینکه سند ضعف دارد که این اشکال وارد است مگر اینکه کسی بگوید قرب الاسناد کتاب مشهوری است و در مورد عبدالله ابن حسن هم به نحوی توثیق کند که از اجلاء است و اشتهار د</w:t>
      </w:r>
      <w:r w:rsidR="002267D3" w:rsidRPr="00AF54D5">
        <w:rPr>
          <w:rFonts w:hint="cs"/>
          <w:rtl/>
        </w:rPr>
        <w:t>ارد. البته اطمینان به این توثیق‌</w:t>
      </w:r>
      <w:r w:rsidRPr="00AF54D5">
        <w:rPr>
          <w:rFonts w:hint="cs"/>
          <w:rtl/>
        </w:rPr>
        <w:t>ها دشوار است.</w:t>
      </w:r>
    </w:p>
    <w:p w:rsidR="00260D93" w:rsidRPr="00AF54D5" w:rsidRDefault="00260D93" w:rsidP="002A0E06">
      <w:pPr>
        <w:rPr>
          <w:rtl/>
        </w:rPr>
      </w:pPr>
      <w:r w:rsidRPr="00AF54D5">
        <w:rPr>
          <w:rFonts w:hint="cs"/>
          <w:rtl/>
        </w:rPr>
        <w:t>اشکال دوم هم نظیر بحث سابق است که کسی ادعا کند که این مفاد خلاف اجماع اصحاب است و</w:t>
      </w:r>
      <w:r w:rsidR="002267D3" w:rsidRPr="00AF54D5">
        <w:rPr>
          <w:rFonts w:hint="cs"/>
          <w:rtl/>
        </w:rPr>
        <w:t xml:space="preserve"> </w:t>
      </w:r>
      <w:r w:rsidRPr="00AF54D5">
        <w:rPr>
          <w:rFonts w:hint="cs"/>
          <w:rtl/>
        </w:rPr>
        <w:t xml:space="preserve">الجواب الجواب که چنین اجماعی احراز </w:t>
      </w:r>
      <w:r w:rsidR="00D509B4" w:rsidRPr="00AF54D5">
        <w:rPr>
          <w:rFonts w:hint="cs"/>
          <w:rtl/>
        </w:rPr>
        <w:t>نمی‌شود</w:t>
      </w:r>
      <w:r w:rsidRPr="00AF54D5">
        <w:rPr>
          <w:rFonts w:hint="cs"/>
          <w:rtl/>
        </w:rPr>
        <w:t xml:space="preserve"> لذا موضع السوار را هم ممکن است بگوییم نگاه به</w:t>
      </w:r>
      <w:r w:rsidR="002267D3" w:rsidRPr="00AF54D5">
        <w:rPr>
          <w:rtl/>
        </w:rPr>
        <w:t xml:space="preserve"> </w:t>
      </w:r>
      <w:r w:rsidRPr="00AF54D5">
        <w:rPr>
          <w:rFonts w:hint="cs"/>
          <w:rtl/>
        </w:rPr>
        <w:t>آن جایز است. این دلیل او است.</w:t>
      </w:r>
    </w:p>
    <w:p w:rsidR="00D509B4" w:rsidRPr="00AF54D5" w:rsidRDefault="00D509B4" w:rsidP="00D509B4">
      <w:pPr>
        <w:pStyle w:val="Heading3"/>
        <w:rPr>
          <w:rtl/>
        </w:rPr>
      </w:pPr>
      <w:bookmarkStart w:id="17" w:name="_Toc59892035"/>
      <w:r w:rsidRPr="00AF54D5">
        <w:rPr>
          <w:rFonts w:hint="cs"/>
          <w:rtl/>
        </w:rPr>
        <w:t>استدلال دوم بر جواز</w:t>
      </w:r>
      <w:bookmarkEnd w:id="17"/>
    </w:p>
    <w:p w:rsidR="00260D93" w:rsidRPr="00AF54D5" w:rsidRDefault="00260D93" w:rsidP="002A0E06">
      <w:pPr>
        <w:rPr>
          <w:rtl/>
        </w:rPr>
      </w:pPr>
      <w:r w:rsidRPr="00AF54D5">
        <w:rPr>
          <w:rFonts w:hint="cs"/>
          <w:rtl/>
        </w:rPr>
        <w:t xml:space="preserve">دلیل دوم هم که شاید کمی اقوای از استدلال دوم در قدم باشد این است که کفین که گفته </w:t>
      </w:r>
      <w:r w:rsidR="00D509B4" w:rsidRPr="00AF54D5">
        <w:rPr>
          <w:rFonts w:hint="cs"/>
          <w:rtl/>
        </w:rPr>
        <w:t>می‌شود</w:t>
      </w:r>
      <w:r w:rsidRPr="00AF54D5">
        <w:rPr>
          <w:rFonts w:hint="cs"/>
          <w:rtl/>
        </w:rPr>
        <w:t xml:space="preserve"> کمی بالاتر از کفین امر متعارفی است و چیزی غیر قدمین است. قدمین لباس بلند </w:t>
      </w:r>
      <w:r w:rsidR="00D509B4" w:rsidRPr="00AF54D5">
        <w:rPr>
          <w:rFonts w:hint="cs"/>
          <w:rtl/>
        </w:rPr>
        <w:t>می‌پوشیدند</w:t>
      </w:r>
      <w:r w:rsidRPr="00AF54D5">
        <w:rPr>
          <w:rFonts w:hint="cs"/>
          <w:rtl/>
        </w:rPr>
        <w:t xml:space="preserve"> و پایین است و نگاه به آن متعارف نیست. ممکن است کسی جواب دهد که قدمین را لازم نیست بپوشانند چون نگاه به آن خیلی متعارف نیست اما موضع سوار متعارف است و به شکلی است که اگر اجازه داده شد گویا کمی اطراف آن را در </w:t>
      </w:r>
      <w:r w:rsidR="00D509B4" w:rsidRPr="00AF54D5">
        <w:rPr>
          <w:rFonts w:hint="cs"/>
          <w:rtl/>
        </w:rPr>
        <w:t>برمی‌گیرد</w:t>
      </w:r>
      <w:r w:rsidRPr="00AF54D5">
        <w:rPr>
          <w:rFonts w:hint="cs"/>
          <w:rtl/>
        </w:rPr>
        <w:t xml:space="preserve">. این هم استدلال دیگری است که ممکن است مطرح شود البته </w:t>
      </w:r>
      <w:r w:rsidR="00D509B4" w:rsidRPr="00AF54D5">
        <w:rPr>
          <w:rFonts w:hint="cs"/>
          <w:rtl/>
        </w:rPr>
        <w:t>قابل‌اطمینان</w:t>
      </w:r>
      <w:r w:rsidRPr="00AF54D5">
        <w:rPr>
          <w:rFonts w:hint="cs"/>
          <w:rtl/>
        </w:rPr>
        <w:t xml:space="preserve"> نیست گرچه </w:t>
      </w:r>
      <w:r w:rsidR="00D509B4" w:rsidRPr="00AF54D5">
        <w:rPr>
          <w:rFonts w:hint="cs"/>
          <w:rtl/>
        </w:rPr>
        <w:t>بی‌وجه</w:t>
      </w:r>
      <w:r w:rsidRPr="00AF54D5">
        <w:rPr>
          <w:rFonts w:hint="cs"/>
          <w:rtl/>
        </w:rPr>
        <w:t xml:space="preserve"> نیست ولی اطمینان به آن هم خیلی روشن نیست. این هم فرع دوم. تا آنجا که من به خاطر </w:t>
      </w:r>
      <w:r w:rsidRPr="00AF54D5">
        <w:rPr>
          <w:rFonts w:hint="cs"/>
          <w:rtl/>
        </w:rPr>
        <w:lastRenderedPageBreak/>
        <w:t xml:space="preserve">دارم همین دو مورد بود که روایتی داشت. یکی قدمان یکی موضع السوار که مچ است و علاوه بر کفین </w:t>
      </w:r>
      <w:r w:rsidR="00D509B4" w:rsidRPr="00AF54D5">
        <w:rPr>
          <w:rFonts w:hint="cs"/>
          <w:rtl/>
        </w:rPr>
        <w:t>مچ‌ها</w:t>
      </w:r>
      <w:r w:rsidRPr="00AF54D5">
        <w:rPr>
          <w:rFonts w:hint="cs"/>
          <w:rtl/>
        </w:rPr>
        <w:t xml:space="preserve"> هم مشمول </w:t>
      </w:r>
      <w:r w:rsidR="002267D3" w:rsidRPr="00AF54D5">
        <w:rPr>
          <w:rFonts w:hint="cs"/>
          <w:rtl/>
        </w:rPr>
        <w:t xml:space="preserve">جواز نظر </w:t>
      </w:r>
      <w:r w:rsidRPr="00AF54D5">
        <w:rPr>
          <w:rFonts w:hint="cs"/>
          <w:rtl/>
        </w:rPr>
        <w:t>باشد.</w:t>
      </w:r>
    </w:p>
    <w:p w:rsidR="00D509B4" w:rsidRPr="00AF54D5" w:rsidRDefault="00D509B4" w:rsidP="00D509B4">
      <w:pPr>
        <w:pStyle w:val="Heading3"/>
        <w:rPr>
          <w:rtl/>
        </w:rPr>
      </w:pPr>
      <w:bookmarkStart w:id="18" w:name="_Toc59892036"/>
      <w:r w:rsidRPr="00AF54D5">
        <w:rPr>
          <w:rFonts w:hint="cs"/>
          <w:rtl/>
        </w:rPr>
        <w:t>استدلال سوم بر جواز:</w:t>
      </w:r>
      <w:bookmarkEnd w:id="18"/>
    </w:p>
    <w:p w:rsidR="00260D93" w:rsidRPr="00AF54D5" w:rsidRDefault="00D509B4" w:rsidP="002A0E06">
      <w:pPr>
        <w:rPr>
          <w:rtl/>
        </w:rPr>
      </w:pPr>
      <w:r w:rsidRPr="00AF54D5">
        <w:rPr>
          <w:rFonts w:hint="cs"/>
          <w:rtl/>
        </w:rPr>
        <w:t>سؤال</w:t>
      </w:r>
      <w:r w:rsidR="00260D93" w:rsidRPr="00AF54D5">
        <w:rPr>
          <w:rFonts w:hint="cs"/>
          <w:rtl/>
        </w:rPr>
        <w:t>: دون السوارین هم بود...</w:t>
      </w:r>
    </w:p>
    <w:p w:rsidR="00260D93" w:rsidRPr="00AF54D5" w:rsidRDefault="00260D93" w:rsidP="002A0E06">
      <w:pPr>
        <w:rPr>
          <w:rtl/>
        </w:rPr>
      </w:pPr>
      <w:r w:rsidRPr="00AF54D5">
        <w:rPr>
          <w:rFonts w:hint="cs"/>
          <w:rtl/>
        </w:rPr>
        <w:t>جواب: آن روایت فضیل بود صبح نگاه کردم</w:t>
      </w:r>
      <w:r w:rsidR="00D6691F" w:rsidRPr="00AF54D5">
        <w:rPr>
          <w:rFonts w:hint="cs"/>
          <w:rtl/>
        </w:rPr>
        <w:t xml:space="preserve"> مفصل هم راجع به آن بحث کردیم. در موضع سوار این را </w:t>
      </w:r>
      <w:r w:rsidR="00D509B4" w:rsidRPr="00AF54D5">
        <w:rPr>
          <w:rFonts w:hint="cs"/>
          <w:rtl/>
        </w:rPr>
        <w:t>می‌شود</w:t>
      </w:r>
      <w:r w:rsidR="00D6691F" w:rsidRPr="00AF54D5">
        <w:rPr>
          <w:rFonts w:hint="cs"/>
          <w:rtl/>
        </w:rPr>
        <w:t xml:space="preserve"> دلیل سوم شمرد که موضع سوار مستثنی است. صحیحه فضیل ابن یسار بود که پنجمین دلیل از ادله مانعه بود. باب 109 حدیث 1 از ابواب نکاح بود.</w:t>
      </w:r>
    </w:p>
    <w:p w:rsidR="00D6691F" w:rsidRPr="00AF54D5" w:rsidRDefault="00D6691F" w:rsidP="00AF54D5">
      <w:pPr>
        <w:rPr>
          <w:rtl/>
        </w:rPr>
      </w:pPr>
      <w:r w:rsidRPr="00AF54D5">
        <w:rPr>
          <w:rFonts w:hint="cs"/>
          <w:rtl/>
        </w:rPr>
        <w:t>مُحَمَّدُ بْنُ يَعْقُوبَ عَنْ عِدَّةٍ مِنْ أَصْحَابِنَا عَنْ أَحْمَدَ بْنِ مُحَمَّدٍ عَنِ ابْنِ مَحْبُوبٍ عَنْ جَمِيلٍ عَنِ الْفُضَيْلِ قَالَ</w:t>
      </w:r>
      <w:r w:rsidR="00AF54D5" w:rsidRPr="00AF54D5">
        <w:rPr>
          <w:rFonts w:hint="cs"/>
          <w:rtl/>
        </w:rPr>
        <w:t>:«</w:t>
      </w:r>
      <w:r w:rsidRPr="00AF54D5">
        <w:rPr>
          <w:rFonts w:hint="cs"/>
          <w:color w:val="008000"/>
          <w:rtl/>
        </w:rPr>
        <w:t>سَأَلْتُ أَبَا عَبْدِ اللَّهِ ع عَنِ الذِّرَاعَيْنِ مِنَ الْمَرْأَةِ هُمَا مِنَ الزِّينَةِ الَّتِي قَالَ اللَّهُ‏ وَ لايُبْدِينَ زِينَتَهُنَّ إِلَّا لِبُعُولَتِهِنَ‏ قَالَ نَعَمْ وَ مَا دُونَ الْخِمَارِ مِنَ الزِّينَةِ وَ مَا دُونَ‏ السِّوَارَيْنِ</w:t>
      </w:r>
      <w:r w:rsidRPr="00AF54D5">
        <w:rPr>
          <w:rFonts w:hint="cs"/>
          <w:rtl/>
        </w:rPr>
        <w:t>‏</w:t>
      </w:r>
      <w:r w:rsidR="00AF54D5" w:rsidRPr="00AF54D5">
        <w:rPr>
          <w:rFonts w:hint="cs"/>
          <w:rtl/>
        </w:rPr>
        <w:t>»</w:t>
      </w:r>
      <w:r w:rsidRPr="00AF54D5">
        <w:rPr>
          <w:rFonts w:hint="cs"/>
          <w:rtl/>
        </w:rPr>
        <w:t>.</w:t>
      </w:r>
      <w:r w:rsidR="00AF54D5">
        <w:rPr>
          <w:rStyle w:val="FootnoteReference"/>
          <w:rtl/>
        </w:rPr>
        <w:footnoteReference w:id="3"/>
      </w:r>
    </w:p>
    <w:p w:rsidR="00D30BB4" w:rsidRPr="00AF54D5" w:rsidRDefault="00D6691F" w:rsidP="00D30BB4">
      <w:pPr>
        <w:rPr>
          <w:rtl/>
        </w:rPr>
      </w:pPr>
      <w:r w:rsidRPr="00AF54D5">
        <w:rPr>
          <w:rFonts w:hint="cs"/>
          <w:rtl/>
        </w:rPr>
        <w:t xml:space="preserve">با یک احتمال این روایت معارض روایتی </w:t>
      </w:r>
      <w:r w:rsidR="00D509B4" w:rsidRPr="00AF54D5">
        <w:rPr>
          <w:rFonts w:hint="cs"/>
          <w:rtl/>
        </w:rPr>
        <w:t>است که</w:t>
      </w:r>
      <w:r w:rsidRPr="00AF54D5">
        <w:rPr>
          <w:rFonts w:hint="cs"/>
          <w:rtl/>
        </w:rPr>
        <w:t xml:space="preserve"> خواندیم. اگر بگوییم مادون السوارین به معنای تحت سوارین است </w:t>
      </w:r>
      <w:r w:rsidR="00D509B4" w:rsidRPr="00AF54D5">
        <w:rPr>
          <w:rFonts w:hint="cs"/>
          <w:rtl/>
        </w:rPr>
        <w:t>می‌گوید</w:t>
      </w:r>
      <w:r w:rsidRPr="00AF54D5">
        <w:rPr>
          <w:rFonts w:hint="cs"/>
          <w:rtl/>
        </w:rPr>
        <w:t xml:space="preserve"> زینت را </w:t>
      </w:r>
      <w:r w:rsidR="00D509B4" w:rsidRPr="00AF54D5">
        <w:rPr>
          <w:rFonts w:hint="cs"/>
          <w:rtl/>
        </w:rPr>
        <w:t>نمی‌شود</w:t>
      </w:r>
      <w:r w:rsidRPr="00AF54D5">
        <w:rPr>
          <w:rFonts w:hint="cs"/>
          <w:rtl/>
        </w:rPr>
        <w:t xml:space="preserve"> نگاه کرد و معارض روایت قبل است و چون معتبر است مقدم </w:t>
      </w:r>
      <w:r w:rsidR="00D509B4" w:rsidRPr="00AF54D5">
        <w:rPr>
          <w:rFonts w:hint="cs"/>
          <w:rtl/>
        </w:rPr>
        <w:t>می‌شود</w:t>
      </w:r>
      <w:r w:rsidRPr="00AF54D5">
        <w:rPr>
          <w:rFonts w:hint="cs"/>
          <w:rtl/>
        </w:rPr>
        <w:t>. مادون السوارین اگر باشد</w:t>
      </w:r>
      <w:r w:rsidR="002267D3" w:rsidRPr="00AF54D5">
        <w:rPr>
          <w:rtl/>
        </w:rPr>
        <w:t xml:space="preserve">؛ </w:t>
      </w:r>
      <w:r w:rsidRPr="00AF54D5">
        <w:rPr>
          <w:rFonts w:hint="cs"/>
          <w:rtl/>
        </w:rPr>
        <w:t xml:space="preserve">اما اگر مقصود این بود که مادون السوارین یعنی </w:t>
      </w:r>
      <w:r w:rsidR="00D509B4" w:rsidRPr="00AF54D5">
        <w:rPr>
          <w:rFonts w:hint="cs"/>
          <w:rtl/>
        </w:rPr>
        <w:t>پایین‌تر</w:t>
      </w:r>
      <w:r w:rsidRPr="00AF54D5">
        <w:rPr>
          <w:rFonts w:hint="cs"/>
          <w:rtl/>
        </w:rPr>
        <w:t xml:space="preserve"> از سوارین که دلیل </w:t>
      </w:r>
      <w:r w:rsidR="00D509B4" w:rsidRPr="00AF54D5">
        <w:rPr>
          <w:rFonts w:hint="cs"/>
          <w:rtl/>
        </w:rPr>
        <w:t>می‌شد</w:t>
      </w:r>
      <w:r w:rsidRPr="00AF54D5">
        <w:rPr>
          <w:rFonts w:hint="cs"/>
          <w:rtl/>
        </w:rPr>
        <w:t xml:space="preserve"> موضع سوار </w:t>
      </w:r>
      <w:r w:rsidR="00D509B4" w:rsidRPr="00AF54D5">
        <w:rPr>
          <w:rFonts w:hint="cs"/>
          <w:rtl/>
        </w:rPr>
        <w:t>هم‌نظر</w:t>
      </w:r>
      <w:r w:rsidRPr="00AF54D5">
        <w:rPr>
          <w:rFonts w:hint="cs"/>
          <w:rtl/>
        </w:rPr>
        <w:t xml:space="preserve"> به آن جایز است. این از روایاتی بود که احتمالاتی داشت که نتایج متعارض </w:t>
      </w:r>
      <w:r w:rsidR="00D509B4" w:rsidRPr="00AF54D5">
        <w:rPr>
          <w:rFonts w:hint="cs"/>
          <w:rtl/>
        </w:rPr>
        <w:t>می‌داد</w:t>
      </w:r>
      <w:r w:rsidRPr="00AF54D5">
        <w:rPr>
          <w:rFonts w:hint="cs"/>
          <w:rtl/>
        </w:rPr>
        <w:t xml:space="preserve">. بنابر یک احتمال صحیحه فضیل معارض روایت قرب الاسناد است و بنابر احتمال دیگر </w:t>
      </w:r>
      <w:r w:rsidR="00D509B4" w:rsidRPr="00AF54D5">
        <w:rPr>
          <w:rFonts w:hint="cs"/>
          <w:rtl/>
        </w:rPr>
        <w:t>مؤید</w:t>
      </w:r>
      <w:r w:rsidRPr="00AF54D5">
        <w:rPr>
          <w:rFonts w:hint="cs"/>
          <w:rtl/>
        </w:rPr>
        <w:t xml:space="preserve"> آن است و دلیل است که موضع السوار را </w:t>
      </w:r>
      <w:r w:rsidR="00D509B4" w:rsidRPr="00AF54D5">
        <w:rPr>
          <w:rFonts w:hint="cs"/>
          <w:rtl/>
        </w:rPr>
        <w:t>می‌شود</w:t>
      </w:r>
      <w:r w:rsidRPr="00AF54D5">
        <w:rPr>
          <w:rFonts w:hint="cs"/>
          <w:rtl/>
        </w:rPr>
        <w:t xml:space="preserve"> نگاه کرد. در این روایت هم اجماع و </w:t>
      </w:r>
      <w:r w:rsidR="00D509B4" w:rsidRPr="00AF54D5">
        <w:rPr>
          <w:rFonts w:hint="cs"/>
          <w:rtl/>
        </w:rPr>
        <w:t>ابهامی بود</w:t>
      </w:r>
      <w:r w:rsidRPr="00AF54D5">
        <w:rPr>
          <w:rFonts w:hint="cs"/>
          <w:rtl/>
        </w:rPr>
        <w:t xml:space="preserve"> و یادم نیست </w:t>
      </w:r>
      <w:r w:rsidR="00D509B4" w:rsidRPr="00AF54D5">
        <w:rPr>
          <w:rFonts w:hint="cs"/>
          <w:rtl/>
        </w:rPr>
        <w:t>نتیجه‌ای</w:t>
      </w:r>
      <w:r w:rsidRPr="00AF54D5">
        <w:rPr>
          <w:rFonts w:hint="cs"/>
          <w:rtl/>
        </w:rPr>
        <w:t xml:space="preserve"> که ما پذیرفتیم چه بود. حدود 15 احتمال راجع به آن دادیم. </w:t>
      </w:r>
      <w:r w:rsidR="00D509B4" w:rsidRPr="00AF54D5">
        <w:rPr>
          <w:rFonts w:hint="cs"/>
          <w:rtl/>
        </w:rPr>
        <w:t>درهرصورت</w:t>
      </w:r>
      <w:r w:rsidRPr="00AF54D5">
        <w:rPr>
          <w:rFonts w:hint="cs"/>
          <w:rtl/>
        </w:rPr>
        <w:t xml:space="preserve"> تعدد احتمالات مانع </w:t>
      </w:r>
      <w:r w:rsidR="00D509B4" w:rsidRPr="00AF54D5">
        <w:rPr>
          <w:rFonts w:hint="cs"/>
          <w:rtl/>
        </w:rPr>
        <w:t>می‌شود</w:t>
      </w:r>
      <w:r w:rsidRPr="00AF54D5">
        <w:rPr>
          <w:rFonts w:hint="cs"/>
          <w:rtl/>
        </w:rPr>
        <w:t xml:space="preserve"> که به آن استدلال کنیم چه برای </w:t>
      </w:r>
      <w:r w:rsidR="002267D3" w:rsidRPr="00AF54D5">
        <w:rPr>
          <w:rFonts w:hint="cs"/>
          <w:rtl/>
        </w:rPr>
        <w:t>جو</w:t>
      </w:r>
      <w:r w:rsidR="00D509B4" w:rsidRPr="00AF54D5">
        <w:rPr>
          <w:rFonts w:hint="cs"/>
          <w:rtl/>
        </w:rPr>
        <w:t>از</w:t>
      </w:r>
      <w:r w:rsidR="002267D3" w:rsidRPr="00AF54D5">
        <w:rPr>
          <w:rFonts w:hint="cs"/>
          <w:rtl/>
        </w:rPr>
        <w:t xml:space="preserve"> </w:t>
      </w:r>
      <w:r w:rsidR="00D509B4" w:rsidRPr="00AF54D5">
        <w:rPr>
          <w:rFonts w:hint="cs"/>
          <w:rtl/>
        </w:rPr>
        <w:t>نظر</w:t>
      </w:r>
      <w:r w:rsidRPr="00AF54D5">
        <w:rPr>
          <w:rFonts w:hint="cs"/>
          <w:rtl/>
        </w:rPr>
        <w:t xml:space="preserve"> چه حرمت نظر به موضع السوا</w:t>
      </w:r>
      <w:r w:rsidR="00D509B4" w:rsidRPr="00AF54D5">
        <w:rPr>
          <w:rFonts w:hint="cs"/>
          <w:rtl/>
        </w:rPr>
        <w:t>ر و این روایت از آنانی است که ب</w:t>
      </w:r>
      <w:r w:rsidRPr="00AF54D5">
        <w:rPr>
          <w:rFonts w:hint="cs"/>
          <w:rtl/>
        </w:rPr>
        <w:t xml:space="preserve">نابر احتمالات متفاوت </w:t>
      </w:r>
      <w:r w:rsidR="00D509B4" w:rsidRPr="00AF54D5">
        <w:rPr>
          <w:rFonts w:hint="cs"/>
          <w:rtl/>
        </w:rPr>
        <w:t>می‌شود</w:t>
      </w:r>
      <w:r w:rsidRPr="00AF54D5">
        <w:rPr>
          <w:rFonts w:hint="cs"/>
          <w:rtl/>
        </w:rPr>
        <w:t xml:space="preserve"> نتایج </w:t>
      </w:r>
      <w:r w:rsidR="00D509B4" w:rsidRPr="00AF54D5">
        <w:rPr>
          <w:rFonts w:hint="cs"/>
          <w:rtl/>
        </w:rPr>
        <w:t>کاملاً</w:t>
      </w:r>
      <w:r w:rsidRPr="00AF54D5">
        <w:rPr>
          <w:rFonts w:hint="cs"/>
          <w:rtl/>
        </w:rPr>
        <w:t xml:space="preserve"> متعارض را از آن برداشت کرد. </w:t>
      </w:r>
      <w:r w:rsidR="00D509B4" w:rsidRPr="00AF54D5">
        <w:rPr>
          <w:rFonts w:hint="cs"/>
          <w:rtl/>
        </w:rPr>
        <w:t>ازاین‌جهت</w:t>
      </w:r>
      <w:r w:rsidRPr="00AF54D5">
        <w:rPr>
          <w:rFonts w:hint="cs"/>
          <w:rtl/>
        </w:rPr>
        <w:t xml:space="preserve"> است که موضع السوار هم اطمینان به استثنایش در حرمت نظر ثابت </w:t>
      </w:r>
      <w:r w:rsidR="00D509B4" w:rsidRPr="00AF54D5">
        <w:rPr>
          <w:rFonts w:hint="cs"/>
          <w:rtl/>
        </w:rPr>
        <w:t>نمی‌شود</w:t>
      </w:r>
      <w:r w:rsidRPr="00AF54D5">
        <w:rPr>
          <w:rFonts w:hint="cs"/>
          <w:rtl/>
        </w:rPr>
        <w:t xml:space="preserve">. گرچه یک احتمال </w:t>
      </w:r>
      <w:r w:rsidR="00D509B4" w:rsidRPr="00AF54D5">
        <w:rPr>
          <w:rFonts w:hint="cs"/>
          <w:rtl/>
        </w:rPr>
        <w:t>نسبتاً</w:t>
      </w:r>
      <w:r w:rsidRPr="00AF54D5">
        <w:rPr>
          <w:rFonts w:hint="cs"/>
          <w:rtl/>
        </w:rPr>
        <w:t xml:space="preserve"> قابل قبولی داده </w:t>
      </w:r>
      <w:r w:rsidR="00D509B4" w:rsidRPr="00AF54D5">
        <w:rPr>
          <w:rFonts w:hint="cs"/>
          <w:rtl/>
        </w:rPr>
        <w:t>می‌شود</w:t>
      </w:r>
      <w:r w:rsidRPr="00AF54D5">
        <w:rPr>
          <w:rFonts w:hint="cs"/>
          <w:rtl/>
        </w:rPr>
        <w:t>.</w:t>
      </w:r>
    </w:p>
    <w:p w:rsidR="00D6691F" w:rsidRPr="00AF54D5" w:rsidRDefault="00D509B4" w:rsidP="00D30BB4">
      <w:pPr>
        <w:rPr>
          <w:rtl/>
        </w:rPr>
      </w:pPr>
      <w:r w:rsidRPr="00AF54D5">
        <w:rPr>
          <w:rFonts w:hint="cs"/>
          <w:rtl/>
        </w:rPr>
        <w:t>سؤال</w:t>
      </w:r>
      <w:r w:rsidR="00D6691F" w:rsidRPr="00AF54D5">
        <w:rPr>
          <w:rFonts w:hint="cs"/>
          <w:rtl/>
        </w:rPr>
        <w:t xml:space="preserve">: اگر کسی اطلاقات را نپذیرد بر حرمت </w:t>
      </w:r>
      <w:r w:rsidRPr="00AF54D5">
        <w:rPr>
          <w:rFonts w:hint="cs"/>
          <w:rtl/>
        </w:rPr>
        <w:t>تک‌تک</w:t>
      </w:r>
      <w:r w:rsidR="00D6691F" w:rsidRPr="00AF54D5">
        <w:rPr>
          <w:rFonts w:hint="cs"/>
          <w:rtl/>
        </w:rPr>
        <w:t xml:space="preserve"> </w:t>
      </w:r>
      <w:r w:rsidRPr="00AF54D5">
        <w:rPr>
          <w:rFonts w:hint="cs"/>
          <w:rtl/>
        </w:rPr>
        <w:t>این‌ها</w:t>
      </w:r>
      <w:r w:rsidR="00D6691F" w:rsidRPr="00AF54D5">
        <w:rPr>
          <w:rFonts w:hint="cs"/>
          <w:rtl/>
        </w:rPr>
        <w:t xml:space="preserve"> هم باید دلیل خاص بیاوریم. اگر اطلاق تمام نباشد </w:t>
      </w:r>
      <w:r w:rsidRPr="00AF54D5">
        <w:rPr>
          <w:rFonts w:hint="cs"/>
          <w:rtl/>
        </w:rPr>
        <w:t>علی‌القاعده</w:t>
      </w:r>
      <w:r w:rsidR="00D6691F" w:rsidRPr="00AF54D5">
        <w:rPr>
          <w:rFonts w:hint="cs"/>
          <w:rtl/>
        </w:rPr>
        <w:t xml:space="preserve"> باید دلیل داشته باشد.</w:t>
      </w:r>
    </w:p>
    <w:p w:rsidR="00D6691F" w:rsidRPr="00AF54D5" w:rsidRDefault="00D6691F" w:rsidP="00D6691F">
      <w:pPr>
        <w:rPr>
          <w:rtl/>
        </w:rPr>
      </w:pPr>
      <w:r w:rsidRPr="00AF54D5">
        <w:rPr>
          <w:rFonts w:hint="cs"/>
          <w:rtl/>
        </w:rPr>
        <w:t xml:space="preserve">جواب: بله ولی شعر و ذراع و </w:t>
      </w:r>
      <w:r w:rsidR="00D509B4" w:rsidRPr="00AF54D5">
        <w:rPr>
          <w:rFonts w:hint="cs"/>
          <w:rtl/>
        </w:rPr>
        <w:t>این‌ها</w:t>
      </w:r>
      <w:r w:rsidRPr="00AF54D5">
        <w:rPr>
          <w:rFonts w:hint="cs"/>
          <w:rtl/>
        </w:rPr>
        <w:t xml:space="preserve"> را که دارد </w:t>
      </w:r>
      <w:r w:rsidR="00D509B4" w:rsidRPr="00AF54D5">
        <w:rPr>
          <w:rFonts w:hint="cs"/>
          <w:rtl/>
        </w:rPr>
        <w:t>تقریباً</w:t>
      </w:r>
      <w:r w:rsidRPr="00AF54D5">
        <w:rPr>
          <w:rFonts w:hint="cs"/>
          <w:rtl/>
        </w:rPr>
        <w:t xml:space="preserve"> اعضای دیگر روشن است. فحوایی در </w:t>
      </w:r>
      <w:r w:rsidR="002267D3" w:rsidRPr="00AF54D5">
        <w:rPr>
          <w:rFonts w:hint="cs"/>
          <w:rtl/>
        </w:rPr>
        <w:t>آن‌ها</w:t>
      </w:r>
      <w:r w:rsidRPr="00AF54D5">
        <w:rPr>
          <w:rFonts w:hint="cs"/>
          <w:rtl/>
        </w:rPr>
        <w:t xml:space="preserve"> نسبت به خیلی اعضای دیگر هست. در مورد شعر و ذراع و </w:t>
      </w:r>
      <w:r w:rsidR="00D509B4" w:rsidRPr="00AF54D5">
        <w:rPr>
          <w:rFonts w:hint="cs"/>
          <w:rtl/>
        </w:rPr>
        <w:t>این‌ها</w:t>
      </w:r>
      <w:r w:rsidRPr="00AF54D5">
        <w:rPr>
          <w:rFonts w:hint="cs"/>
          <w:rtl/>
        </w:rPr>
        <w:t xml:space="preserve"> ادله </w:t>
      </w:r>
      <w:r w:rsidR="002267D3" w:rsidRPr="00AF54D5">
        <w:rPr>
          <w:rFonts w:hint="cs"/>
          <w:rtl/>
        </w:rPr>
        <w:t>واضحه‌ای</w:t>
      </w:r>
      <w:r w:rsidRPr="00AF54D5">
        <w:rPr>
          <w:rFonts w:hint="cs"/>
          <w:rtl/>
        </w:rPr>
        <w:t xml:space="preserve"> داریم و نسبت به سایر اعضا به فحوا </w:t>
      </w:r>
      <w:r w:rsidR="00D509B4" w:rsidRPr="00AF54D5">
        <w:rPr>
          <w:rFonts w:hint="cs"/>
          <w:rtl/>
        </w:rPr>
        <w:t>می‌شود</w:t>
      </w:r>
      <w:r w:rsidRPr="00AF54D5">
        <w:rPr>
          <w:rFonts w:hint="cs"/>
          <w:rtl/>
        </w:rPr>
        <w:t xml:space="preserve"> رجوع کرد. آنکه استثنا </w:t>
      </w:r>
      <w:r w:rsidR="00D509B4" w:rsidRPr="00AF54D5">
        <w:rPr>
          <w:rFonts w:hint="cs"/>
          <w:rtl/>
        </w:rPr>
        <w:t>می‌شود</w:t>
      </w:r>
      <w:r w:rsidRPr="00AF54D5">
        <w:rPr>
          <w:rFonts w:hint="cs"/>
          <w:rtl/>
        </w:rPr>
        <w:t xml:space="preserve"> </w:t>
      </w:r>
      <w:r w:rsidR="00D509B4" w:rsidRPr="00AF54D5">
        <w:rPr>
          <w:rFonts w:hint="cs"/>
          <w:rtl/>
        </w:rPr>
        <w:t>همین‌هاست</w:t>
      </w:r>
      <w:r w:rsidRPr="00AF54D5">
        <w:rPr>
          <w:rFonts w:hint="cs"/>
          <w:rtl/>
        </w:rPr>
        <w:t xml:space="preserve"> که بحث </w:t>
      </w:r>
      <w:r w:rsidR="00D509B4" w:rsidRPr="00AF54D5">
        <w:rPr>
          <w:rFonts w:hint="cs"/>
          <w:rtl/>
        </w:rPr>
        <w:t>می‌کنیم</w:t>
      </w:r>
      <w:r w:rsidRPr="00AF54D5">
        <w:rPr>
          <w:rFonts w:hint="cs"/>
          <w:rtl/>
        </w:rPr>
        <w:t>.</w:t>
      </w:r>
    </w:p>
    <w:p w:rsidR="00D6691F" w:rsidRPr="00AF54D5" w:rsidRDefault="00D6691F" w:rsidP="00D6691F">
      <w:pPr>
        <w:rPr>
          <w:rtl/>
        </w:rPr>
      </w:pPr>
      <w:r w:rsidRPr="00AF54D5">
        <w:rPr>
          <w:rFonts w:hint="cs"/>
          <w:rtl/>
        </w:rPr>
        <w:t xml:space="preserve">ابتدای ورود به این چند فرع باید به این نکته توجه کرد که در سایر اعضا و غیر وجه و کفین یا اطلاقاتی را ما </w:t>
      </w:r>
      <w:r w:rsidR="00D509B4" w:rsidRPr="00AF54D5">
        <w:rPr>
          <w:rFonts w:hint="cs"/>
          <w:rtl/>
        </w:rPr>
        <w:t>می‌پذیریم</w:t>
      </w:r>
      <w:r w:rsidRPr="00AF54D5">
        <w:rPr>
          <w:rFonts w:hint="cs"/>
          <w:rtl/>
        </w:rPr>
        <w:t xml:space="preserve"> که اگر اطلاقی را بپذیریم همه اعضا را </w:t>
      </w:r>
      <w:r w:rsidR="00D509B4" w:rsidRPr="00AF54D5">
        <w:rPr>
          <w:rFonts w:hint="cs"/>
          <w:rtl/>
        </w:rPr>
        <w:t>می‌گیرد</w:t>
      </w:r>
      <w:r w:rsidRPr="00AF54D5">
        <w:rPr>
          <w:rFonts w:hint="cs"/>
          <w:rtl/>
        </w:rPr>
        <w:t xml:space="preserve"> مورد به مورد باید دلیل تام برای استثنا اقامه کرد یا اینکه از منظر دوم وارد </w:t>
      </w:r>
      <w:r w:rsidR="00D509B4" w:rsidRPr="00AF54D5">
        <w:rPr>
          <w:rFonts w:hint="cs"/>
          <w:rtl/>
        </w:rPr>
        <w:t>می‌شویم</w:t>
      </w:r>
      <w:r w:rsidRPr="00AF54D5">
        <w:rPr>
          <w:rFonts w:hint="cs"/>
          <w:rtl/>
        </w:rPr>
        <w:t xml:space="preserve"> که اطلاقی </w:t>
      </w:r>
      <w:r w:rsidRPr="00AF54D5">
        <w:rPr>
          <w:rFonts w:hint="cs"/>
          <w:rtl/>
        </w:rPr>
        <w:lastRenderedPageBreak/>
        <w:t xml:space="preserve">در کار نیست </w:t>
      </w:r>
      <w:r w:rsidR="00D509B4" w:rsidRPr="00AF54D5">
        <w:rPr>
          <w:rFonts w:hint="cs"/>
          <w:rtl/>
        </w:rPr>
        <w:t>آن‌وقت</w:t>
      </w:r>
      <w:r w:rsidRPr="00AF54D5">
        <w:rPr>
          <w:rFonts w:hint="cs"/>
          <w:rtl/>
        </w:rPr>
        <w:t xml:space="preserve"> کار مقداری </w:t>
      </w:r>
      <w:r w:rsidR="00D509B4" w:rsidRPr="00AF54D5">
        <w:rPr>
          <w:rFonts w:hint="cs"/>
          <w:rtl/>
        </w:rPr>
        <w:t>پیچیده‌تر</w:t>
      </w:r>
      <w:r w:rsidRPr="00AF54D5">
        <w:rPr>
          <w:rFonts w:hint="cs"/>
          <w:rtl/>
        </w:rPr>
        <w:t xml:space="preserve"> </w:t>
      </w:r>
      <w:r w:rsidR="00D509B4" w:rsidRPr="00AF54D5">
        <w:rPr>
          <w:rFonts w:hint="cs"/>
          <w:rtl/>
        </w:rPr>
        <w:t>می‌شود</w:t>
      </w:r>
      <w:r w:rsidRPr="00AF54D5">
        <w:rPr>
          <w:rFonts w:hint="cs"/>
          <w:rtl/>
        </w:rPr>
        <w:t xml:space="preserve"> ولی وجه حرمت نظر به سایر اعضا این </w:t>
      </w:r>
      <w:r w:rsidR="00D509B4" w:rsidRPr="00AF54D5">
        <w:rPr>
          <w:rFonts w:hint="cs"/>
          <w:rtl/>
        </w:rPr>
        <w:t>می‌شود</w:t>
      </w:r>
      <w:r w:rsidRPr="00AF54D5">
        <w:rPr>
          <w:rFonts w:hint="cs"/>
          <w:rtl/>
        </w:rPr>
        <w:t xml:space="preserve"> که مثل شعر و ذراع و امثال </w:t>
      </w:r>
      <w:r w:rsidR="00D509B4" w:rsidRPr="00AF54D5">
        <w:rPr>
          <w:rFonts w:hint="cs"/>
          <w:rtl/>
        </w:rPr>
        <w:t>این‌ها</w:t>
      </w:r>
      <w:r w:rsidRPr="00AF54D5">
        <w:rPr>
          <w:rFonts w:hint="cs"/>
          <w:rtl/>
        </w:rPr>
        <w:t xml:space="preserve"> دلایل واضحی برای حرمت نظر به </w:t>
      </w:r>
      <w:r w:rsidR="002267D3" w:rsidRPr="00AF54D5">
        <w:rPr>
          <w:rFonts w:hint="cs"/>
          <w:rtl/>
        </w:rPr>
        <w:t>آن‌ها</w:t>
      </w:r>
      <w:r w:rsidRPr="00AF54D5">
        <w:rPr>
          <w:rFonts w:hint="cs"/>
          <w:rtl/>
        </w:rPr>
        <w:t xml:space="preserve"> دارد</w:t>
      </w:r>
      <w:r w:rsidR="002267D3" w:rsidRPr="00AF54D5">
        <w:rPr>
          <w:rtl/>
        </w:rPr>
        <w:t>؛ و</w:t>
      </w:r>
      <w:r w:rsidRPr="00AF54D5">
        <w:rPr>
          <w:rFonts w:hint="cs"/>
          <w:rtl/>
        </w:rPr>
        <w:t xml:space="preserve"> </w:t>
      </w:r>
      <w:r w:rsidR="002267D3" w:rsidRPr="00AF54D5">
        <w:rPr>
          <w:rFonts w:hint="cs"/>
          <w:rtl/>
        </w:rPr>
        <w:t>آن‌ها</w:t>
      </w:r>
      <w:r w:rsidRPr="00AF54D5">
        <w:rPr>
          <w:rFonts w:hint="cs"/>
          <w:rtl/>
        </w:rPr>
        <w:t xml:space="preserve"> که ممنوع النظر شد به فحوا یا الغاء خصوصیت غالب اعضا یحرم النظر الیها. این در تقریر دوم که اطلاق نیست بلکه الغاء خصوصیت یا فحوا است همه اعضا </w:t>
      </w:r>
      <w:r w:rsidR="00D509B4" w:rsidRPr="00AF54D5">
        <w:rPr>
          <w:rFonts w:hint="cs"/>
          <w:rtl/>
        </w:rPr>
        <w:t>این‌طور</w:t>
      </w:r>
      <w:r w:rsidRPr="00AF54D5">
        <w:rPr>
          <w:rFonts w:hint="cs"/>
          <w:rtl/>
        </w:rPr>
        <w:t xml:space="preserve"> نیست. پاها ساق </w:t>
      </w:r>
      <w:r w:rsidR="00D509B4" w:rsidRPr="00AF54D5">
        <w:rPr>
          <w:rFonts w:hint="cs"/>
          <w:rtl/>
        </w:rPr>
        <w:t>این‌طور</w:t>
      </w:r>
      <w:r w:rsidRPr="00AF54D5">
        <w:rPr>
          <w:rFonts w:hint="cs"/>
          <w:rtl/>
        </w:rPr>
        <w:t xml:space="preserve"> است</w:t>
      </w:r>
      <w:r w:rsidR="002267D3" w:rsidRPr="00AF54D5">
        <w:rPr>
          <w:rtl/>
        </w:rPr>
        <w:t xml:space="preserve">؛ </w:t>
      </w:r>
      <w:r w:rsidRPr="00AF54D5">
        <w:rPr>
          <w:rFonts w:hint="cs"/>
          <w:rtl/>
        </w:rPr>
        <w:t>اما اینکه مقداری اطراف صورت یا قدمین یا موضع السوار از جاهایی است که شاید بشود بگوییم الغاء خصوصیت یا فحوا نیست.</w:t>
      </w:r>
    </w:p>
    <w:p w:rsidR="00D6691F" w:rsidRPr="00AF54D5" w:rsidRDefault="00D509B4" w:rsidP="00D6691F">
      <w:pPr>
        <w:rPr>
          <w:rtl/>
        </w:rPr>
      </w:pPr>
      <w:r w:rsidRPr="00AF54D5">
        <w:rPr>
          <w:rFonts w:hint="cs"/>
          <w:rtl/>
        </w:rPr>
        <w:t>سؤال</w:t>
      </w:r>
      <w:r w:rsidR="00D6691F" w:rsidRPr="00AF54D5">
        <w:rPr>
          <w:rFonts w:hint="cs"/>
          <w:rtl/>
        </w:rPr>
        <w:t xml:space="preserve">: اگر </w:t>
      </w:r>
      <w:r w:rsidRPr="00AF54D5">
        <w:rPr>
          <w:rFonts w:hint="cs"/>
          <w:rtl/>
        </w:rPr>
        <w:t>این‌ها</w:t>
      </w:r>
      <w:r w:rsidR="00D6691F" w:rsidRPr="00AF54D5">
        <w:rPr>
          <w:rFonts w:hint="cs"/>
          <w:rtl/>
        </w:rPr>
        <w:t xml:space="preserve"> نباشد ادله جواز هم فرض کنید منتفی شود. جواز </w:t>
      </w:r>
      <w:r w:rsidRPr="00AF54D5">
        <w:rPr>
          <w:rFonts w:hint="cs"/>
          <w:rtl/>
        </w:rPr>
        <w:t>علی‌القاعده</w:t>
      </w:r>
      <w:r w:rsidR="00D6691F" w:rsidRPr="00AF54D5">
        <w:rPr>
          <w:rFonts w:hint="cs"/>
          <w:rtl/>
        </w:rPr>
        <w:t xml:space="preserve"> است دیگر.</w:t>
      </w:r>
    </w:p>
    <w:p w:rsidR="00D6691F" w:rsidRPr="00AF54D5" w:rsidRDefault="00D6691F" w:rsidP="002267D3">
      <w:pPr>
        <w:rPr>
          <w:rtl/>
        </w:rPr>
      </w:pPr>
      <w:r w:rsidRPr="00AF54D5">
        <w:rPr>
          <w:rFonts w:hint="cs"/>
          <w:rtl/>
        </w:rPr>
        <w:t xml:space="preserve">جواب: بله. گفتیم اگر اطلاق را نپذیریم ممکن است بگوییم نظر جایز است و مکملش هم همین است که اطلاق نیست و فحوا هم نیست لذا ممکن است بگوییم نظر جایز است. </w:t>
      </w:r>
      <w:r w:rsidR="00D14C56" w:rsidRPr="00AF54D5">
        <w:rPr>
          <w:rFonts w:hint="cs"/>
          <w:rtl/>
        </w:rPr>
        <w:t xml:space="preserve">اینکه </w:t>
      </w:r>
      <w:r w:rsidR="00D509B4" w:rsidRPr="00AF54D5">
        <w:rPr>
          <w:rFonts w:hint="cs"/>
          <w:rtl/>
        </w:rPr>
        <w:t>می‌گویم</w:t>
      </w:r>
      <w:r w:rsidR="00D14C56" w:rsidRPr="00AF54D5">
        <w:rPr>
          <w:rFonts w:hint="cs"/>
          <w:rtl/>
        </w:rPr>
        <w:t xml:space="preserve"> ترجیح داده </w:t>
      </w:r>
      <w:r w:rsidR="00D509B4" w:rsidRPr="00AF54D5">
        <w:rPr>
          <w:rFonts w:hint="cs"/>
          <w:rtl/>
        </w:rPr>
        <w:t>می‌شود</w:t>
      </w:r>
      <w:r w:rsidR="00D14C56" w:rsidRPr="00AF54D5">
        <w:rPr>
          <w:rFonts w:hint="cs"/>
          <w:rtl/>
        </w:rPr>
        <w:t xml:space="preserve"> به خاطر همین است که دو راه برای شمول حرمت نظر به همه اعضا </w:t>
      </w:r>
      <w:r w:rsidR="00D509B4" w:rsidRPr="00AF54D5">
        <w:rPr>
          <w:rFonts w:hint="cs"/>
          <w:rtl/>
        </w:rPr>
        <w:t>به‌جز</w:t>
      </w:r>
      <w:r w:rsidR="00D14C56" w:rsidRPr="00AF54D5">
        <w:rPr>
          <w:rFonts w:hint="cs"/>
          <w:rtl/>
        </w:rPr>
        <w:t xml:space="preserve"> وجه و کفین داریم. یکی اطلاق یا عمومی برای حرمت نظر به جمیع اعضای مر</w:t>
      </w:r>
      <w:r w:rsidR="002267D3" w:rsidRPr="00AF54D5">
        <w:rPr>
          <w:rFonts w:hint="cs"/>
          <w:rtl/>
        </w:rPr>
        <w:t>أ</w:t>
      </w:r>
      <w:r w:rsidR="00D14C56" w:rsidRPr="00AF54D5">
        <w:rPr>
          <w:rFonts w:hint="cs"/>
          <w:rtl/>
        </w:rPr>
        <w:t>ه اجنبیه اگر باشد که این محل تأمل بود. دوم اینکه الغاء خصوصیت و فحوا از شعر و ذراع است که این الغاء خصوصیت غالب اعضای جسد مر</w:t>
      </w:r>
      <w:r w:rsidR="002267D3" w:rsidRPr="00AF54D5">
        <w:rPr>
          <w:rFonts w:hint="cs"/>
          <w:rtl/>
        </w:rPr>
        <w:t>أ</w:t>
      </w:r>
      <w:r w:rsidR="00D14C56" w:rsidRPr="00AF54D5">
        <w:rPr>
          <w:rFonts w:hint="cs"/>
          <w:rtl/>
        </w:rPr>
        <w:t xml:space="preserve">ه اجنبیه را </w:t>
      </w:r>
      <w:r w:rsidR="00D509B4" w:rsidRPr="00AF54D5">
        <w:rPr>
          <w:rFonts w:hint="cs"/>
          <w:rtl/>
        </w:rPr>
        <w:t>می‌گیرد</w:t>
      </w:r>
      <w:r w:rsidR="00D14C56" w:rsidRPr="00AF54D5">
        <w:rPr>
          <w:rFonts w:hint="cs"/>
          <w:rtl/>
        </w:rPr>
        <w:t xml:space="preserve"> ولی بعضی </w:t>
      </w:r>
      <w:r w:rsidR="00D509B4" w:rsidRPr="00AF54D5">
        <w:rPr>
          <w:rFonts w:hint="cs"/>
          <w:rtl/>
        </w:rPr>
        <w:t>قسمت‌ها</w:t>
      </w:r>
      <w:r w:rsidR="00D14C56" w:rsidRPr="00AF54D5">
        <w:rPr>
          <w:rFonts w:hint="cs"/>
          <w:rtl/>
        </w:rPr>
        <w:t xml:space="preserve"> را ن</w:t>
      </w:r>
      <w:r w:rsidR="00D509B4" w:rsidRPr="00AF54D5">
        <w:rPr>
          <w:rFonts w:hint="cs"/>
          <w:rtl/>
        </w:rPr>
        <w:t>می‌گیرد</w:t>
      </w:r>
      <w:r w:rsidR="00D14C56" w:rsidRPr="00AF54D5">
        <w:rPr>
          <w:rFonts w:hint="cs"/>
          <w:rtl/>
        </w:rPr>
        <w:t xml:space="preserve">. مثل پا و مقداری از مچ حتی اطراف صورت یا زیر چانه که کمی پیداست. </w:t>
      </w:r>
      <w:r w:rsidR="00D509B4" w:rsidRPr="00AF54D5">
        <w:rPr>
          <w:rFonts w:hint="cs"/>
          <w:rtl/>
        </w:rPr>
        <w:t>این‌ها</w:t>
      </w:r>
      <w:r w:rsidR="00D14C56" w:rsidRPr="00AF54D5">
        <w:rPr>
          <w:rFonts w:hint="cs"/>
          <w:rtl/>
        </w:rPr>
        <w:t xml:space="preserve"> مواضعی است که ممکن است کسی بگوید دلیلی بر حرمت نداریم. این را هم </w:t>
      </w:r>
      <w:r w:rsidR="00D509B4" w:rsidRPr="00AF54D5">
        <w:rPr>
          <w:rFonts w:hint="cs"/>
          <w:rtl/>
        </w:rPr>
        <w:t>قبلاً</w:t>
      </w:r>
      <w:r w:rsidR="00D14C56" w:rsidRPr="00AF54D5">
        <w:rPr>
          <w:rFonts w:hint="cs"/>
          <w:rtl/>
        </w:rPr>
        <w:t xml:space="preserve"> </w:t>
      </w:r>
      <w:r w:rsidR="00D509B4" w:rsidRPr="00AF54D5">
        <w:rPr>
          <w:rFonts w:hint="cs"/>
          <w:rtl/>
        </w:rPr>
        <w:t>به‌عنوان</w:t>
      </w:r>
      <w:r w:rsidR="00D14C56" w:rsidRPr="00AF54D5">
        <w:rPr>
          <w:rFonts w:hint="cs"/>
          <w:rtl/>
        </w:rPr>
        <w:t xml:space="preserve"> دلیل در قدمین گفتیم در موضع السوار و دست و مچ هم </w:t>
      </w:r>
      <w:r w:rsidR="00D509B4" w:rsidRPr="00AF54D5">
        <w:rPr>
          <w:rFonts w:hint="cs"/>
          <w:rtl/>
        </w:rPr>
        <w:t>می‌آید</w:t>
      </w:r>
      <w:r w:rsidR="00D14C56" w:rsidRPr="00AF54D5">
        <w:rPr>
          <w:rFonts w:hint="cs"/>
          <w:rtl/>
        </w:rPr>
        <w:t xml:space="preserve"> ولی هم در قدم هم مچ روایتی هم داشتیم. معارضش هم معارض تامی نیست و اجمالی دارد اگر نگوییم بیشتر به آن سمت ظهور دارد.</w:t>
      </w:r>
    </w:p>
    <w:p w:rsidR="00D14C56" w:rsidRPr="00AF54D5" w:rsidRDefault="00D509B4" w:rsidP="00D6691F">
      <w:pPr>
        <w:rPr>
          <w:rtl/>
        </w:rPr>
      </w:pPr>
      <w:r w:rsidRPr="00AF54D5">
        <w:rPr>
          <w:rFonts w:hint="cs"/>
          <w:rtl/>
        </w:rPr>
        <w:t>سؤال</w:t>
      </w:r>
      <w:r w:rsidR="00D14C56" w:rsidRPr="00AF54D5">
        <w:rPr>
          <w:rFonts w:hint="cs"/>
          <w:rtl/>
        </w:rPr>
        <w:t xml:space="preserve">: ... </w:t>
      </w:r>
      <w:r w:rsidRPr="00AF54D5">
        <w:rPr>
          <w:rFonts w:hint="cs"/>
          <w:rtl/>
        </w:rPr>
        <w:t>می‌شود</w:t>
      </w:r>
      <w:r w:rsidR="00D14C56" w:rsidRPr="00AF54D5">
        <w:rPr>
          <w:rFonts w:hint="cs"/>
          <w:rtl/>
        </w:rPr>
        <w:t xml:space="preserve"> برائت دیگر.</w:t>
      </w:r>
    </w:p>
    <w:p w:rsidR="00D14C56" w:rsidRPr="00AF54D5" w:rsidRDefault="00D14C56" w:rsidP="00D6691F">
      <w:pPr>
        <w:rPr>
          <w:rtl/>
        </w:rPr>
      </w:pPr>
      <w:r w:rsidRPr="00AF54D5">
        <w:rPr>
          <w:rFonts w:hint="cs"/>
          <w:rtl/>
        </w:rPr>
        <w:t xml:space="preserve">جواب: بله دلیل حرمت تام نیست حدیث رفع جاری </w:t>
      </w:r>
      <w:r w:rsidR="00D509B4" w:rsidRPr="00AF54D5">
        <w:rPr>
          <w:rFonts w:hint="cs"/>
          <w:rtl/>
        </w:rPr>
        <w:t>می‌شود</w:t>
      </w:r>
      <w:r w:rsidRPr="00AF54D5">
        <w:rPr>
          <w:rFonts w:hint="cs"/>
          <w:rtl/>
        </w:rPr>
        <w:t>.</w:t>
      </w:r>
    </w:p>
    <w:p w:rsidR="00D14C56" w:rsidRPr="00AF54D5" w:rsidRDefault="00D509B4" w:rsidP="00D509B4">
      <w:pPr>
        <w:pStyle w:val="Heading2"/>
        <w:rPr>
          <w:rFonts w:ascii="Traditional Arabic" w:hAnsi="Traditional Arabic" w:cs="Traditional Arabic"/>
          <w:rtl/>
        </w:rPr>
      </w:pPr>
      <w:bookmarkStart w:id="19" w:name="_Toc59892037"/>
      <w:r w:rsidRPr="00AF54D5">
        <w:rPr>
          <w:rFonts w:ascii="Traditional Arabic" w:hAnsi="Traditional Arabic" w:cs="Traditional Arabic" w:hint="cs"/>
          <w:rtl/>
        </w:rPr>
        <w:t>مورد سوم: چانه</w:t>
      </w:r>
      <w:bookmarkEnd w:id="19"/>
    </w:p>
    <w:p w:rsidR="00D14C56" w:rsidRPr="00AF54D5" w:rsidRDefault="00D14C56" w:rsidP="00D6691F">
      <w:pPr>
        <w:rPr>
          <w:rtl/>
        </w:rPr>
      </w:pPr>
      <w:r w:rsidRPr="00AF54D5">
        <w:rPr>
          <w:rFonts w:hint="cs"/>
          <w:rtl/>
        </w:rPr>
        <w:t xml:space="preserve">در ارتباط چانه و </w:t>
      </w:r>
      <w:r w:rsidR="00D509B4" w:rsidRPr="00AF54D5">
        <w:rPr>
          <w:rFonts w:hint="cs"/>
          <w:rtl/>
        </w:rPr>
        <w:t>این‌هاست</w:t>
      </w:r>
      <w:r w:rsidRPr="00AF54D5">
        <w:rPr>
          <w:rFonts w:hint="cs"/>
          <w:rtl/>
        </w:rPr>
        <w:t xml:space="preserve"> که ممکن است کسی بگوید از مواردی است که </w:t>
      </w:r>
      <w:r w:rsidR="002267D3" w:rsidRPr="00AF54D5">
        <w:rPr>
          <w:rFonts w:hint="cs"/>
          <w:rtl/>
        </w:rPr>
        <w:t xml:space="preserve">جواز نظر </w:t>
      </w:r>
      <w:r w:rsidRPr="00AF54D5">
        <w:rPr>
          <w:rFonts w:hint="cs"/>
          <w:rtl/>
        </w:rPr>
        <w:t xml:space="preserve">دارد. در چانه مثل </w:t>
      </w:r>
      <w:r w:rsidR="00D509B4" w:rsidRPr="00AF54D5">
        <w:rPr>
          <w:rFonts w:hint="cs"/>
          <w:rtl/>
        </w:rPr>
        <w:t>بحث‌های</w:t>
      </w:r>
      <w:r w:rsidRPr="00AF54D5">
        <w:rPr>
          <w:rFonts w:hint="cs"/>
          <w:rtl/>
        </w:rPr>
        <w:t xml:space="preserve"> قبلی </w:t>
      </w:r>
      <w:r w:rsidR="00D509B4" w:rsidRPr="00AF54D5">
        <w:rPr>
          <w:rFonts w:hint="cs"/>
          <w:rtl/>
        </w:rPr>
        <w:t>می‌شود</w:t>
      </w:r>
      <w:r w:rsidRPr="00AF54D5">
        <w:rPr>
          <w:rFonts w:hint="cs"/>
          <w:rtl/>
        </w:rPr>
        <w:t xml:space="preserve"> دو دلیل اقامه کرد. یکی همین صحیحه فضیل است که مادون الخمار احتمالاتی داشت که یکی ممکن است </w:t>
      </w:r>
      <w:r w:rsidR="00D509B4" w:rsidRPr="00AF54D5">
        <w:rPr>
          <w:rFonts w:hint="cs"/>
          <w:rtl/>
        </w:rPr>
        <w:t>پایین‌تر</w:t>
      </w:r>
      <w:r w:rsidRPr="00AF54D5">
        <w:rPr>
          <w:rFonts w:hint="cs"/>
          <w:rtl/>
        </w:rPr>
        <w:t xml:space="preserve"> از خمار که صورت را </w:t>
      </w:r>
      <w:r w:rsidR="00D509B4" w:rsidRPr="00AF54D5">
        <w:rPr>
          <w:rFonts w:hint="cs"/>
          <w:rtl/>
        </w:rPr>
        <w:t>می‌گرفت</w:t>
      </w:r>
      <w:r w:rsidRPr="00AF54D5">
        <w:rPr>
          <w:rFonts w:hint="cs"/>
          <w:rtl/>
        </w:rPr>
        <w:t xml:space="preserve"> و وقتی به سینه یا گردن برسد </w:t>
      </w:r>
      <w:r w:rsidR="00D509B4" w:rsidRPr="00AF54D5">
        <w:rPr>
          <w:rFonts w:hint="cs"/>
          <w:rtl/>
        </w:rPr>
        <w:t>قطعاً</w:t>
      </w:r>
      <w:r w:rsidRPr="00AF54D5">
        <w:rPr>
          <w:rFonts w:hint="cs"/>
          <w:rtl/>
        </w:rPr>
        <w:t xml:space="preserve"> جایز نیست اما در حد چانه ممکن است در مادون الخمار وارد باشد.</w:t>
      </w:r>
    </w:p>
    <w:p w:rsidR="00D14C56" w:rsidRPr="00AF54D5" w:rsidRDefault="00D14C56" w:rsidP="00D6691F">
      <w:pPr>
        <w:rPr>
          <w:rtl/>
        </w:rPr>
      </w:pPr>
      <w:r w:rsidRPr="00AF54D5">
        <w:rPr>
          <w:rFonts w:hint="cs"/>
          <w:rtl/>
        </w:rPr>
        <w:t xml:space="preserve">دلیل دوم هم همان دلیلی </w:t>
      </w:r>
      <w:r w:rsidR="00D509B4" w:rsidRPr="00AF54D5">
        <w:rPr>
          <w:rFonts w:hint="cs"/>
          <w:rtl/>
        </w:rPr>
        <w:t>است که</w:t>
      </w:r>
      <w:r w:rsidRPr="00AF54D5">
        <w:rPr>
          <w:rFonts w:hint="cs"/>
          <w:rtl/>
        </w:rPr>
        <w:t xml:space="preserve"> در </w:t>
      </w:r>
      <w:r w:rsidR="00D509B4" w:rsidRPr="00AF54D5">
        <w:rPr>
          <w:rFonts w:hint="cs"/>
          <w:rtl/>
        </w:rPr>
        <w:t>قبلی‌ها</w:t>
      </w:r>
      <w:r w:rsidRPr="00AF54D5">
        <w:rPr>
          <w:rFonts w:hint="cs"/>
          <w:rtl/>
        </w:rPr>
        <w:t xml:space="preserve"> هم اشاره کردیم که اطلاق نداریم، فحوا و الغاء خصوصیت از ادله حرمت نظر به شعر و ذراع و ساق و امثال </w:t>
      </w:r>
      <w:r w:rsidR="00D509B4" w:rsidRPr="00AF54D5">
        <w:rPr>
          <w:rFonts w:hint="cs"/>
          <w:rtl/>
        </w:rPr>
        <w:t>این‌ها</w:t>
      </w:r>
      <w:r w:rsidRPr="00AF54D5">
        <w:rPr>
          <w:rFonts w:hint="cs"/>
          <w:rtl/>
        </w:rPr>
        <w:t xml:space="preserve"> هم شامل مثل قدمین و موضع السوار و قسمتی بیش از صورت </w:t>
      </w:r>
      <w:r w:rsidR="00D509B4" w:rsidRPr="00AF54D5">
        <w:rPr>
          <w:rFonts w:hint="cs"/>
          <w:rtl/>
        </w:rPr>
        <w:t>نمی‌شود</w:t>
      </w:r>
      <w:r w:rsidRPr="00AF54D5">
        <w:rPr>
          <w:rFonts w:hint="cs"/>
          <w:rtl/>
        </w:rPr>
        <w:t xml:space="preserve"> و دلیل </w:t>
      </w:r>
      <w:r w:rsidR="00D509B4" w:rsidRPr="00AF54D5">
        <w:rPr>
          <w:rFonts w:hint="cs"/>
          <w:rtl/>
        </w:rPr>
        <w:t>این‌ها</w:t>
      </w:r>
      <w:r w:rsidRPr="00AF54D5">
        <w:rPr>
          <w:rFonts w:hint="cs"/>
          <w:rtl/>
        </w:rPr>
        <w:t xml:space="preserve"> را ن</w:t>
      </w:r>
      <w:r w:rsidR="00D509B4" w:rsidRPr="00AF54D5">
        <w:rPr>
          <w:rFonts w:hint="cs"/>
          <w:rtl/>
        </w:rPr>
        <w:t>می‌گیرد</w:t>
      </w:r>
      <w:r w:rsidRPr="00AF54D5">
        <w:rPr>
          <w:rFonts w:hint="cs"/>
          <w:rtl/>
        </w:rPr>
        <w:t xml:space="preserve">. لذا طبق برائت نظر به </w:t>
      </w:r>
      <w:r w:rsidR="002267D3" w:rsidRPr="00AF54D5">
        <w:rPr>
          <w:rFonts w:hint="cs"/>
          <w:rtl/>
        </w:rPr>
        <w:t>آن‌ها</w:t>
      </w:r>
      <w:r w:rsidRPr="00AF54D5">
        <w:rPr>
          <w:rFonts w:hint="cs"/>
          <w:rtl/>
        </w:rPr>
        <w:t xml:space="preserve"> جایز ا</w:t>
      </w:r>
      <w:r w:rsidR="00D509B4" w:rsidRPr="00AF54D5">
        <w:rPr>
          <w:rFonts w:hint="cs"/>
          <w:rtl/>
        </w:rPr>
        <w:t>س</w:t>
      </w:r>
      <w:r w:rsidRPr="00AF54D5">
        <w:rPr>
          <w:rFonts w:hint="cs"/>
          <w:rtl/>
        </w:rPr>
        <w:t>ت.</w:t>
      </w:r>
    </w:p>
    <w:p w:rsidR="00D14C56" w:rsidRPr="00AF54D5" w:rsidRDefault="00D14C56" w:rsidP="00D6691F">
      <w:pPr>
        <w:rPr>
          <w:rtl/>
        </w:rPr>
      </w:pPr>
      <w:r w:rsidRPr="00AF54D5">
        <w:rPr>
          <w:rFonts w:hint="cs"/>
          <w:rtl/>
        </w:rPr>
        <w:t xml:space="preserve">این سه موردی است که قابل این است که به شکلی </w:t>
      </w:r>
      <w:r w:rsidR="002267D3" w:rsidRPr="00AF54D5">
        <w:rPr>
          <w:rFonts w:hint="cs"/>
          <w:rtl/>
        </w:rPr>
        <w:t xml:space="preserve">جواز نظر </w:t>
      </w:r>
      <w:r w:rsidRPr="00AF54D5">
        <w:rPr>
          <w:rFonts w:hint="cs"/>
          <w:rtl/>
        </w:rPr>
        <w:t xml:space="preserve">به آن تعمیم پیدا کند. آنچه </w:t>
      </w:r>
      <w:r w:rsidR="00D509B4" w:rsidRPr="00AF54D5">
        <w:rPr>
          <w:rFonts w:hint="cs"/>
          <w:rtl/>
        </w:rPr>
        <w:t>می‌تواند</w:t>
      </w:r>
      <w:r w:rsidRPr="00AF54D5">
        <w:rPr>
          <w:rFonts w:hint="cs"/>
          <w:rtl/>
        </w:rPr>
        <w:t xml:space="preserve"> جلو </w:t>
      </w:r>
      <w:r w:rsidR="002267D3" w:rsidRPr="00AF54D5">
        <w:rPr>
          <w:rFonts w:hint="cs"/>
          <w:rtl/>
        </w:rPr>
        <w:t>جو</w:t>
      </w:r>
      <w:r w:rsidR="00D509B4" w:rsidRPr="00AF54D5">
        <w:rPr>
          <w:rFonts w:hint="cs"/>
          <w:rtl/>
        </w:rPr>
        <w:t>از</w:t>
      </w:r>
      <w:r w:rsidR="002267D3" w:rsidRPr="00AF54D5">
        <w:rPr>
          <w:rFonts w:hint="cs"/>
          <w:rtl/>
        </w:rPr>
        <w:t xml:space="preserve"> </w:t>
      </w:r>
      <w:r w:rsidR="00D509B4" w:rsidRPr="00AF54D5">
        <w:rPr>
          <w:rFonts w:hint="cs"/>
          <w:rtl/>
        </w:rPr>
        <w:t>نظر</w:t>
      </w:r>
      <w:r w:rsidRPr="00AF54D5">
        <w:rPr>
          <w:rFonts w:hint="cs"/>
          <w:rtl/>
        </w:rPr>
        <w:t xml:space="preserve"> یا برائت را بگیرد یا این است که بگوییم اطلاق داریم یا اگر اطلاق نیست فحوا و الغاء خصوصیت </w:t>
      </w:r>
      <w:r w:rsidR="00D509B4" w:rsidRPr="00AF54D5">
        <w:rPr>
          <w:rFonts w:hint="cs"/>
          <w:rtl/>
        </w:rPr>
        <w:t>این‌ها</w:t>
      </w:r>
      <w:r w:rsidRPr="00AF54D5">
        <w:rPr>
          <w:rFonts w:hint="cs"/>
          <w:rtl/>
        </w:rPr>
        <w:t xml:space="preserve"> را در </w:t>
      </w:r>
      <w:r w:rsidR="00D509B4" w:rsidRPr="00AF54D5">
        <w:rPr>
          <w:rFonts w:hint="cs"/>
          <w:rtl/>
        </w:rPr>
        <w:t>برمی‌گیرد</w:t>
      </w:r>
      <w:r w:rsidRPr="00AF54D5">
        <w:rPr>
          <w:rFonts w:hint="cs"/>
          <w:rtl/>
        </w:rPr>
        <w:t xml:space="preserve"> سوم اینکه مثل روایت مادون الخمار و مادون السوار را طوری معنا کنیم که شامل </w:t>
      </w:r>
      <w:r w:rsidR="00D509B4" w:rsidRPr="00AF54D5">
        <w:rPr>
          <w:rFonts w:hint="cs"/>
          <w:rtl/>
        </w:rPr>
        <w:t>این‌ها</w:t>
      </w:r>
      <w:r w:rsidRPr="00AF54D5">
        <w:rPr>
          <w:rFonts w:hint="cs"/>
          <w:rtl/>
        </w:rPr>
        <w:t xml:space="preserve"> هم بشود. هر سه استدلال محل مناقشه است. از </w:t>
      </w:r>
      <w:r w:rsidR="00D509B4" w:rsidRPr="00AF54D5">
        <w:rPr>
          <w:rFonts w:hint="cs"/>
          <w:rtl/>
        </w:rPr>
        <w:t>آن‌طرف</w:t>
      </w:r>
      <w:r w:rsidRPr="00AF54D5">
        <w:rPr>
          <w:rFonts w:hint="cs"/>
          <w:rtl/>
        </w:rPr>
        <w:t xml:space="preserve"> در خصوص کفان و موضع السوار که روایت و دلیلی هم داشتیم گرچه سند تام نبود. لذا بی ترجیح نیست که این دو سه مورد هم جزء مستثنیات نظر باشد ولی </w:t>
      </w:r>
      <w:r w:rsidR="00D509B4" w:rsidRPr="00AF54D5">
        <w:rPr>
          <w:rFonts w:hint="cs"/>
          <w:rtl/>
        </w:rPr>
        <w:t>درعین‌حال</w:t>
      </w:r>
      <w:r w:rsidRPr="00AF54D5">
        <w:rPr>
          <w:rFonts w:hint="cs"/>
          <w:rtl/>
        </w:rPr>
        <w:t xml:space="preserve"> یک ترجیحی است و انتخاب نیست.</w:t>
      </w:r>
    </w:p>
    <w:p w:rsidR="00D14C56" w:rsidRPr="00AF54D5" w:rsidRDefault="00D509B4" w:rsidP="00D6691F">
      <w:pPr>
        <w:rPr>
          <w:rtl/>
        </w:rPr>
      </w:pPr>
      <w:r w:rsidRPr="00AF54D5">
        <w:rPr>
          <w:rFonts w:hint="cs"/>
          <w:rtl/>
        </w:rPr>
        <w:lastRenderedPageBreak/>
        <w:t>سؤال</w:t>
      </w:r>
      <w:r w:rsidR="00D14C56" w:rsidRPr="00AF54D5">
        <w:rPr>
          <w:rFonts w:hint="cs"/>
          <w:rtl/>
        </w:rPr>
        <w:t xml:space="preserve">: </w:t>
      </w:r>
      <w:r w:rsidRPr="00AF54D5">
        <w:rPr>
          <w:rFonts w:hint="cs"/>
          <w:rtl/>
        </w:rPr>
        <w:t>عبارت‌های</w:t>
      </w:r>
      <w:r w:rsidR="00D14C56" w:rsidRPr="00AF54D5">
        <w:rPr>
          <w:rFonts w:hint="cs"/>
          <w:rtl/>
        </w:rPr>
        <w:t xml:space="preserve"> مختلفی برای </w:t>
      </w:r>
      <w:r w:rsidR="002267D3" w:rsidRPr="00AF54D5">
        <w:rPr>
          <w:rFonts w:hint="cs"/>
          <w:rtl/>
        </w:rPr>
        <w:t xml:space="preserve">جواز نظر </w:t>
      </w:r>
      <w:r w:rsidR="00D14C56" w:rsidRPr="00AF54D5">
        <w:rPr>
          <w:rFonts w:hint="cs"/>
          <w:rtl/>
        </w:rPr>
        <w:t xml:space="preserve">وجه و کفین ذکر </w:t>
      </w:r>
      <w:r w:rsidRPr="00AF54D5">
        <w:rPr>
          <w:rFonts w:hint="cs"/>
          <w:rtl/>
        </w:rPr>
        <w:t>می‌شود</w:t>
      </w:r>
      <w:r w:rsidR="00D14C56" w:rsidRPr="00AF54D5">
        <w:rPr>
          <w:rFonts w:hint="cs"/>
          <w:rtl/>
        </w:rPr>
        <w:t xml:space="preserve"> و چیز دیگری ذکر </w:t>
      </w:r>
      <w:r w:rsidRPr="00AF54D5">
        <w:rPr>
          <w:rFonts w:hint="cs"/>
          <w:rtl/>
        </w:rPr>
        <w:t>نمی‌شود</w:t>
      </w:r>
      <w:r w:rsidR="00D14C56" w:rsidRPr="00AF54D5">
        <w:rPr>
          <w:rFonts w:hint="cs"/>
          <w:rtl/>
        </w:rPr>
        <w:t xml:space="preserve"> دلیل بر انحصار نیست؟</w:t>
      </w:r>
    </w:p>
    <w:p w:rsidR="00D14C56" w:rsidRPr="00AF54D5" w:rsidRDefault="00D14C56" w:rsidP="00D6691F">
      <w:pPr>
        <w:rPr>
          <w:rtl/>
        </w:rPr>
      </w:pPr>
      <w:r w:rsidRPr="00AF54D5">
        <w:rPr>
          <w:rFonts w:hint="cs"/>
          <w:rtl/>
        </w:rPr>
        <w:t xml:space="preserve">جواب: خیر در همین روایات </w:t>
      </w:r>
      <w:r w:rsidR="00D509B4" w:rsidRPr="00AF54D5">
        <w:rPr>
          <w:rFonts w:hint="cs"/>
          <w:rtl/>
        </w:rPr>
        <w:t>هم‌جایی</w:t>
      </w:r>
      <w:r w:rsidRPr="00AF54D5">
        <w:rPr>
          <w:rFonts w:hint="cs"/>
          <w:rtl/>
        </w:rPr>
        <w:t xml:space="preserve"> داشتیم که غیر وجه و کفین هم </w:t>
      </w:r>
      <w:r w:rsidR="00D509B4" w:rsidRPr="00AF54D5">
        <w:rPr>
          <w:rFonts w:hint="cs"/>
          <w:rtl/>
        </w:rPr>
        <w:t>اشاره‌شده</w:t>
      </w:r>
      <w:r w:rsidRPr="00AF54D5">
        <w:rPr>
          <w:rFonts w:hint="cs"/>
          <w:rtl/>
        </w:rPr>
        <w:t xml:space="preserve"> بود.</w:t>
      </w:r>
    </w:p>
    <w:p w:rsidR="00D14C56" w:rsidRPr="00AF54D5" w:rsidRDefault="00D509B4" w:rsidP="00D6691F">
      <w:pPr>
        <w:rPr>
          <w:rtl/>
        </w:rPr>
      </w:pPr>
      <w:r w:rsidRPr="00AF54D5">
        <w:rPr>
          <w:rFonts w:hint="cs"/>
          <w:rtl/>
        </w:rPr>
        <w:t>سؤال</w:t>
      </w:r>
      <w:r w:rsidR="00D14C56" w:rsidRPr="00AF54D5">
        <w:rPr>
          <w:rFonts w:hint="cs"/>
          <w:rtl/>
        </w:rPr>
        <w:t xml:space="preserve">: اگر نسبت سنجی شویم </w:t>
      </w:r>
      <w:r w:rsidRPr="00AF54D5">
        <w:rPr>
          <w:rFonts w:hint="cs"/>
          <w:rtl/>
        </w:rPr>
        <w:t>آن‌طرف</w:t>
      </w:r>
      <w:r w:rsidR="00D14C56" w:rsidRPr="00AF54D5">
        <w:rPr>
          <w:rFonts w:hint="cs"/>
          <w:rtl/>
        </w:rPr>
        <w:t>...</w:t>
      </w:r>
    </w:p>
    <w:p w:rsidR="00D14C56" w:rsidRPr="00AF54D5" w:rsidRDefault="00D14C56" w:rsidP="00A920FE">
      <w:pPr>
        <w:rPr>
          <w:rtl/>
        </w:rPr>
      </w:pPr>
      <w:r w:rsidRPr="00AF54D5">
        <w:rPr>
          <w:rFonts w:hint="cs"/>
          <w:rtl/>
        </w:rPr>
        <w:t xml:space="preserve">جواب: خیلی زیاد نیست آن استدلالات و ادله را دیشب نگاه کردم دو سه تا </w:t>
      </w:r>
      <w:r w:rsidR="00D509B4" w:rsidRPr="00AF54D5">
        <w:rPr>
          <w:rFonts w:hint="cs"/>
          <w:rtl/>
        </w:rPr>
        <w:t>مثلاً</w:t>
      </w:r>
      <w:r w:rsidRPr="00AF54D5">
        <w:rPr>
          <w:rFonts w:hint="cs"/>
          <w:rtl/>
        </w:rPr>
        <w:t xml:space="preserve"> در مورد دیدن حضرت زهرا است و کاری به چیزهای دیگر ندارد. مقام حصر نیست. از این قبیل است و اینکه بگوییم حصری از </w:t>
      </w:r>
      <w:r w:rsidR="00D509B4" w:rsidRPr="00AF54D5">
        <w:rPr>
          <w:rFonts w:hint="cs"/>
          <w:rtl/>
        </w:rPr>
        <w:t>این‌ها</w:t>
      </w:r>
      <w:r w:rsidRPr="00AF54D5">
        <w:rPr>
          <w:rFonts w:hint="cs"/>
          <w:rtl/>
        </w:rPr>
        <w:t xml:space="preserve"> افاده </w:t>
      </w:r>
      <w:r w:rsidR="00D509B4" w:rsidRPr="00AF54D5">
        <w:rPr>
          <w:rFonts w:hint="cs"/>
          <w:rtl/>
        </w:rPr>
        <w:t>می‌شود</w:t>
      </w:r>
      <w:r w:rsidRPr="00AF54D5">
        <w:rPr>
          <w:rFonts w:hint="cs"/>
          <w:rtl/>
        </w:rPr>
        <w:t xml:space="preserve"> نه. </w:t>
      </w:r>
      <w:r w:rsidR="00D509B4" w:rsidRPr="00AF54D5">
        <w:rPr>
          <w:rFonts w:hint="cs"/>
          <w:rtl/>
        </w:rPr>
        <w:t>مثلاً</w:t>
      </w:r>
      <w:r w:rsidR="00A920FE">
        <w:rPr>
          <w:rFonts w:hint="cs"/>
          <w:rtl/>
        </w:rPr>
        <w:t xml:space="preserve"> گفته </w:t>
      </w:r>
      <w:bookmarkStart w:id="20" w:name="_GoBack"/>
      <w:bookmarkEnd w:id="20"/>
      <w:r w:rsidR="00A920FE" w:rsidRPr="00A920FE">
        <w:rPr>
          <w:rFonts w:hint="cs"/>
          <w:rtl/>
        </w:rPr>
        <w:t>«</w:t>
      </w:r>
      <w:r w:rsidR="00A920FE" w:rsidRPr="00A920FE">
        <w:rPr>
          <w:color w:val="008000"/>
          <w:rtl/>
        </w:rPr>
        <w:t>إِنِّي مُبْتَلًى بِالنَّظَرِ إِلَى الْمَرْأَةِ الْجَمِيلَةِ فَيُعْجِبُنِي النَّظَرُ إِلَيْهَا فَقَالَ لِي يَا عَلِيُّ لَا بَأْسَ إِذَا عَرَفَ اللَّهُ مِنْ نِيَّتِكَ الصِّدْق</w:t>
      </w:r>
      <w:r w:rsidR="00A920FE" w:rsidRPr="00A920FE">
        <w:rPr>
          <w:rtl/>
        </w:rPr>
        <w:t>‏</w:t>
      </w:r>
      <w:r w:rsidR="00A920FE" w:rsidRPr="00A920FE">
        <w:rPr>
          <w:rFonts w:hint="cs"/>
          <w:rtl/>
        </w:rPr>
        <w:t>»</w:t>
      </w:r>
      <w:r w:rsidR="00A920FE" w:rsidRPr="00AF54D5">
        <w:rPr>
          <w:rFonts w:hint="cs"/>
          <w:rtl/>
        </w:rPr>
        <w:t>.</w:t>
      </w:r>
      <w:r w:rsidR="00A920FE" w:rsidRPr="00A920FE">
        <w:rPr>
          <w:vertAlign w:val="superscript"/>
          <w:rtl/>
        </w:rPr>
        <w:footnoteReference w:id="4"/>
      </w:r>
      <w:r w:rsidRPr="00AF54D5">
        <w:rPr>
          <w:rFonts w:hint="cs"/>
          <w:rtl/>
        </w:rPr>
        <w:t xml:space="preserve"> </w:t>
      </w:r>
      <w:r w:rsidR="00D509B4" w:rsidRPr="00AF54D5">
        <w:rPr>
          <w:rFonts w:hint="cs"/>
          <w:rtl/>
        </w:rPr>
        <w:t>هیچ‌کدام</w:t>
      </w:r>
      <w:r w:rsidRPr="00AF54D5">
        <w:rPr>
          <w:rFonts w:hint="cs"/>
          <w:rtl/>
        </w:rPr>
        <w:t xml:space="preserve"> حالت حصر ندارد جز دو سه تا که به این شکلی است که عرض کردیم.</w:t>
      </w:r>
      <w:r w:rsidR="00A920FE" w:rsidRPr="00A920FE">
        <w:rPr>
          <w:rFonts w:hint="cs"/>
          <w:rtl/>
        </w:rPr>
        <w:t xml:space="preserve"> </w:t>
      </w:r>
    </w:p>
    <w:p w:rsidR="00D14C56" w:rsidRPr="00AF54D5" w:rsidRDefault="00D14C56" w:rsidP="002267D3">
      <w:pPr>
        <w:rPr>
          <w:rtl/>
        </w:rPr>
      </w:pPr>
      <w:r w:rsidRPr="00AF54D5">
        <w:rPr>
          <w:rFonts w:hint="cs"/>
          <w:rtl/>
        </w:rPr>
        <w:t xml:space="preserve">پس </w:t>
      </w:r>
      <w:r w:rsidR="00D509B4" w:rsidRPr="00AF54D5">
        <w:rPr>
          <w:rFonts w:hint="cs"/>
          <w:rtl/>
        </w:rPr>
        <w:t>بی‌وجه</w:t>
      </w:r>
      <w:r w:rsidRPr="00AF54D5">
        <w:rPr>
          <w:rFonts w:hint="cs"/>
          <w:rtl/>
        </w:rPr>
        <w:t xml:space="preserve"> نیست که کسی این دو سه مورد را هم جزء استثنائ</w:t>
      </w:r>
      <w:r w:rsidR="002267D3" w:rsidRPr="00AF54D5">
        <w:rPr>
          <w:rFonts w:hint="cs"/>
          <w:rtl/>
        </w:rPr>
        <w:t>ات حرمت قرار دهد و بر اساس اصالة</w:t>
      </w:r>
      <w:r w:rsidRPr="00AF54D5">
        <w:rPr>
          <w:rFonts w:hint="cs"/>
          <w:rtl/>
        </w:rPr>
        <w:t xml:space="preserve"> البرائ</w:t>
      </w:r>
      <w:r w:rsidR="002267D3" w:rsidRPr="00AF54D5">
        <w:rPr>
          <w:rFonts w:hint="cs"/>
          <w:rtl/>
        </w:rPr>
        <w:t>ة</w:t>
      </w:r>
      <w:r w:rsidRPr="00AF54D5">
        <w:rPr>
          <w:rFonts w:hint="cs"/>
          <w:rtl/>
        </w:rPr>
        <w:t xml:space="preserve"> قائل به </w:t>
      </w:r>
      <w:r w:rsidR="002267D3" w:rsidRPr="00AF54D5">
        <w:rPr>
          <w:rFonts w:hint="cs"/>
          <w:rtl/>
        </w:rPr>
        <w:t xml:space="preserve">جواز نظر </w:t>
      </w:r>
      <w:r w:rsidRPr="00AF54D5">
        <w:rPr>
          <w:rFonts w:hint="cs"/>
          <w:rtl/>
        </w:rPr>
        <w:t>شود</w:t>
      </w:r>
      <w:r w:rsidR="002267D3" w:rsidRPr="00AF54D5">
        <w:rPr>
          <w:rtl/>
        </w:rPr>
        <w:t xml:space="preserve">؛ </w:t>
      </w:r>
      <w:r w:rsidRPr="00AF54D5">
        <w:rPr>
          <w:rFonts w:hint="cs"/>
          <w:rtl/>
        </w:rPr>
        <w:t>اما در حدی است که انتخاب مرجح است نه اینکه انتخابی باشد.</w:t>
      </w:r>
    </w:p>
    <w:sectPr w:rsidR="00D14C56" w:rsidRPr="00AF54D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2AB" w:rsidRDefault="000812AB" w:rsidP="004D5B1F">
      <w:r>
        <w:separator/>
      </w:r>
    </w:p>
  </w:endnote>
  <w:endnote w:type="continuationSeparator" w:id="0">
    <w:p w:rsidR="000812AB" w:rsidRDefault="000812AB"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B4" w:rsidRDefault="00D50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D30BB4" w:rsidRDefault="00D30BB4" w:rsidP="004D5B1F">
        <w:pPr>
          <w:pStyle w:val="Footer"/>
        </w:pPr>
        <w:r>
          <w:fldChar w:fldCharType="begin"/>
        </w:r>
        <w:r>
          <w:instrText xml:space="preserve"> PAGE   \* MERGEFORMAT </w:instrText>
        </w:r>
        <w:r>
          <w:fldChar w:fldCharType="separate"/>
        </w:r>
        <w:r w:rsidR="00A920FE">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B4" w:rsidRDefault="00D50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2AB" w:rsidRDefault="000812AB" w:rsidP="004D5B1F">
      <w:r>
        <w:separator/>
      </w:r>
    </w:p>
  </w:footnote>
  <w:footnote w:type="continuationSeparator" w:id="0">
    <w:p w:rsidR="000812AB" w:rsidRDefault="000812AB" w:rsidP="004D5B1F">
      <w:r>
        <w:continuationSeparator/>
      </w:r>
    </w:p>
  </w:footnote>
  <w:footnote w:id="1">
    <w:p w:rsidR="002267D3" w:rsidRPr="002267D3" w:rsidRDefault="002267D3" w:rsidP="002267D3">
      <w:pPr>
        <w:pStyle w:val="FootnoteText"/>
        <w:rPr>
          <w:rFonts w:hint="cs"/>
        </w:rPr>
      </w:pPr>
      <w:r w:rsidRPr="002267D3">
        <w:footnoteRef/>
      </w:r>
      <w:r w:rsidR="00AF54D5">
        <w:rPr>
          <w:rFonts w:hint="cs"/>
          <w:rtl/>
        </w:rPr>
        <w:t>.</w:t>
      </w:r>
      <w:r w:rsidRPr="002267D3">
        <w:rPr>
          <w:rtl/>
        </w:rPr>
        <w:t xml:space="preserve"> </w:t>
      </w:r>
      <w:hyperlink r:id="rId1" w:history="1">
        <w:r w:rsidRPr="002267D3">
          <w:rPr>
            <w:rStyle w:val="Hyperlink"/>
            <w:rFonts w:eastAsia="2  Badr"/>
            <w:rtl/>
          </w:rPr>
          <w:t>وسائل الشيعة، الشيخ الحر العاملي، ج20، ص201، أبواب أبواب مقدّمات النكاح وآدابه، باب109، ح2، ط آل البيت.</w:t>
        </w:r>
      </w:hyperlink>
    </w:p>
  </w:footnote>
  <w:footnote w:id="2">
    <w:p w:rsidR="00AF54D5" w:rsidRPr="00AF54D5" w:rsidRDefault="00AF54D5" w:rsidP="00AF54D5">
      <w:pPr>
        <w:pStyle w:val="FootnoteText"/>
        <w:rPr>
          <w:rFonts w:hint="cs"/>
        </w:rPr>
      </w:pPr>
      <w:r w:rsidRPr="00AF54D5">
        <w:footnoteRef/>
      </w:r>
      <w:r>
        <w:rPr>
          <w:rFonts w:hint="cs"/>
          <w:rtl/>
        </w:rPr>
        <w:t>.</w:t>
      </w:r>
      <w:r w:rsidRPr="00AF54D5">
        <w:rPr>
          <w:rtl/>
        </w:rPr>
        <w:t xml:space="preserve"> </w:t>
      </w:r>
      <w:hyperlink r:id="rId2" w:history="1">
        <w:r w:rsidRPr="00AF54D5">
          <w:rPr>
            <w:rStyle w:val="Hyperlink"/>
            <w:rFonts w:eastAsia="2  Badr"/>
            <w:rtl/>
          </w:rPr>
          <w:t>قرب الإسناد، الحميري، أبو العباس، ج1، ص227.</w:t>
        </w:r>
      </w:hyperlink>
    </w:p>
  </w:footnote>
  <w:footnote w:id="3">
    <w:p w:rsidR="00AF54D5" w:rsidRPr="00AF54D5" w:rsidRDefault="00AF54D5" w:rsidP="00AF54D5">
      <w:pPr>
        <w:pStyle w:val="FootnoteText"/>
        <w:rPr>
          <w:rFonts w:hint="cs"/>
        </w:rPr>
      </w:pPr>
      <w:r w:rsidRPr="00AF54D5">
        <w:footnoteRef/>
      </w:r>
      <w:r>
        <w:rPr>
          <w:rFonts w:hint="cs"/>
          <w:rtl/>
        </w:rPr>
        <w:t>.</w:t>
      </w:r>
      <w:r w:rsidRPr="00AF54D5">
        <w:rPr>
          <w:rtl/>
        </w:rPr>
        <w:t xml:space="preserve"> </w:t>
      </w:r>
      <w:hyperlink r:id="rId3" w:history="1">
        <w:r w:rsidRPr="00AF54D5">
          <w:rPr>
            <w:rStyle w:val="Hyperlink"/>
            <w:rFonts w:eastAsia="2  Badr"/>
            <w:rtl/>
          </w:rPr>
          <w:t>وسائل الشيعة، الشيخ الحر العاملي، ج20، ص200، أبواب أبواب مقدّمات النكاح وآدابه، باب109، ح1، ط آل البيت.</w:t>
        </w:r>
      </w:hyperlink>
    </w:p>
  </w:footnote>
  <w:footnote w:id="4">
    <w:p w:rsidR="00A920FE" w:rsidRPr="000276DF" w:rsidRDefault="00A920FE" w:rsidP="00A920FE">
      <w:pPr>
        <w:pStyle w:val="FootnoteText"/>
      </w:pPr>
      <w:r w:rsidRPr="000276DF">
        <w:footnoteRef/>
      </w:r>
      <w:r>
        <w:rPr>
          <w:rFonts w:hint="cs"/>
          <w:rtl/>
        </w:rPr>
        <w:t>.</w:t>
      </w:r>
      <w:r w:rsidRPr="000276DF">
        <w:rPr>
          <w:rtl/>
        </w:rPr>
        <w:t xml:space="preserve"> </w:t>
      </w:r>
      <w:hyperlink r:id="rId4" w:history="1">
        <w:r w:rsidRPr="000276DF">
          <w:rPr>
            <w:rStyle w:val="Hyperlink"/>
            <w:rFonts w:eastAsia="2  Badr"/>
            <w:rtl/>
          </w:rPr>
          <w:t>الكافي- ط الاسلامية، الشيخ الكليني، ج5، ص542.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B4" w:rsidRDefault="00D50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B4" w:rsidRDefault="00D30BB4" w:rsidP="00C635A2">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رس خارج فقه</w:t>
    </w:r>
    <w:r w:rsidR="002267D3">
      <w:rPr>
        <w:rFonts w:ascii="Adobe Arabic" w:hAnsi="Adobe Arabic" w:cs="Adobe Arabic"/>
        <w:b/>
        <w:bCs/>
        <w:sz w:val="24"/>
        <w:szCs w:val="24"/>
        <w:rtl/>
      </w:rPr>
      <w:t xml:space="preserve"> </w:t>
    </w:r>
    <w:r w:rsidR="00AF54D5">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002267D3">
      <w:rPr>
        <w:rFonts w:ascii="Adobe Arabic" w:hAnsi="Adobe Arabic" w:cs="Adobe Arabic"/>
        <w:b/>
        <w:bCs/>
        <w:sz w:val="24"/>
        <w:szCs w:val="24"/>
        <w:rtl/>
      </w:rPr>
      <w:t xml:space="preserve"> </w:t>
    </w:r>
    <w:r w:rsidR="00AF54D5">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تاریخ جلسه: </w:t>
    </w:r>
    <w:r>
      <w:rPr>
        <w:rFonts w:ascii="Adobe Arabic" w:hAnsi="Adobe Arabic" w:cs="Adobe Arabic" w:hint="cs"/>
        <w:b/>
        <w:bCs/>
        <w:sz w:val="24"/>
        <w:szCs w:val="24"/>
        <w:rtl/>
      </w:rPr>
      <w:t>06</w:t>
    </w:r>
    <w:r w:rsidRPr="00012D8B">
      <w:rPr>
        <w:rFonts w:ascii="Adobe Arabic" w:hAnsi="Adobe Arabic" w:cs="Adobe Arabic" w:hint="cs"/>
        <w:b/>
        <w:bCs/>
        <w:sz w:val="24"/>
        <w:szCs w:val="24"/>
        <w:rtl/>
      </w:rPr>
      <w:t>/</w:t>
    </w:r>
    <w:r>
      <w:rPr>
        <w:rFonts w:ascii="Adobe Arabic" w:hAnsi="Adobe Arabic" w:cs="Adobe Arabic" w:hint="cs"/>
        <w:b/>
        <w:bCs/>
        <w:sz w:val="24"/>
        <w:szCs w:val="24"/>
        <w:rtl/>
      </w:rPr>
      <w:t>10</w:t>
    </w:r>
    <w:r w:rsidRPr="00012D8B">
      <w:rPr>
        <w:rFonts w:ascii="Adobe Arabic" w:hAnsi="Adobe Arabic" w:cs="Adobe Arabic" w:hint="cs"/>
        <w:b/>
        <w:bCs/>
        <w:sz w:val="24"/>
        <w:szCs w:val="24"/>
        <w:rtl/>
      </w:rPr>
      <w:t>/99</w:t>
    </w:r>
  </w:p>
  <w:p w:rsidR="00D30BB4" w:rsidRPr="00012D8B" w:rsidRDefault="00D30BB4" w:rsidP="00C635A2">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ستاد اعرافی</w:t>
    </w:r>
    <w:r w:rsidR="002267D3">
      <w:rPr>
        <w:rFonts w:ascii="Adobe Arabic" w:hAnsi="Adobe Arabic" w:cs="Adobe Arabic"/>
        <w:b/>
        <w:bCs/>
        <w:sz w:val="24"/>
        <w:szCs w:val="24"/>
        <w:rtl/>
      </w:rPr>
      <w:t xml:space="preserve"> </w:t>
    </w:r>
    <w:r w:rsidR="00AF54D5">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فرعی: </w:t>
    </w:r>
    <w:r>
      <w:rPr>
        <w:rFonts w:ascii="Adobe Arabic" w:hAnsi="Adobe Arabic" w:cs="Adobe Arabic" w:hint="cs"/>
        <w:b/>
        <w:bCs/>
        <w:sz w:val="24"/>
        <w:szCs w:val="24"/>
        <w:rtl/>
      </w:rPr>
      <w:t>ادله مفصله در نگاه به وجه و کفین اجنبی</w:t>
    </w:r>
    <w:r w:rsidR="002267D3">
      <w:rPr>
        <w:rFonts w:ascii="Adobe Arabic" w:hAnsi="Adobe Arabic" w:cs="Adobe Arabic"/>
        <w:b/>
        <w:bCs/>
        <w:sz w:val="24"/>
        <w:szCs w:val="24"/>
        <w:rtl/>
      </w:rPr>
      <w:t xml:space="preserve"> </w:t>
    </w:r>
    <w:r w:rsidR="00AF54D5">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79</w:t>
    </w:r>
  </w:p>
  <w:p w:rsidR="00D30BB4" w:rsidRPr="00873379" w:rsidRDefault="00D30BB4"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B4" w:rsidRDefault="00D50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67373D"/>
    <w:multiLevelType w:val="hybridMultilevel"/>
    <w:tmpl w:val="3DAA0C10"/>
    <w:lvl w:ilvl="0" w:tplc="875071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7601DD3"/>
    <w:multiLevelType w:val="hybridMultilevel"/>
    <w:tmpl w:val="FCCE30B4"/>
    <w:lvl w:ilvl="0" w:tplc="E0C43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8C23725"/>
    <w:multiLevelType w:val="hybridMultilevel"/>
    <w:tmpl w:val="7CB0C772"/>
    <w:lvl w:ilvl="0" w:tplc="8B301A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9494192"/>
    <w:multiLevelType w:val="hybridMultilevel"/>
    <w:tmpl w:val="5BA8B16E"/>
    <w:lvl w:ilvl="0" w:tplc="A1721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2D901857"/>
    <w:multiLevelType w:val="hybridMultilevel"/>
    <w:tmpl w:val="4F0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A846914"/>
    <w:multiLevelType w:val="hybridMultilevel"/>
    <w:tmpl w:val="BC989840"/>
    <w:lvl w:ilvl="0" w:tplc="1CF8B7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9B0787D"/>
    <w:multiLevelType w:val="hybridMultilevel"/>
    <w:tmpl w:val="EB5A815C"/>
    <w:lvl w:ilvl="0" w:tplc="01463B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0B10231"/>
    <w:multiLevelType w:val="hybridMultilevel"/>
    <w:tmpl w:val="7EE80C02"/>
    <w:lvl w:ilvl="0" w:tplc="7812D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ADD4549"/>
    <w:multiLevelType w:val="hybridMultilevel"/>
    <w:tmpl w:val="7B54B24C"/>
    <w:lvl w:ilvl="0" w:tplc="E8D859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8"/>
  </w:num>
  <w:num w:numId="2">
    <w:abstractNumId w:val="29"/>
  </w:num>
  <w:num w:numId="3">
    <w:abstractNumId w:val="38"/>
  </w:num>
  <w:num w:numId="4">
    <w:abstractNumId w:val="39"/>
  </w:num>
  <w:num w:numId="5">
    <w:abstractNumId w:val="22"/>
  </w:num>
  <w:num w:numId="6">
    <w:abstractNumId w:val="7"/>
  </w:num>
  <w:num w:numId="7">
    <w:abstractNumId w:val="30"/>
  </w:num>
  <w:num w:numId="8">
    <w:abstractNumId w:val="42"/>
  </w:num>
  <w:num w:numId="9">
    <w:abstractNumId w:val="13"/>
  </w:num>
  <w:num w:numId="10">
    <w:abstractNumId w:val="37"/>
  </w:num>
  <w:num w:numId="11">
    <w:abstractNumId w:val="8"/>
  </w:num>
  <w:num w:numId="12">
    <w:abstractNumId w:val="14"/>
  </w:num>
  <w:num w:numId="13">
    <w:abstractNumId w:val="16"/>
  </w:num>
  <w:num w:numId="14">
    <w:abstractNumId w:val="20"/>
  </w:num>
  <w:num w:numId="15">
    <w:abstractNumId w:val="33"/>
  </w:num>
  <w:num w:numId="16">
    <w:abstractNumId w:val="3"/>
  </w:num>
  <w:num w:numId="17">
    <w:abstractNumId w:val="27"/>
  </w:num>
  <w:num w:numId="18">
    <w:abstractNumId w:val="35"/>
  </w:num>
  <w:num w:numId="19">
    <w:abstractNumId w:val="24"/>
  </w:num>
  <w:num w:numId="20">
    <w:abstractNumId w:val="43"/>
  </w:num>
  <w:num w:numId="21">
    <w:abstractNumId w:val="31"/>
  </w:num>
  <w:num w:numId="22">
    <w:abstractNumId w:val="12"/>
  </w:num>
  <w:num w:numId="23">
    <w:abstractNumId w:val="19"/>
  </w:num>
  <w:num w:numId="24">
    <w:abstractNumId w:val="34"/>
  </w:num>
  <w:num w:numId="25">
    <w:abstractNumId w:val="15"/>
  </w:num>
  <w:num w:numId="26">
    <w:abstractNumId w:val="18"/>
  </w:num>
  <w:num w:numId="27">
    <w:abstractNumId w:val="11"/>
  </w:num>
  <w:num w:numId="28">
    <w:abstractNumId w:val="6"/>
  </w:num>
  <w:num w:numId="29">
    <w:abstractNumId w:val="0"/>
  </w:num>
  <w:num w:numId="30">
    <w:abstractNumId w:val="10"/>
  </w:num>
  <w:num w:numId="31">
    <w:abstractNumId w:val="1"/>
  </w:num>
  <w:num w:numId="32">
    <w:abstractNumId w:val="21"/>
  </w:num>
  <w:num w:numId="33">
    <w:abstractNumId w:val="26"/>
  </w:num>
  <w:num w:numId="34">
    <w:abstractNumId w:val="36"/>
  </w:num>
  <w:num w:numId="35">
    <w:abstractNumId w:val="23"/>
  </w:num>
  <w:num w:numId="36">
    <w:abstractNumId w:val="17"/>
  </w:num>
  <w:num w:numId="37">
    <w:abstractNumId w:val="4"/>
  </w:num>
  <w:num w:numId="38">
    <w:abstractNumId w:val="40"/>
  </w:num>
  <w:num w:numId="39">
    <w:abstractNumId w:val="9"/>
  </w:num>
  <w:num w:numId="40">
    <w:abstractNumId w:val="41"/>
  </w:num>
  <w:num w:numId="41">
    <w:abstractNumId w:val="2"/>
  </w:num>
  <w:num w:numId="42">
    <w:abstractNumId w:val="25"/>
  </w:num>
  <w:num w:numId="43">
    <w:abstractNumId w:val="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78EE"/>
    <w:rsid w:val="00030048"/>
    <w:rsid w:val="0003011E"/>
    <w:rsid w:val="00030A65"/>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7352"/>
    <w:rsid w:val="00070F1C"/>
    <w:rsid w:val="000737FE"/>
    <w:rsid w:val="00074168"/>
    <w:rsid w:val="00080644"/>
    <w:rsid w:val="00080C63"/>
    <w:rsid w:val="00080DFF"/>
    <w:rsid w:val="000812AB"/>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2A74"/>
    <w:rsid w:val="000C4070"/>
    <w:rsid w:val="000C43F6"/>
    <w:rsid w:val="000C577C"/>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306E"/>
    <w:rsid w:val="001E3FB0"/>
    <w:rsid w:val="001E4FFF"/>
    <w:rsid w:val="001F2E3E"/>
    <w:rsid w:val="001F705F"/>
    <w:rsid w:val="0020039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267D3"/>
    <w:rsid w:val="00233777"/>
    <w:rsid w:val="00234575"/>
    <w:rsid w:val="002376A5"/>
    <w:rsid w:val="002376CD"/>
    <w:rsid w:val="0023771D"/>
    <w:rsid w:val="0024054E"/>
    <w:rsid w:val="002417C9"/>
    <w:rsid w:val="00241FDE"/>
    <w:rsid w:val="002420AD"/>
    <w:rsid w:val="002437B6"/>
    <w:rsid w:val="002529C5"/>
    <w:rsid w:val="00252FFE"/>
    <w:rsid w:val="002537AA"/>
    <w:rsid w:val="002563A8"/>
    <w:rsid w:val="002567EA"/>
    <w:rsid w:val="00260D93"/>
    <w:rsid w:val="0026372C"/>
    <w:rsid w:val="002645BE"/>
    <w:rsid w:val="002651E5"/>
    <w:rsid w:val="002675AE"/>
    <w:rsid w:val="00270294"/>
    <w:rsid w:val="00271B52"/>
    <w:rsid w:val="00271E2B"/>
    <w:rsid w:val="00272ACE"/>
    <w:rsid w:val="00274DC7"/>
    <w:rsid w:val="002764A8"/>
    <w:rsid w:val="00277653"/>
    <w:rsid w:val="002776F6"/>
    <w:rsid w:val="00282D16"/>
    <w:rsid w:val="00283229"/>
    <w:rsid w:val="002914BD"/>
    <w:rsid w:val="00291722"/>
    <w:rsid w:val="00292A0E"/>
    <w:rsid w:val="002946CF"/>
    <w:rsid w:val="00294CFC"/>
    <w:rsid w:val="00297263"/>
    <w:rsid w:val="002A05CF"/>
    <w:rsid w:val="002A0E06"/>
    <w:rsid w:val="002A1AB3"/>
    <w:rsid w:val="002A21AE"/>
    <w:rsid w:val="002A35E0"/>
    <w:rsid w:val="002A7627"/>
    <w:rsid w:val="002B0EF7"/>
    <w:rsid w:val="002B19A0"/>
    <w:rsid w:val="002B325B"/>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305DF"/>
    <w:rsid w:val="00330F3E"/>
    <w:rsid w:val="00331408"/>
    <w:rsid w:val="00331826"/>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F1336"/>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36D4C"/>
    <w:rsid w:val="00436DFF"/>
    <w:rsid w:val="00437644"/>
    <w:rsid w:val="00443EB7"/>
    <w:rsid w:val="004455CF"/>
    <w:rsid w:val="0044591E"/>
    <w:rsid w:val="00446620"/>
    <w:rsid w:val="00447311"/>
    <w:rsid w:val="004476F0"/>
    <w:rsid w:val="00447E61"/>
    <w:rsid w:val="004500A1"/>
    <w:rsid w:val="004508A0"/>
    <w:rsid w:val="00452194"/>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E1474"/>
    <w:rsid w:val="004E403A"/>
    <w:rsid w:val="004F1160"/>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30FD7"/>
    <w:rsid w:val="005318A6"/>
    <w:rsid w:val="00531A7A"/>
    <w:rsid w:val="00533B7B"/>
    <w:rsid w:val="005409BE"/>
    <w:rsid w:val="00542623"/>
    <w:rsid w:val="00543B39"/>
    <w:rsid w:val="00543F48"/>
    <w:rsid w:val="00544FBD"/>
    <w:rsid w:val="00545B0C"/>
    <w:rsid w:val="005468F0"/>
    <w:rsid w:val="00547D42"/>
    <w:rsid w:val="00551628"/>
    <w:rsid w:val="005522A3"/>
    <w:rsid w:val="00553A7A"/>
    <w:rsid w:val="00555710"/>
    <w:rsid w:val="005560D8"/>
    <w:rsid w:val="0055737D"/>
    <w:rsid w:val="005606C4"/>
    <w:rsid w:val="00561E58"/>
    <w:rsid w:val="00562122"/>
    <w:rsid w:val="00563F2C"/>
    <w:rsid w:val="00572E2D"/>
    <w:rsid w:val="005745BF"/>
    <w:rsid w:val="00580CFA"/>
    <w:rsid w:val="00581412"/>
    <w:rsid w:val="0058209E"/>
    <w:rsid w:val="00583770"/>
    <w:rsid w:val="005857BB"/>
    <w:rsid w:val="00591089"/>
    <w:rsid w:val="00591161"/>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4564"/>
    <w:rsid w:val="005F7F38"/>
    <w:rsid w:val="00600175"/>
    <w:rsid w:val="00600217"/>
    <w:rsid w:val="00605DF5"/>
    <w:rsid w:val="006075BB"/>
    <w:rsid w:val="00610C18"/>
    <w:rsid w:val="00612385"/>
    <w:rsid w:val="0061358F"/>
    <w:rsid w:val="0061376C"/>
    <w:rsid w:val="00613C77"/>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1EC"/>
    <w:rsid w:val="00793204"/>
    <w:rsid w:val="007941AD"/>
    <w:rsid w:val="007955F6"/>
    <w:rsid w:val="007964CF"/>
    <w:rsid w:val="007A19B6"/>
    <w:rsid w:val="007A431B"/>
    <w:rsid w:val="007A54C2"/>
    <w:rsid w:val="007A5D2F"/>
    <w:rsid w:val="007B0062"/>
    <w:rsid w:val="007B3A7D"/>
    <w:rsid w:val="007B52C6"/>
    <w:rsid w:val="007B5D9C"/>
    <w:rsid w:val="007B61B4"/>
    <w:rsid w:val="007B6FEB"/>
    <w:rsid w:val="007C03FE"/>
    <w:rsid w:val="007C0725"/>
    <w:rsid w:val="007C1EF7"/>
    <w:rsid w:val="007C253A"/>
    <w:rsid w:val="007C28D6"/>
    <w:rsid w:val="007C2A35"/>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B6A"/>
    <w:rsid w:val="00811F02"/>
    <w:rsid w:val="00814844"/>
    <w:rsid w:val="008150C6"/>
    <w:rsid w:val="00820C28"/>
    <w:rsid w:val="00822AB7"/>
    <w:rsid w:val="00824520"/>
    <w:rsid w:val="0082650E"/>
    <w:rsid w:val="008321D1"/>
    <w:rsid w:val="008338F0"/>
    <w:rsid w:val="00835FEA"/>
    <w:rsid w:val="008407A4"/>
    <w:rsid w:val="00841C2D"/>
    <w:rsid w:val="008425CA"/>
    <w:rsid w:val="0084431F"/>
    <w:rsid w:val="00844860"/>
    <w:rsid w:val="00845B51"/>
    <w:rsid w:val="00845CC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D74CE"/>
    <w:rsid w:val="008E0C68"/>
    <w:rsid w:val="008E187A"/>
    <w:rsid w:val="008E3903"/>
    <w:rsid w:val="008E5E1B"/>
    <w:rsid w:val="008F083F"/>
    <w:rsid w:val="008F1823"/>
    <w:rsid w:val="008F3B30"/>
    <w:rsid w:val="008F63E3"/>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78E4"/>
    <w:rsid w:val="0099077F"/>
    <w:rsid w:val="009927B9"/>
    <w:rsid w:val="00993B09"/>
    <w:rsid w:val="00994FA9"/>
    <w:rsid w:val="00995557"/>
    <w:rsid w:val="009A1ED7"/>
    <w:rsid w:val="009A24A9"/>
    <w:rsid w:val="009A27D8"/>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0867"/>
    <w:rsid w:val="009F27FC"/>
    <w:rsid w:val="009F4D22"/>
    <w:rsid w:val="009F4EB3"/>
    <w:rsid w:val="009F5F6C"/>
    <w:rsid w:val="009F75D1"/>
    <w:rsid w:val="00A01498"/>
    <w:rsid w:val="00A06AF3"/>
    <w:rsid w:val="00A06D48"/>
    <w:rsid w:val="00A100FF"/>
    <w:rsid w:val="00A12FD3"/>
    <w:rsid w:val="00A14E74"/>
    <w:rsid w:val="00A15017"/>
    <w:rsid w:val="00A153EF"/>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7715"/>
    <w:rsid w:val="00A52AC8"/>
    <w:rsid w:val="00A52E9C"/>
    <w:rsid w:val="00A5413D"/>
    <w:rsid w:val="00A5418D"/>
    <w:rsid w:val="00A55424"/>
    <w:rsid w:val="00A555D0"/>
    <w:rsid w:val="00A610D6"/>
    <w:rsid w:val="00A66734"/>
    <w:rsid w:val="00A66E35"/>
    <w:rsid w:val="00A725C2"/>
    <w:rsid w:val="00A73A9B"/>
    <w:rsid w:val="00A769EE"/>
    <w:rsid w:val="00A77E4B"/>
    <w:rsid w:val="00A810A5"/>
    <w:rsid w:val="00A860E3"/>
    <w:rsid w:val="00A90B5A"/>
    <w:rsid w:val="00A90D7C"/>
    <w:rsid w:val="00A920FE"/>
    <w:rsid w:val="00A94B5C"/>
    <w:rsid w:val="00A9616A"/>
    <w:rsid w:val="00A96F68"/>
    <w:rsid w:val="00AA2342"/>
    <w:rsid w:val="00AA788B"/>
    <w:rsid w:val="00AB20C0"/>
    <w:rsid w:val="00AB2B2D"/>
    <w:rsid w:val="00AB4646"/>
    <w:rsid w:val="00AB481D"/>
    <w:rsid w:val="00AB534C"/>
    <w:rsid w:val="00AB7335"/>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54D5"/>
    <w:rsid w:val="00AF633E"/>
    <w:rsid w:val="00AF7AD4"/>
    <w:rsid w:val="00AF7BEE"/>
    <w:rsid w:val="00B01724"/>
    <w:rsid w:val="00B058E2"/>
    <w:rsid w:val="00B07D3E"/>
    <w:rsid w:val="00B10294"/>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3C97"/>
    <w:rsid w:val="00B454D2"/>
    <w:rsid w:val="00B461C5"/>
    <w:rsid w:val="00B46694"/>
    <w:rsid w:val="00B50A11"/>
    <w:rsid w:val="00B513C2"/>
    <w:rsid w:val="00B51A00"/>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6A06"/>
    <w:rsid w:val="00BF7F06"/>
    <w:rsid w:val="00C072BA"/>
    <w:rsid w:val="00C1158A"/>
    <w:rsid w:val="00C13EDE"/>
    <w:rsid w:val="00C146AE"/>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F007C"/>
    <w:rsid w:val="00CF02B5"/>
    <w:rsid w:val="00CF03B6"/>
    <w:rsid w:val="00CF091A"/>
    <w:rsid w:val="00CF1D9C"/>
    <w:rsid w:val="00CF257C"/>
    <w:rsid w:val="00CF42E2"/>
    <w:rsid w:val="00CF4D00"/>
    <w:rsid w:val="00CF7916"/>
    <w:rsid w:val="00CF7CD9"/>
    <w:rsid w:val="00D009A0"/>
    <w:rsid w:val="00D00C2B"/>
    <w:rsid w:val="00D10413"/>
    <w:rsid w:val="00D107C0"/>
    <w:rsid w:val="00D130E1"/>
    <w:rsid w:val="00D14C56"/>
    <w:rsid w:val="00D15074"/>
    <w:rsid w:val="00D150A3"/>
    <w:rsid w:val="00D158F3"/>
    <w:rsid w:val="00D15FDC"/>
    <w:rsid w:val="00D16A86"/>
    <w:rsid w:val="00D22DE5"/>
    <w:rsid w:val="00D2470E"/>
    <w:rsid w:val="00D25245"/>
    <w:rsid w:val="00D2594B"/>
    <w:rsid w:val="00D307DD"/>
    <w:rsid w:val="00D30BB4"/>
    <w:rsid w:val="00D31783"/>
    <w:rsid w:val="00D32B95"/>
    <w:rsid w:val="00D330C0"/>
    <w:rsid w:val="00D33F52"/>
    <w:rsid w:val="00D3665C"/>
    <w:rsid w:val="00D36CD1"/>
    <w:rsid w:val="00D370D0"/>
    <w:rsid w:val="00D3733E"/>
    <w:rsid w:val="00D420F3"/>
    <w:rsid w:val="00D42FBF"/>
    <w:rsid w:val="00D508CC"/>
    <w:rsid w:val="00D509B4"/>
    <w:rsid w:val="00D50F4B"/>
    <w:rsid w:val="00D512F1"/>
    <w:rsid w:val="00D5186F"/>
    <w:rsid w:val="00D544B4"/>
    <w:rsid w:val="00D554DA"/>
    <w:rsid w:val="00D60547"/>
    <w:rsid w:val="00D60706"/>
    <w:rsid w:val="00D64F45"/>
    <w:rsid w:val="00D66444"/>
    <w:rsid w:val="00D668A5"/>
    <w:rsid w:val="00D6691F"/>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44AF"/>
    <w:rsid w:val="00E0639C"/>
    <w:rsid w:val="00E067E6"/>
    <w:rsid w:val="00E12531"/>
    <w:rsid w:val="00E12776"/>
    <w:rsid w:val="00E143B0"/>
    <w:rsid w:val="00E1732C"/>
    <w:rsid w:val="00E20F74"/>
    <w:rsid w:val="00E21781"/>
    <w:rsid w:val="00E24695"/>
    <w:rsid w:val="00E24B5B"/>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83A85"/>
    <w:rsid w:val="00E86935"/>
    <w:rsid w:val="00E87915"/>
    <w:rsid w:val="00E9026B"/>
    <w:rsid w:val="00E905BB"/>
    <w:rsid w:val="00E90FC4"/>
    <w:rsid w:val="00E925E7"/>
    <w:rsid w:val="00E92B17"/>
    <w:rsid w:val="00E94012"/>
    <w:rsid w:val="00E953F2"/>
    <w:rsid w:val="00E95934"/>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6DBA"/>
    <w:rsid w:val="00ED7F06"/>
    <w:rsid w:val="00EE05B0"/>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4523"/>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408"/>
    <w:rsid w:val="00FB791D"/>
    <w:rsid w:val="00FB7933"/>
    <w:rsid w:val="00FC0862"/>
    <w:rsid w:val="00FC70FB"/>
    <w:rsid w:val="00FC7590"/>
    <w:rsid w:val="00FC7F74"/>
    <w:rsid w:val="00FD128A"/>
    <w:rsid w:val="00FD143D"/>
    <w:rsid w:val="00FD28EF"/>
    <w:rsid w:val="00FD478B"/>
    <w:rsid w:val="00FD70C1"/>
    <w:rsid w:val="00FD7BD3"/>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200/&#1575;&#1604;&#1584;&#1585;&#1575;&#1593;&#1610;&#1606;" TargetMode="External"/><Relationship Id="rId2" Type="http://schemas.openxmlformats.org/officeDocument/2006/relationships/hyperlink" Target="http://lib.eshia.ir/27041/1/227/&#1575;&#1604;&#1587;&#1617;&#1616;&#1608;&#1614;&#1575;&#1585;&#1616;" TargetMode="External"/><Relationship Id="rId1" Type="http://schemas.openxmlformats.org/officeDocument/2006/relationships/hyperlink" Target="http://lib.eshia.ir/11025/20/201/&#1605;&#1581;&#1585;&#1605;&#1575;" TargetMode="External"/><Relationship Id="rId4" Type="http://schemas.openxmlformats.org/officeDocument/2006/relationships/hyperlink" Target="http://lib.eshia.ir/11005/5/542/&#1575;&#1604;&#1580;&#1605;&#1610;&#1604;&#15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3F9A9-51D1-4C0F-9CB7-B31A42E3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2780</TotalTime>
  <Pages>7</Pages>
  <Words>2735</Words>
  <Characters>10808</Characters>
  <Application>Microsoft Office Word</Application>
  <DocSecurity>0</DocSecurity>
  <Lines>163</Lines>
  <Paragraphs>74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125</cp:revision>
  <dcterms:created xsi:type="dcterms:W3CDTF">2020-06-22T09:32:00Z</dcterms:created>
  <dcterms:modified xsi:type="dcterms:W3CDTF">2020-12-27T04:43:00Z</dcterms:modified>
</cp:coreProperties>
</file>