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108621480"/>
        <w:docPartObj>
          <w:docPartGallery w:val="Table of Contents"/>
          <w:docPartUnique/>
        </w:docPartObj>
      </w:sdtPr>
      <w:sdtEndPr/>
      <w:sdtContent>
        <w:p w:rsidR="001A21DA" w:rsidRPr="00E817A5" w:rsidRDefault="001A21DA" w:rsidP="001A21DA">
          <w:pPr>
            <w:pStyle w:val="TOCHeading"/>
            <w:rPr>
              <w:rFonts w:cs="Traditional Arabic"/>
              <w:rtl/>
            </w:rPr>
          </w:pPr>
          <w:r w:rsidRPr="00E817A5">
            <w:rPr>
              <w:rFonts w:cs="Traditional Arabic" w:hint="cs"/>
              <w:rtl/>
            </w:rPr>
            <w:t>فهرست</w:t>
          </w:r>
        </w:p>
        <w:p w:rsidR="001A21DA" w:rsidRPr="00E817A5" w:rsidRDefault="001A21DA" w:rsidP="001A21DA">
          <w:pPr>
            <w:pStyle w:val="TOC1"/>
            <w:tabs>
              <w:tab w:val="right" w:leader="dot" w:pos="9350"/>
            </w:tabs>
            <w:rPr>
              <w:noProof/>
              <w:sz w:val="22"/>
              <w:szCs w:val="22"/>
            </w:rPr>
          </w:pPr>
          <w:r w:rsidRPr="00E817A5">
            <w:rPr>
              <w:b/>
              <w:bCs/>
              <w:noProof/>
            </w:rPr>
            <w:fldChar w:fldCharType="begin"/>
          </w:r>
          <w:r w:rsidRPr="00E817A5">
            <w:rPr>
              <w:b/>
              <w:bCs/>
              <w:noProof/>
            </w:rPr>
            <w:instrText xml:space="preserve"> TOC \o "1-3" \h \z \u </w:instrText>
          </w:r>
          <w:r w:rsidRPr="00E817A5">
            <w:rPr>
              <w:b/>
              <w:bCs/>
              <w:noProof/>
            </w:rPr>
            <w:fldChar w:fldCharType="separate"/>
          </w:r>
          <w:hyperlink w:anchor="_Toc82448662" w:history="1">
            <w:r w:rsidRPr="00E817A5">
              <w:rPr>
                <w:rStyle w:val="Hyperlink"/>
                <w:noProof/>
                <w:rtl/>
              </w:rPr>
              <w:t>مقدمه</w:t>
            </w:r>
            <w:r w:rsidRPr="00E817A5">
              <w:rPr>
                <w:noProof/>
                <w:webHidden/>
              </w:rPr>
              <w:tab/>
            </w:r>
            <w:r w:rsidRPr="00E817A5">
              <w:rPr>
                <w:rStyle w:val="Hyperlink"/>
                <w:noProof/>
                <w:rtl/>
              </w:rPr>
              <w:fldChar w:fldCharType="begin"/>
            </w:r>
            <w:r w:rsidRPr="00E817A5">
              <w:rPr>
                <w:noProof/>
                <w:webHidden/>
              </w:rPr>
              <w:instrText xml:space="preserve"> PAGEREF _Toc82448662 \h </w:instrText>
            </w:r>
            <w:r w:rsidRPr="00E817A5">
              <w:rPr>
                <w:rStyle w:val="Hyperlink"/>
                <w:noProof/>
                <w:rtl/>
              </w:rPr>
            </w:r>
            <w:r w:rsidRPr="00E817A5">
              <w:rPr>
                <w:rStyle w:val="Hyperlink"/>
                <w:noProof/>
                <w:rtl/>
              </w:rPr>
              <w:fldChar w:fldCharType="separate"/>
            </w:r>
            <w:r w:rsidRPr="00E817A5">
              <w:rPr>
                <w:noProof/>
                <w:webHidden/>
              </w:rPr>
              <w:t>2</w:t>
            </w:r>
            <w:r w:rsidRPr="00E817A5">
              <w:rPr>
                <w:rStyle w:val="Hyperlink"/>
                <w:noProof/>
                <w:rtl/>
              </w:rPr>
              <w:fldChar w:fldCharType="end"/>
            </w:r>
          </w:hyperlink>
        </w:p>
        <w:p w:rsidR="001A21DA" w:rsidRPr="00E817A5" w:rsidRDefault="00CB4282" w:rsidP="001A21DA">
          <w:pPr>
            <w:pStyle w:val="TOC2"/>
            <w:tabs>
              <w:tab w:val="right" w:leader="dot" w:pos="9350"/>
            </w:tabs>
            <w:rPr>
              <w:noProof/>
              <w:sz w:val="22"/>
              <w:szCs w:val="22"/>
            </w:rPr>
          </w:pPr>
          <w:hyperlink w:anchor="_Toc82448663" w:history="1">
            <w:r w:rsidR="001A21DA" w:rsidRPr="00E817A5">
              <w:rPr>
                <w:rStyle w:val="Hyperlink"/>
                <w:noProof/>
                <w:rtl/>
              </w:rPr>
              <w:t>نکته پنجم: سرا</w:t>
            </w:r>
            <w:r w:rsidR="001A21DA" w:rsidRPr="00E817A5">
              <w:rPr>
                <w:rStyle w:val="Hyperlink"/>
                <w:rFonts w:hint="cs"/>
                <w:noProof/>
                <w:rtl/>
              </w:rPr>
              <w:t>ی</w:t>
            </w:r>
            <w:r w:rsidR="001A21DA" w:rsidRPr="00E817A5">
              <w:rPr>
                <w:rStyle w:val="Hyperlink"/>
                <w:rFonts w:hint="eastAsia"/>
                <w:noProof/>
                <w:rtl/>
              </w:rPr>
              <w:t>ت</w:t>
            </w:r>
            <w:r w:rsidR="001A21DA" w:rsidRPr="00E817A5">
              <w:rPr>
                <w:rStyle w:val="Hyperlink"/>
                <w:noProof/>
                <w:rtl/>
              </w:rPr>
              <w:t xml:space="preserve"> حکم جوازنظر به بق</w:t>
            </w:r>
            <w:r w:rsidR="001A21DA" w:rsidRPr="00E817A5">
              <w:rPr>
                <w:rStyle w:val="Hyperlink"/>
                <w:rFonts w:hint="cs"/>
                <w:noProof/>
                <w:rtl/>
              </w:rPr>
              <w:t>ی</w:t>
            </w:r>
            <w:r w:rsidR="001A21DA" w:rsidRPr="00E817A5">
              <w:rPr>
                <w:rStyle w:val="Hyperlink"/>
                <w:rFonts w:hint="eastAsia"/>
                <w:noProof/>
                <w:rtl/>
              </w:rPr>
              <w:t>ه</w:t>
            </w:r>
            <w:r w:rsidR="001A21DA" w:rsidRPr="00E817A5">
              <w:rPr>
                <w:rStyle w:val="Hyperlink"/>
                <w:noProof/>
                <w:rtl/>
              </w:rPr>
              <w:t xml:space="preserve"> اجزاء غ</w:t>
            </w:r>
            <w:r w:rsidR="001A21DA" w:rsidRPr="00E817A5">
              <w:rPr>
                <w:rStyle w:val="Hyperlink"/>
                <w:rFonts w:hint="cs"/>
                <w:noProof/>
                <w:rtl/>
              </w:rPr>
              <w:t>ی</w:t>
            </w:r>
            <w:r w:rsidR="001A21DA" w:rsidRPr="00E817A5">
              <w:rPr>
                <w:rStyle w:val="Hyperlink"/>
                <w:rFonts w:hint="eastAsia"/>
                <w:noProof/>
                <w:rtl/>
              </w:rPr>
              <w:t>ر</w:t>
            </w:r>
            <w:r w:rsidR="001A21DA" w:rsidRPr="00E817A5">
              <w:rPr>
                <w:rStyle w:val="Hyperlink"/>
                <w:noProof/>
                <w:rtl/>
              </w:rPr>
              <w:t xml:space="preserve"> شعر</w:t>
            </w:r>
            <w:r w:rsidR="001A21DA" w:rsidRPr="00E817A5">
              <w:rPr>
                <w:noProof/>
                <w:webHidden/>
              </w:rPr>
              <w:tab/>
            </w:r>
            <w:r w:rsidR="001A21DA" w:rsidRPr="00E817A5">
              <w:rPr>
                <w:rStyle w:val="Hyperlink"/>
                <w:noProof/>
                <w:rtl/>
              </w:rPr>
              <w:fldChar w:fldCharType="begin"/>
            </w:r>
            <w:r w:rsidR="001A21DA" w:rsidRPr="00E817A5">
              <w:rPr>
                <w:noProof/>
                <w:webHidden/>
              </w:rPr>
              <w:instrText xml:space="preserve"> PAGEREF _Toc82448663 \h </w:instrText>
            </w:r>
            <w:r w:rsidR="001A21DA" w:rsidRPr="00E817A5">
              <w:rPr>
                <w:rStyle w:val="Hyperlink"/>
                <w:noProof/>
                <w:rtl/>
              </w:rPr>
            </w:r>
            <w:r w:rsidR="001A21DA" w:rsidRPr="00E817A5">
              <w:rPr>
                <w:rStyle w:val="Hyperlink"/>
                <w:noProof/>
                <w:rtl/>
              </w:rPr>
              <w:fldChar w:fldCharType="separate"/>
            </w:r>
            <w:r w:rsidR="001A21DA" w:rsidRPr="00E817A5">
              <w:rPr>
                <w:noProof/>
                <w:webHidden/>
              </w:rPr>
              <w:t>2</w:t>
            </w:r>
            <w:r w:rsidR="001A21DA" w:rsidRPr="00E817A5">
              <w:rPr>
                <w:rStyle w:val="Hyperlink"/>
                <w:noProof/>
                <w:rtl/>
              </w:rPr>
              <w:fldChar w:fldCharType="end"/>
            </w:r>
          </w:hyperlink>
        </w:p>
        <w:p w:rsidR="001A21DA" w:rsidRPr="00E817A5" w:rsidRDefault="00CB4282" w:rsidP="001A21DA">
          <w:pPr>
            <w:pStyle w:val="TOC3"/>
            <w:rPr>
              <w:rFonts w:eastAsiaTheme="minorEastAsia"/>
              <w:noProof/>
              <w:sz w:val="22"/>
              <w:szCs w:val="22"/>
            </w:rPr>
          </w:pPr>
          <w:hyperlink w:anchor="_Toc82448664" w:history="1">
            <w:r w:rsidR="001A21DA" w:rsidRPr="00E817A5">
              <w:rPr>
                <w:rStyle w:val="Hyperlink"/>
                <w:noProof/>
                <w:rtl/>
              </w:rPr>
              <w:t>دو تفس</w:t>
            </w:r>
            <w:r w:rsidR="001A21DA" w:rsidRPr="00E817A5">
              <w:rPr>
                <w:rStyle w:val="Hyperlink"/>
                <w:rFonts w:hint="cs"/>
                <w:noProof/>
                <w:rtl/>
              </w:rPr>
              <w:t>ی</w:t>
            </w:r>
            <w:r w:rsidR="001A21DA" w:rsidRPr="00E817A5">
              <w:rPr>
                <w:rStyle w:val="Hyperlink"/>
                <w:rFonts w:hint="eastAsia"/>
                <w:noProof/>
                <w:rtl/>
              </w:rPr>
              <w:t>ر</w:t>
            </w:r>
            <w:r w:rsidR="001A21DA" w:rsidRPr="00E817A5">
              <w:rPr>
                <w:rStyle w:val="Hyperlink"/>
                <w:noProof/>
                <w:rtl/>
              </w:rPr>
              <w:t xml:space="preserve"> از روا</w:t>
            </w:r>
            <w:r w:rsidR="001A21DA" w:rsidRPr="00E817A5">
              <w:rPr>
                <w:rStyle w:val="Hyperlink"/>
                <w:rFonts w:hint="cs"/>
                <w:noProof/>
                <w:rtl/>
              </w:rPr>
              <w:t>ی</w:t>
            </w:r>
            <w:r w:rsidR="001A21DA" w:rsidRPr="00E817A5">
              <w:rPr>
                <w:rStyle w:val="Hyperlink"/>
                <w:rFonts w:hint="eastAsia"/>
                <w:noProof/>
                <w:rtl/>
              </w:rPr>
              <w:t>ت</w:t>
            </w:r>
            <w:r w:rsidR="001A21DA" w:rsidRPr="00E817A5">
              <w:rPr>
                <w:noProof/>
                <w:webHidden/>
              </w:rPr>
              <w:tab/>
            </w:r>
            <w:r w:rsidR="001A21DA" w:rsidRPr="00E817A5">
              <w:rPr>
                <w:rStyle w:val="Hyperlink"/>
                <w:noProof/>
                <w:rtl/>
              </w:rPr>
              <w:fldChar w:fldCharType="begin"/>
            </w:r>
            <w:r w:rsidR="001A21DA" w:rsidRPr="00E817A5">
              <w:rPr>
                <w:noProof/>
                <w:webHidden/>
              </w:rPr>
              <w:instrText xml:space="preserve"> PAGEREF _Toc82448664 \h </w:instrText>
            </w:r>
            <w:r w:rsidR="001A21DA" w:rsidRPr="00E817A5">
              <w:rPr>
                <w:rStyle w:val="Hyperlink"/>
                <w:noProof/>
                <w:rtl/>
              </w:rPr>
            </w:r>
            <w:r w:rsidR="001A21DA" w:rsidRPr="00E817A5">
              <w:rPr>
                <w:rStyle w:val="Hyperlink"/>
                <w:noProof/>
                <w:rtl/>
              </w:rPr>
              <w:fldChar w:fldCharType="separate"/>
            </w:r>
            <w:r w:rsidR="001A21DA" w:rsidRPr="00E817A5">
              <w:rPr>
                <w:noProof/>
                <w:webHidden/>
              </w:rPr>
              <w:t>2</w:t>
            </w:r>
            <w:r w:rsidR="001A21DA" w:rsidRPr="00E817A5">
              <w:rPr>
                <w:rStyle w:val="Hyperlink"/>
                <w:noProof/>
                <w:rtl/>
              </w:rPr>
              <w:fldChar w:fldCharType="end"/>
            </w:r>
          </w:hyperlink>
        </w:p>
        <w:p w:rsidR="001A21DA" w:rsidRPr="00E817A5" w:rsidRDefault="00CB4282" w:rsidP="001A21DA">
          <w:pPr>
            <w:pStyle w:val="TOC2"/>
            <w:tabs>
              <w:tab w:val="right" w:leader="dot" w:pos="9350"/>
            </w:tabs>
            <w:rPr>
              <w:noProof/>
              <w:sz w:val="22"/>
              <w:szCs w:val="22"/>
            </w:rPr>
          </w:pPr>
          <w:hyperlink w:anchor="_Toc82448665" w:history="1">
            <w:r w:rsidR="001A21DA" w:rsidRPr="00E817A5">
              <w:rPr>
                <w:rStyle w:val="Hyperlink"/>
                <w:noProof/>
                <w:rtl/>
              </w:rPr>
              <w:t>نکته ششم:</w:t>
            </w:r>
            <w:r w:rsidR="001A21DA" w:rsidRPr="00E817A5">
              <w:rPr>
                <w:noProof/>
                <w:webHidden/>
              </w:rPr>
              <w:tab/>
            </w:r>
            <w:r w:rsidR="001A21DA" w:rsidRPr="00E817A5">
              <w:rPr>
                <w:rStyle w:val="Hyperlink"/>
                <w:noProof/>
                <w:rtl/>
              </w:rPr>
              <w:fldChar w:fldCharType="begin"/>
            </w:r>
            <w:r w:rsidR="001A21DA" w:rsidRPr="00E817A5">
              <w:rPr>
                <w:noProof/>
                <w:webHidden/>
              </w:rPr>
              <w:instrText xml:space="preserve"> PAGEREF _Toc82448665 \h </w:instrText>
            </w:r>
            <w:r w:rsidR="001A21DA" w:rsidRPr="00E817A5">
              <w:rPr>
                <w:rStyle w:val="Hyperlink"/>
                <w:noProof/>
                <w:rtl/>
              </w:rPr>
            </w:r>
            <w:r w:rsidR="001A21DA" w:rsidRPr="00E817A5">
              <w:rPr>
                <w:rStyle w:val="Hyperlink"/>
                <w:noProof/>
                <w:rtl/>
              </w:rPr>
              <w:fldChar w:fldCharType="separate"/>
            </w:r>
            <w:r w:rsidR="001A21DA" w:rsidRPr="00E817A5">
              <w:rPr>
                <w:noProof/>
                <w:webHidden/>
              </w:rPr>
              <w:t>5</w:t>
            </w:r>
            <w:r w:rsidR="001A21DA" w:rsidRPr="00E817A5">
              <w:rPr>
                <w:rStyle w:val="Hyperlink"/>
                <w:noProof/>
                <w:rtl/>
              </w:rPr>
              <w:fldChar w:fldCharType="end"/>
            </w:r>
          </w:hyperlink>
        </w:p>
        <w:p w:rsidR="001A21DA" w:rsidRPr="00E817A5" w:rsidRDefault="00CB4282" w:rsidP="001A21DA">
          <w:pPr>
            <w:pStyle w:val="TOC1"/>
            <w:tabs>
              <w:tab w:val="right" w:leader="dot" w:pos="9350"/>
            </w:tabs>
            <w:rPr>
              <w:noProof/>
              <w:sz w:val="22"/>
              <w:szCs w:val="22"/>
            </w:rPr>
          </w:pPr>
          <w:hyperlink w:anchor="_Toc82448666" w:history="1">
            <w:r w:rsidR="001A21DA" w:rsidRPr="00E817A5">
              <w:rPr>
                <w:rStyle w:val="Hyperlink"/>
                <w:noProof/>
                <w:rtl/>
              </w:rPr>
              <w:t>دل</w:t>
            </w:r>
            <w:r w:rsidR="001A21DA" w:rsidRPr="00E817A5">
              <w:rPr>
                <w:rStyle w:val="Hyperlink"/>
                <w:rFonts w:hint="cs"/>
                <w:noProof/>
                <w:rtl/>
              </w:rPr>
              <w:t>ی</w:t>
            </w:r>
            <w:r w:rsidR="001A21DA" w:rsidRPr="00E817A5">
              <w:rPr>
                <w:rStyle w:val="Hyperlink"/>
                <w:rFonts w:hint="eastAsia"/>
                <w:noProof/>
                <w:rtl/>
              </w:rPr>
              <w:t>ل</w:t>
            </w:r>
            <w:r w:rsidR="001A21DA" w:rsidRPr="00E817A5">
              <w:rPr>
                <w:rStyle w:val="Hyperlink"/>
                <w:noProof/>
                <w:rtl/>
              </w:rPr>
              <w:t xml:space="preserve"> دوم:</w:t>
            </w:r>
            <w:r w:rsidR="001A21DA" w:rsidRPr="00E817A5">
              <w:rPr>
                <w:noProof/>
                <w:webHidden/>
              </w:rPr>
              <w:tab/>
            </w:r>
            <w:r w:rsidR="001A21DA" w:rsidRPr="00E817A5">
              <w:rPr>
                <w:rStyle w:val="Hyperlink"/>
                <w:noProof/>
                <w:rtl/>
              </w:rPr>
              <w:fldChar w:fldCharType="begin"/>
            </w:r>
            <w:r w:rsidR="001A21DA" w:rsidRPr="00E817A5">
              <w:rPr>
                <w:noProof/>
                <w:webHidden/>
              </w:rPr>
              <w:instrText xml:space="preserve"> PAGEREF _Toc82448666 \h </w:instrText>
            </w:r>
            <w:r w:rsidR="001A21DA" w:rsidRPr="00E817A5">
              <w:rPr>
                <w:rStyle w:val="Hyperlink"/>
                <w:noProof/>
                <w:rtl/>
              </w:rPr>
            </w:r>
            <w:r w:rsidR="001A21DA" w:rsidRPr="00E817A5">
              <w:rPr>
                <w:rStyle w:val="Hyperlink"/>
                <w:noProof/>
                <w:rtl/>
              </w:rPr>
              <w:fldChar w:fldCharType="separate"/>
            </w:r>
            <w:r w:rsidR="001A21DA" w:rsidRPr="00E817A5">
              <w:rPr>
                <w:noProof/>
                <w:webHidden/>
              </w:rPr>
              <w:t>5</w:t>
            </w:r>
            <w:r w:rsidR="001A21DA" w:rsidRPr="00E817A5">
              <w:rPr>
                <w:rStyle w:val="Hyperlink"/>
                <w:noProof/>
                <w:rtl/>
              </w:rPr>
              <w:fldChar w:fldCharType="end"/>
            </w:r>
          </w:hyperlink>
        </w:p>
        <w:p w:rsidR="001A21DA" w:rsidRPr="00E817A5" w:rsidRDefault="001A21DA" w:rsidP="001A21DA">
          <w:r w:rsidRPr="00E817A5">
            <w:rPr>
              <w:b/>
              <w:bCs/>
              <w:noProof/>
            </w:rPr>
            <w:fldChar w:fldCharType="end"/>
          </w:r>
        </w:p>
      </w:sdtContent>
    </w:sdt>
    <w:p w:rsidR="00BB7962" w:rsidRPr="00E817A5" w:rsidRDefault="00BB7962" w:rsidP="00BB7962">
      <w:pPr>
        <w:jc w:val="center"/>
        <w:rPr>
          <w:rtl/>
        </w:rPr>
      </w:pPr>
    </w:p>
    <w:p w:rsidR="00BB7962" w:rsidRPr="00E817A5" w:rsidRDefault="00BB7962">
      <w:pPr>
        <w:bidi w:val="0"/>
        <w:spacing w:after="0"/>
        <w:ind w:firstLine="0"/>
        <w:jc w:val="left"/>
        <w:rPr>
          <w:rtl/>
        </w:rPr>
      </w:pPr>
      <w:r w:rsidRPr="00E817A5">
        <w:rPr>
          <w:rtl/>
        </w:rPr>
        <w:br w:type="page"/>
      </w:r>
    </w:p>
    <w:p w:rsidR="00380D63" w:rsidRPr="00E817A5" w:rsidRDefault="00380D63" w:rsidP="00380D63">
      <w:pPr>
        <w:jc w:val="center"/>
        <w:rPr>
          <w:rtl/>
        </w:rPr>
      </w:pPr>
      <w:bookmarkStart w:id="0" w:name="_Toc82448662"/>
      <w:bookmarkStart w:id="1" w:name="_Toc55762589"/>
      <w:bookmarkStart w:id="2" w:name="_Toc52629501"/>
      <w:r w:rsidRPr="00E817A5">
        <w:rPr>
          <w:rtl/>
        </w:rPr>
        <w:lastRenderedPageBreak/>
        <w:t>بسم الله الرحمن الرحیم</w:t>
      </w:r>
    </w:p>
    <w:p w:rsidR="00380D63" w:rsidRPr="00E817A5" w:rsidRDefault="00380D63" w:rsidP="00380D63">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E817A5">
        <w:rPr>
          <w:szCs w:val="44"/>
          <w:rtl/>
        </w:rPr>
        <w:t xml:space="preserve">موضوع: </w:t>
      </w:r>
      <w:r w:rsidRPr="00E817A5">
        <w:rPr>
          <w:color w:val="000000" w:themeColor="text1"/>
          <w:szCs w:val="44"/>
          <w:rtl/>
        </w:rPr>
        <w:t>فقه / نکاح</w:t>
      </w:r>
      <w:bookmarkEnd w:id="1"/>
      <w:bookmarkEnd w:id="2"/>
      <w:bookmarkEnd w:id="3"/>
      <w:bookmarkEnd w:id="4"/>
      <w:bookmarkEnd w:id="5"/>
      <w:bookmarkEnd w:id="6"/>
      <w:bookmarkEnd w:id="7"/>
      <w:bookmarkEnd w:id="8"/>
      <w:bookmarkEnd w:id="9"/>
      <w:bookmarkEnd w:id="10"/>
    </w:p>
    <w:p w:rsidR="008519EF" w:rsidRPr="00E817A5" w:rsidRDefault="008519EF" w:rsidP="00BB7962">
      <w:pPr>
        <w:pStyle w:val="Heading1"/>
        <w:rPr>
          <w:rtl/>
        </w:rPr>
      </w:pPr>
      <w:bookmarkStart w:id="11" w:name="_GoBack"/>
      <w:r w:rsidRPr="00E817A5">
        <w:rPr>
          <w:rFonts w:hint="cs"/>
          <w:rtl/>
        </w:rPr>
        <w:t>مقدمه</w:t>
      </w:r>
      <w:bookmarkEnd w:id="0"/>
    </w:p>
    <w:p w:rsidR="00D43D29" w:rsidRPr="00E817A5" w:rsidRDefault="008519EF" w:rsidP="00BF63CB">
      <w:pPr>
        <w:rPr>
          <w:rtl/>
        </w:rPr>
      </w:pPr>
      <w:r w:rsidRPr="00E817A5">
        <w:rPr>
          <w:rFonts w:hint="cs"/>
          <w:rtl/>
        </w:rPr>
        <w:t xml:space="preserve">بحث در استثنای دوم از حرمت نظر به اجنبیه بود و آن عبارت بود از </w:t>
      </w:r>
      <w:r w:rsidR="001A21DA" w:rsidRPr="00E817A5">
        <w:rPr>
          <w:rFonts w:hint="cs"/>
          <w:rtl/>
        </w:rPr>
        <w:t>زن‌های</w:t>
      </w:r>
      <w:r w:rsidRPr="00E817A5">
        <w:rPr>
          <w:rFonts w:hint="cs"/>
          <w:rtl/>
        </w:rPr>
        <w:t xml:space="preserve"> ذمی و کفار اهل ذمه بلکه </w:t>
      </w:r>
      <w:r w:rsidR="001A21DA" w:rsidRPr="00E817A5">
        <w:rPr>
          <w:rFonts w:hint="cs"/>
          <w:rtl/>
        </w:rPr>
        <w:t>زن‌های</w:t>
      </w:r>
      <w:r w:rsidRPr="00E817A5">
        <w:rPr>
          <w:rFonts w:hint="cs"/>
          <w:rtl/>
        </w:rPr>
        <w:t xml:space="preserve"> مطلق کفار که در مسئله 27 متعرض شده بودند و صدر این مسئله به این موضوع اختصاص داشت. </w:t>
      </w:r>
      <w:r w:rsidR="001A21DA" w:rsidRPr="00E817A5">
        <w:rPr>
          <w:rFonts w:hint="cs"/>
          <w:rtl/>
        </w:rPr>
        <w:t>ادله‌ای</w:t>
      </w:r>
      <w:r w:rsidRPr="00E817A5">
        <w:rPr>
          <w:rFonts w:hint="cs"/>
          <w:rtl/>
        </w:rPr>
        <w:t xml:space="preserve"> ممکن است اقامه شود که </w:t>
      </w:r>
      <w:r w:rsidR="001A21DA" w:rsidRPr="00E817A5">
        <w:rPr>
          <w:rFonts w:hint="cs"/>
          <w:rtl/>
        </w:rPr>
        <w:t>مهم‌ترین</w:t>
      </w:r>
      <w:r w:rsidRPr="00E817A5">
        <w:rPr>
          <w:rFonts w:hint="cs"/>
          <w:rtl/>
        </w:rPr>
        <w:t xml:space="preserve"> آنها خبر سکونی بود که امام صادق از </w:t>
      </w:r>
      <w:r w:rsidR="001A21DA" w:rsidRPr="00E817A5">
        <w:rPr>
          <w:rFonts w:hint="cs"/>
          <w:rtl/>
        </w:rPr>
        <w:t xml:space="preserve">رسول‌الله نقل کردند که </w:t>
      </w:r>
      <w:r w:rsidR="00380D63" w:rsidRPr="00E817A5">
        <w:rPr>
          <w:rFonts w:hint="cs"/>
          <w:rtl/>
        </w:rPr>
        <w:t>«</w:t>
      </w:r>
      <w:r w:rsidR="00D43D29" w:rsidRPr="00E817A5">
        <w:rPr>
          <w:rFonts w:hint="cs"/>
          <w:color w:val="008000"/>
          <w:rtl/>
        </w:rPr>
        <w:t>لَا حُرْمَةَ لِنِسَاءِ أَهْلِ‏ الذِّمَّةِ َأنْ يُنْظَرَ إِ</w:t>
      </w:r>
      <w:r w:rsidR="00BF63CB">
        <w:rPr>
          <w:rFonts w:hint="cs"/>
          <w:color w:val="008000"/>
          <w:rtl/>
        </w:rPr>
        <w:t>لَى شُعُورِهِنَّ</w:t>
      </w:r>
      <w:r w:rsidR="00D43D29" w:rsidRPr="00E817A5">
        <w:rPr>
          <w:rFonts w:hint="cs"/>
          <w:rtl/>
        </w:rPr>
        <w:t>»</w:t>
      </w:r>
      <w:r w:rsidR="00D43D29" w:rsidRPr="00E817A5">
        <w:rPr>
          <w:rStyle w:val="FootnoteReference"/>
          <w:color w:val="008000"/>
          <w:rtl/>
        </w:rPr>
        <w:footnoteReference w:id="1"/>
      </w:r>
    </w:p>
    <w:p w:rsidR="008519EF" w:rsidRPr="00E817A5" w:rsidRDefault="008519EF" w:rsidP="008519EF">
      <w:pPr>
        <w:rPr>
          <w:rtl/>
        </w:rPr>
      </w:pPr>
      <w:r w:rsidRPr="00E817A5">
        <w:rPr>
          <w:rFonts w:hint="cs"/>
          <w:rtl/>
        </w:rPr>
        <w:t xml:space="preserve">در این روایت وجوهی از بحث بود که متعرض شدیم. بحث اول در سند بود که ملاحظه کردید و جهت دوم بحث این بود که حرمت را تفسیر کردیم. جهت سوم گرچه در روایت اهل ذمه دارد اما الغاء خصوصیت به مطلق کفار بعید نیست بلکه </w:t>
      </w:r>
      <w:r w:rsidR="001A21DA" w:rsidRPr="00E817A5">
        <w:rPr>
          <w:rFonts w:hint="cs"/>
          <w:rtl/>
        </w:rPr>
        <w:t>فحوا</w:t>
      </w:r>
      <w:r w:rsidRPr="00E817A5">
        <w:rPr>
          <w:rFonts w:hint="cs"/>
          <w:rtl/>
        </w:rPr>
        <w:t xml:space="preserve">. نکته چهارم در روایت شعورهن بود که یا اختصاص به شعر رأس دارد و اگر اختصاص نداشته باشد قدر متیقنش هست. احتمال </w:t>
      </w:r>
      <w:r w:rsidR="001A21DA" w:rsidRPr="00E817A5">
        <w:rPr>
          <w:rFonts w:hint="cs"/>
          <w:rtl/>
        </w:rPr>
        <w:t>قوی‌تر</w:t>
      </w:r>
      <w:r w:rsidRPr="00E817A5">
        <w:rPr>
          <w:rFonts w:hint="cs"/>
          <w:rtl/>
        </w:rPr>
        <w:t xml:space="preserve"> این بود که انصراف به موی متعارفی داشته باشد که در زن موی سر است.</w:t>
      </w:r>
    </w:p>
    <w:p w:rsidR="008519EF" w:rsidRPr="00E817A5" w:rsidRDefault="008519EF" w:rsidP="00BB7962">
      <w:pPr>
        <w:pStyle w:val="Heading2"/>
        <w:rPr>
          <w:rFonts w:ascii="Traditional Arabic" w:hAnsi="Traditional Arabic" w:cs="Traditional Arabic"/>
          <w:rtl/>
        </w:rPr>
      </w:pPr>
      <w:bookmarkStart w:id="12" w:name="_Toc82448663"/>
      <w:r w:rsidRPr="00E817A5">
        <w:rPr>
          <w:rFonts w:ascii="Traditional Arabic" w:hAnsi="Traditional Arabic" w:cs="Traditional Arabic" w:hint="cs"/>
          <w:rtl/>
        </w:rPr>
        <w:t>نکته پنجم:</w:t>
      </w:r>
      <w:r w:rsidR="00BB7962" w:rsidRPr="00E817A5">
        <w:rPr>
          <w:rFonts w:ascii="Traditional Arabic" w:hAnsi="Traditional Arabic" w:cs="Traditional Arabic" w:hint="cs"/>
          <w:rtl/>
        </w:rPr>
        <w:t xml:space="preserve"> سرایت حکم جو</w:t>
      </w:r>
      <w:r w:rsidR="001A21DA" w:rsidRPr="00E817A5">
        <w:rPr>
          <w:rFonts w:ascii="Traditional Arabic" w:hAnsi="Traditional Arabic" w:cs="Traditional Arabic" w:hint="cs"/>
          <w:rtl/>
        </w:rPr>
        <w:t>از</w:t>
      </w:r>
      <w:r w:rsidR="00BF63CB">
        <w:rPr>
          <w:rFonts w:ascii="Traditional Arabic" w:hAnsi="Traditional Arabic" w:cs="Traditional Arabic" w:hint="cs"/>
          <w:rtl/>
        </w:rPr>
        <w:t xml:space="preserve"> </w:t>
      </w:r>
      <w:r w:rsidR="001A21DA" w:rsidRPr="00E817A5">
        <w:rPr>
          <w:rFonts w:ascii="Traditional Arabic" w:hAnsi="Traditional Arabic" w:cs="Traditional Arabic" w:hint="cs"/>
          <w:rtl/>
        </w:rPr>
        <w:t>نظر</w:t>
      </w:r>
      <w:r w:rsidR="00BB7962" w:rsidRPr="00E817A5">
        <w:rPr>
          <w:rFonts w:ascii="Traditional Arabic" w:hAnsi="Traditional Arabic" w:cs="Traditional Arabic" w:hint="cs"/>
          <w:rtl/>
        </w:rPr>
        <w:t xml:space="preserve"> به بقیه اجزاء غیر شعر</w:t>
      </w:r>
      <w:bookmarkEnd w:id="12"/>
    </w:p>
    <w:p w:rsidR="00BE4950" w:rsidRPr="00E817A5" w:rsidRDefault="008519EF" w:rsidP="008519EF">
      <w:pPr>
        <w:rPr>
          <w:rtl/>
        </w:rPr>
      </w:pPr>
      <w:r w:rsidRPr="00E817A5">
        <w:rPr>
          <w:rFonts w:hint="cs"/>
          <w:rtl/>
        </w:rPr>
        <w:t xml:space="preserve">غیر از شعر چه اعضای دیگری را </w:t>
      </w:r>
      <w:r w:rsidR="001A21DA" w:rsidRPr="00E817A5">
        <w:rPr>
          <w:rFonts w:hint="cs"/>
          <w:rtl/>
        </w:rPr>
        <w:t>می‌شود</w:t>
      </w:r>
      <w:r w:rsidRPr="00E817A5">
        <w:rPr>
          <w:rFonts w:hint="cs"/>
          <w:rtl/>
        </w:rPr>
        <w:t xml:space="preserve"> از این روایت استفاده کرد؟ آنچه در منطوق روایت است این است که به موهای سر زن ذمیه بلکه مطلق کفار نگاه اشکال ندارد. </w:t>
      </w:r>
      <w:r w:rsidR="001A21DA" w:rsidRPr="00E817A5">
        <w:rPr>
          <w:rFonts w:hint="cs"/>
          <w:rtl/>
        </w:rPr>
        <w:t>غیرازاین</w:t>
      </w:r>
      <w:r w:rsidRPr="00E817A5">
        <w:rPr>
          <w:rFonts w:hint="cs"/>
          <w:rtl/>
        </w:rPr>
        <w:t xml:space="preserve"> موها اعضای دیگر چطور؟ ممکن است با </w:t>
      </w:r>
      <w:r w:rsidR="001A21DA" w:rsidRPr="00E817A5">
        <w:rPr>
          <w:rFonts w:hint="cs"/>
          <w:rtl/>
        </w:rPr>
        <w:t>فحوا</w:t>
      </w:r>
      <w:r w:rsidRPr="00E817A5">
        <w:rPr>
          <w:rFonts w:hint="cs"/>
          <w:rtl/>
        </w:rPr>
        <w:t xml:space="preserve"> یا الغاء خصوصیت یا ملازمه عرفیه اجزاء دیگر را هم پذیرفت. نسبت به خود سر ممکن است گفته شود به ملازمه عرفیه به خود سر هم </w:t>
      </w:r>
      <w:r w:rsidR="001A21DA" w:rsidRPr="00E817A5">
        <w:rPr>
          <w:rFonts w:hint="cs"/>
          <w:rtl/>
        </w:rPr>
        <w:t>می‌شود</w:t>
      </w:r>
      <w:r w:rsidRPr="00E817A5">
        <w:rPr>
          <w:rFonts w:hint="cs"/>
          <w:rtl/>
        </w:rPr>
        <w:t xml:space="preserve"> نگاه کرد. موی سر اطلاق دارد گاهی موهایی است که تکثف دارد و فشرده است و مانع است که خود بشر را کسی ببیند</w:t>
      </w:r>
      <w:r w:rsidR="00BF63CB">
        <w:rPr>
          <w:rtl/>
        </w:rPr>
        <w:t xml:space="preserve">؛ </w:t>
      </w:r>
      <w:r w:rsidRPr="00E817A5">
        <w:rPr>
          <w:rFonts w:hint="cs"/>
          <w:rtl/>
        </w:rPr>
        <w:t xml:space="preserve">اما گاهی </w:t>
      </w:r>
      <w:r w:rsidR="001A21DA" w:rsidRPr="00E817A5">
        <w:rPr>
          <w:rFonts w:hint="cs"/>
          <w:rtl/>
        </w:rPr>
        <w:t>این‌طور</w:t>
      </w:r>
      <w:r w:rsidRPr="00E817A5">
        <w:rPr>
          <w:rFonts w:hint="cs"/>
          <w:rtl/>
        </w:rPr>
        <w:t xml:space="preserve"> است که موی سر تکثف و فشردگی ندارد و همراه آن بخشی از بشره را هم </w:t>
      </w:r>
      <w:r w:rsidR="001A21DA" w:rsidRPr="00E817A5">
        <w:rPr>
          <w:rFonts w:hint="cs"/>
          <w:rtl/>
        </w:rPr>
        <w:t>می‌توان</w:t>
      </w:r>
      <w:r w:rsidRPr="00E817A5">
        <w:rPr>
          <w:rFonts w:hint="cs"/>
          <w:rtl/>
        </w:rPr>
        <w:t xml:space="preserve"> دید. چون اطلاق دارد سر را هم </w:t>
      </w:r>
      <w:r w:rsidR="001A21DA" w:rsidRPr="00E817A5">
        <w:rPr>
          <w:rFonts w:hint="cs"/>
          <w:rtl/>
        </w:rPr>
        <w:t>می‌توان</w:t>
      </w:r>
      <w:r w:rsidRPr="00E817A5">
        <w:rPr>
          <w:rFonts w:hint="cs"/>
          <w:rtl/>
        </w:rPr>
        <w:t xml:space="preserve">د ببیند. این از باب ملازمه عرفیه است. شامل صورت دست هم </w:t>
      </w:r>
      <w:r w:rsidR="001A21DA" w:rsidRPr="00E817A5">
        <w:rPr>
          <w:rFonts w:hint="cs"/>
          <w:rtl/>
        </w:rPr>
        <w:t>می‌شود</w:t>
      </w:r>
      <w:r w:rsidRPr="00E817A5">
        <w:rPr>
          <w:rFonts w:hint="cs"/>
          <w:rtl/>
        </w:rPr>
        <w:t xml:space="preserve"> بالفحوی یا با الغاء خصوصیت. شعر را که </w:t>
      </w:r>
      <w:r w:rsidR="001A21DA" w:rsidRPr="00E817A5">
        <w:rPr>
          <w:rFonts w:hint="cs"/>
          <w:rtl/>
        </w:rPr>
        <w:t>می‌شود</w:t>
      </w:r>
      <w:r w:rsidRPr="00E817A5">
        <w:rPr>
          <w:rFonts w:hint="cs"/>
          <w:rtl/>
        </w:rPr>
        <w:t xml:space="preserve"> نگاه کرد </w:t>
      </w:r>
      <w:r w:rsidR="001A21DA" w:rsidRPr="00E817A5">
        <w:rPr>
          <w:rFonts w:hint="cs"/>
          <w:rtl/>
        </w:rPr>
        <w:t>به‌طریق‌اولی</w:t>
      </w:r>
      <w:r w:rsidRPr="00E817A5">
        <w:rPr>
          <w:rFonts w:hint="cs"/>
          <w:rtl/>
        </w:rPr>
        <w:t xml:space="preserve"> </w:t>
      </w:r>
      <w:r w:rsidR="001A21DA" w:rsidRPr="00E817A5">
        <w:rPr>
          <w:rFonts w:hint="cs"/>
          <w:rtl/>
        </w:rPr>
        <w:t>به‌صورت</w:t>
      </w:r>
      <w:r w:rsidRPr="00E817A5">
        <w:rPr>
          <w:rFonts w:hint="cs"/>
          <w:rtl/>
        </w:rPr>
        <w:t xml:space="preserve"> و </w:t>
      </w:r>
      <w:r w:rsidR="001A21DA" w:rsidRPr="00E817A5">
        <w:rPr>
          <w:rFonts w:hint="cs"/>
          <w:rtl/>
        </w:rPr>
        <w:t>دست‌ها</w:t>
      </w:r>
      <w:r w:rsidRPr="00E817A5">
        <w:rPr>
          <w:rFonts w:hint="cs"/>
          <w:rtl/>
        </w:rPr>
        <w:t xml:space="preserve"> هم </w:t>
      </w:r>
      <w:r w:rsidR="001A21DA" w:rsidRPr="00E817A5">
        <w:rPr>
          <w:rFonts w:hint="cs"/>
          <w:rtl/>
        </w:rPr>
        <w:t>می‌شود</w:t>
      </w:r>
      <w:r w:rsidRPr="00E817A5">
        <w:rPr>
          <w:rFonts w:hint="cs"/>
          <w:rtl/>
        </w:rPr>
        <w:t xml:space="preserve"> نگاه کرد. </w:t>
      </w:r>
      <w:r w:rsidR="001A21DA" w:rsidRPr="00E817A5">
        <w:rPr>
          <w:rFonts w:hint="cs"/>
          <w:rtl/>
        </w:rPr>
        <w:t>به‌خصوص</w:t>
      </w:r>
      <w:r w:rsidRPr="00E817A5">
        <w:rPr>
          <w:rFonts w:hint="cs"/>
          <w:rtl/>
        </w:rPr>
        <w:t xml:space="preserve"> اگر کسی بحث وجه و کفین را ملاحظه کند. اگر نگوییم مشهور جواز است قول به جواز </w:t>
      </w:r>
      <w:r w:rsidR="001A21DA" w:rsidRPr="00E817A5">
        <w:rPr>
          <w:rFonts w:hint="cs"/>
          <w:rtl/>
        </w:rPr>
        <w:t>مؤونه</w:t>
      </w:r>
      <w:r w:rsidR="00BE4950" w:rsidRPr="00E817A5">
        <w:rPr>
          <w:rFonts w:hint="cs"/>
          <w:rtl/>
        </w:rPr>
        <w:t xml:space="preserve"> کمتری دارد. </w:t>
      </w:r>
      <w:r w:rsidR="001A21DA" w:rsidRPr="00E817A5">
        <w:rPr>
          <w:rFonts w:hint="cs"/>
          <w:rtl/>
        </w:rPr>
        <w:t>به‌طریق‌اولی</w:t>
      </w:r>
      <w:r w:rsidR="00BE4950" w:rsidRPr="00E817A5">
        <w:rPr>
          <w:rFonts w:hint="cs"/>
          <w:rtl/>
        </w:rPr>
        <w:t xml:space="preserve"> وقتی به مو بشود نگاه کرد به وجه و کفین هم </w:t>
      </w:r>
      <w:r w:rsidR="001A21DA" w:rsidRPr="00E817A5">
        <w:rPr>
          <w:rFonts w:hint="cs"/>
          <w:rtl/>
        </w:rPr>
        <w:t>می‌شود</w:t>
      </w:r>
      <w:r w:rsidR="00BE4950" w:rsidRPr="00E817A5">
        <w:rPr>
          <w:rFonts w:hint="cs"/>
          <w:rtl/>
        </w:rPr>
        <w:t xml:space="preserve"> نگاه کرد. پس تعمیم حکم به خود سر و به وجه و کفین توجیه </w:t>
      </w:r>
      <w:r w:rsidR="001A21DA" w:rsidRPr="00E817A5">
        <w:rPr>
          <w:rFonts w:hint="cs"/>
          <w:rtl/>
        </w:rPr>
        <w:t>می‌شود</w:t>
      </w:r>
      <w:r w:rsidR="00BE4950" w:rsidRPr="00E817A5">
        <w:rPr>
          <w:rFonts w:hint="cs"/>
          <w:rtl/>
        </w:rPr>
        <w:t xml:space="preserve"> و مطابق ضوابط و قواعد است. بیش از این را از این روایت به دست آوردن دشوار است. اینکه بخواهد به ساق و سینه و امثال </w:t>
      </w:r>
      <w:r w:rsidR="001A21DA" w:rsidRPr="00E817A5">
        <w:rPr>
          <w:rFonts w:hint="cs"/>
          <w:rtl/>
        </w:rPr>
        <w:t>این‌ها</w:t>
      </w:r>
      <w:r w:rsidR="00BE4950" w:rsidRPr="00E817A5">
        <w:rPr>
          <w:rFonts w:hint="cs"/>
          <w:rtl/>
        </w:rPr>
        <w:t xml:space="preserve"> نگاه کند </w:t>
      </w:r>
      <w:r w:rsidR="001A21DA" w:rsidRPr="00E817A5">
        <w:rPr>
          <w:rFonts w:hint="cs"/>
          <w:rtl/>
        </w:rPr>
        <w:t>مشکل‌تر</w:t>
      </w:r>
      <w:r w:rsidR="00BE4950" w:rsidRPr="00E817A5">
        <w:rPr>
          <w:rFonts w:hint="cs"/>
          <w:rtl/>
        </w:rPr>
        <w:t xml:space="preserve"> از </w:t>
      </w:r>
      <w:r w:rsidR="001A21DA" w:rsidRPr="00E817A5">
        <w:rPr>
          <w:rFonts w:hint="cs"/>
          <w:rtl/>
        </w:rPr>
        <w:t>تعمیم‌های</w:t>
      </w:r>
      <w:r w:rsidR="00BE4950" w:rsidRPr="00E817A5">
        <w:rPr>
          <w:rFonts w:hint="cs"/>
          <w:rtl/>
        </w:rPr>
        <w:t xml:space="preserve"> قبلی است. </w:t>
      </w:r>
      <w:r w:rsidR="001A21DA" w:rsidRPr="00E817A5">
        <w:rPr>
          <w:rFonts w:hint="cs"/>
          <w:rtl/>
        </w:rPr>
        <w:t>تعمیم‌های</w:t>
      </w:r>
      <w:r w:rsidR="00BE4950" w:rsidRPr="00E817A5">
        <w:rPr>
          <w:rFonts w:hint="cs"/>
          <w:rtl/>
        </w:rPr>
        <w:t xml:space="preserve"> قبلی به خود بشره و وجه و کفین مقبول است.</w:t>
      </w:r>
    </w:p>
    <w:p w:rsidR="00BB7962" w:rsidRPr="00E817A5" w:rsidRDefault="00BB7962" w:rsidP="00BB7962">
      <w:pPr>
        <w:pStyle w:val="Heading3"/>
        <w:rPr>
          <w:rtl/>
        </w:rPr>
      </w:pPr>
      <w:bookmarkStart w:id="13" w:name="_Toc82448664"/>
      <w:r w:rsidRPr="00E817A5">
        <w:rPr>
          <w:rFonts w:hint="cs"/>
          <w:rtl/>
        </w:rPr>
        <w:lastRenderedPageBreak/>
        <w:t>دو تفسیر از روایت</w:t>
      </w:r>
      <w:bookmarkEnd w:id="13"/>
    </w:p>
    <w:p w:rsidR="00BE4950" w:rsidRPr="00E817A5" w:rsidRDefault="00BE4950" w:rsidP="00622607">
      <w:pPr>
        <w:rPr>
          <w:rtl/>
        </w:rPr>
      </w:pPr>
      <w:r w:rsidRPr="00E817A5">
        <w:rPr>
          <w:rFonts w:hint="cs"/>
          <w:rtl/>
        </w:rPr>
        <w:t xml:space="preserve"> بیش از آن دشوار است مگر اینکه کسی </w:t>
      </w:r>
      <w:r w:rsidR="001A21DA" w:rsidRPr="00E817A5">
        <w:rPr>
          <w:rFonts w:hint="cs"/>
          <w:rtl/>
        </w:rPr>
        <w:t>این‌طور</w:t>
      </w:r>
      <w:r w:rsidRPr="00E817A5">
        <w:rPr>
          <w:rFonts w:hint="cs"/>
          <w:rtl/>
        </w:rPr>
        <w:t xml:space="preserve"> استدلال کند که به سایر اعضا هم </w:t>
      </w:r>
      <w:r w:rsidR="001A21DA" w:rsidRPr="00E817A5">
        <w:rPr>
          <w:rFonts w:hint="cs"/>
          <w:rtl/>
        </w:rPr>
        <w:t>می‌شود</w:t>
      </w:r>
      <w:r w:rsidRPr="00E817A5">
        <w:rPr>
          <w:rFonts w:hint="cs"/>
          <w:rtl/>
        </w:rPr>
        <w:t xml:space="preserve"> نگاه کرد زیرا روایت دارد </w:t>
      </w:r>
      <w:r w:rsidR="00437A2E" w:rsidRPr="00E817A5">
        <w:rPr>
          <w:rFonts w:hint="cs"/>
          <w:rtl/>
        </w:rPr>
        <w:t>«</w:t>
      </w:r>
      <w:r w:rsidR="00437A2E" w:rsidRPr="00E817A5">
        <w:rPr>
          <w:rFonts w:hint="cs"/>
          <w:color w:val="008000"/>
          <w:rtl/>
        </w:rPr>
        <w:t>لَا حُرْمَةَ لِنِسَاءِ أَهْلِ‏ الذِّمَّةِ َأ</w:t>
      </w:r>
      <w:r w:rsidR="00437A2E" w:rsidRPr="00E817A5">
        <w:rPr>
          <w:rFonts w:hint="cs"/>
          <w:color w:val="008000"/>
          <w:rtl/>
        </w:rPr>
        <w:t>نْ يُنْظَرَ إِلَى شُعُورِهِنَّ</w:t>
      </w:r>
      <w:r w:rsidR="00437A2E" w:rsidRPr="00E817A5">
        <w:rPr>
          <w:rFonts w:hint="cs"/>
          <w:rtl/>
        </w:rPr>
        <w:t>»</w:t>
      </w:r>
      <w:r w:rsidRPr="00E817A5">
        <w:rPr>
          <w:rFonts w:hint="cs"/>
          <w:rtl/>
        </w:rPr>
        <w:t xml:space="preserve">. توضیح مسئله این است که این جمله را دو جور </w:t>
      </w:r>
      <w:r w:rsidR="001A21DA" w:rsidRPr="00E817A5">
        <w:rPr>
          <w:rFonts w:hint="cs"/>
          <w:rtl/>
        </w:rPr>
        <w:t>می‌شود</w:t>
      </w:r>
      <w:r w:rsidRPr="00E817A5">
        <w:rPr>
          <w:rFonts w:hint="cs"/>
          <w:rtl/>
        </w:rPr>
        <w:t xml:space="preserve"> تفسیر کرد. </w:t>
      </w:r>
      <w:r w:rsidR="001A21DA" w:rsidRPr="00E817A5">
        <w:rPr>
          <w:rFonts w:hint="cs"/>
          <w:rtl/>
        </w:rPr>
        <w:t>یک‌بار</w:t>
      </w:r>
      <w:r w:rsidRPr="00E817A5">
        <w:rPr>
          <w:rFonts w:hint="cs"/>
          <w:rtl/>
        </w:rPr>
        <w:t xml:space="preserve"> اینکه </w:t>
      </w:r>
      <w:r w:rsidR="001A21DA" w:rsidRPr="00E817A5">
        <w:rPr>
          <w:rFonts w:hint="cs"/>
          <w:rtl/>
        </w:rPr>
        <w:t>به‌گونه‌ای</w:t>
      </w:r>
      <w:r w:rsidRPr="00E817A5">
        <w:rPr>
          <w:rFonts w:hint="cs"/>
          <w:rtl/>
        </w:rPr>
        <w:t xml:space="preserve"> تفسیر کنیم که موضوع نفی حرمت منحصر در شعور است. تفسیر ما بود که تعمیم بدهیم با الغاء خصوصیت و فحواست</w:t>
      </w:r>
      <w:r w:rsidR="00BF63CB">
        <w:rPr>
          <w:rtl/>
        </w:rPr>
        <w:t xml:space="preserve">؛ </w:t>
      </w:r>
      <w:r w:rsidRPr="00E817A5">
        <w:rPr>
          <w:rFonts w:hint="cs"/>
          <w:rtl/>
        </w:rPr>
        <w:t xml:space="preserve">اما تفسیر دیگری </w:t>
      </w:r>
      <w:r w:rsidR="001A21DA" w:rsidRPr="00E817A5">
        <w:rPr>
          <w:rFonts w:hint="cs"/>
          <w:rtl/>
        </w:rPr>
        <w:t>می‌شود</w:t>
      </w:r>
      <w:r w:rsidRPr="00E817A5">
        <w:rPr>
          <w:rFonts w:hint="cs"/>
          <w:rtl/>
        </w:rPr>
        <w:t xml:space="preserve"> ارائه کرد که </w:t>
      </w:r>
      <w:r w:rsidR="00633D96" w:rsidRPr="00E817A5">
        <w:rPr>
          <w:rFonts w:hint="cs"/>
          <w:color w:val="008000"/>
          <w:rtl/>
        </w:rPr>
        <w:t xml:space="preserve">لَا حُرْمَةَ لِنِسَاءِ أَهْلِ‏ الذِّمَّةِ </w:t>
      </w:r>
      <w:r w:rsidRPr="00E817A5">
        <w:rPr>
          <w:rFonts w:hint="cs"/>
          <w:rtl/>
        </w:rPr>
        <w:t xml:space="preserve">به نحوی نفی حریم آن زنان است </w:t>
      </w:r>
      <w:r w:rsidR="001A21DA" w:rsidRPr="00E817A5">
        <w:rPr>
          <w:rFonts w:hint="cs"/>
          <w:rtl/>
        </w:rPr>
        <w:t>به‌طورکلی</w:t>
      </w:r>
      <w:r w:rsidR="00633D96">
        <w:rPr>
          <w:rFonts w:hint="cs"/>
          <w:rtl/>
        </w:rPr>
        <w:t xml:space="preserve"> و</w:t>
      </w:r>
      <w:r w:rsidRPr="00E817A5">
        <w:rPr>
          <w:rFonts w:hint="cs"/>
          <w:rtl/>
        </w:rPr>
        <w:t xml:space="preserve"> </w:t>
      </w:r>
      <w:r w:rsidR="003C5050" w:rsidRPr="00E817A5">
        <w:rPr>
          <w:rFonts w:hint="cs"/>
          <w:color w:val="008000"/>
          <w:rtl/>
        </w:rPr>
        <w:t>أنْ يُنْظَرَ إِلَى شُعُورِهِنَّ</w:t>
      </w:r>
      <w:r w:rsidR="003C5050">
        <w:rPr>
          <w:rFonts w:hint="cs"/>
          <w:rtl/>
        </w:rPr>
        <w:t xml:space="preserve"> </w:t>
      </w:r>
      <w:r w:rsidRPr="00E817A5">
        <w:rPr>
          <w:rFonts w:hint="cs"/>
          <w:rtl/>
        </w:rPr>
        <w:t xml:space="preserve">مثال و نمونه است. این از لحاظ ادبی </w:t>
      </w:r>
      <w:r w:rsidR="00633D96" w:rsidRPr="00E817A5">
        <w:rPr>
          <w:rFonts w:hint="cs"/>
          <w:color w:val="008000"/>
          <w:rtl/>
        </w:rPr>
        <w:t>أنْ يُنْظَرَ إِلَى شُعُورِهِنَّ</w:t>
      </w:r>
      <w:r w:rsidR="00633D96">
        <w:rPr>
          <w:rFonts w:hint="cs"/>
          <w:rtl/>
        </w:rPr>
        <w:t xml:space="preserve"> </w:t>
      </w:r>
      <w:r w:rsidR="001A21DA" w:rsidRPr="00E817A5">
        <w:rPr>
          <w:rFonts w:hint="cs"/>
          <w:rtl/>
        </w:rPr>
        <w:t>احتمالاً</w:t>
      </w:r>
      <w:r w:rsidRPr="00E817A5">
        <w:rPr>
          <w:rFonts w:hint="cs"/>
          <w:rtl/>
        </w:rPr>
        <w:t xml:space="preserve"> عطف بیان برای نساء است یا بدل است. لاحرمه ان ینظر الی شعورهن. حرمتی برای نظر به آنها نیست. بدل جزء از کل است یا </w:t>
      </w:r>
      <w:r w:rsidR="001A21DA" w:rsidRPr="00E817A5">
        <w:rPr>
          <w:rFonts w:hint="cs"/>
          <w:rtl/>
        </w:rPr>
        <w:t>تفسیر</w:t>
      </w:r>
      <w:r w:rsidRPr="00E817A5">
        <w:rPr>
          <w:rFonts w:hint="cs"/>
          <w:rtl/>
        </w:rPr>
        <w:t xml:space="preserve"> است. چه طور باید تلقی کرد جای این احتمال است که بگوییم تفسیر است یا بدل است یا در حقیقت اینجا یک جمله نیست که بگوییم حرمتی برای زن ذمیه وجود ندارد. احترامی برای نظر به آنها وجود ندارد</w:t>
      </w:r>
      <w:r w:rsidR="00BF63CB">
        <w:rPr>
          <w:rtl/>
        </w:rPr>
        <w:t xml:space="preserve">؛ </w:t>
      </w:r>
      <w:r w:rsidRPr="00E817A5">
        <w:rPr>
          <w:rFonts w:hint="cs"/>
          <w:rtl/>
        </w:rPr>
        <w:t>اما اگر دو جمله باشد و بدل باشد دومی چیز دیگری باشد در ادامه فقره اولی در این صورت فقره اولی قاعده کلیه است. لاحرمه لنساء اهل الذمه. از منظر نگاه و تعامل با آنها در نگاه حرمتی برایشان نیست. این همه اعضا را از حیث جو</w:t>
      </w:r>
      <w:r w:rsidR="001A21DA" w:rsidRPr="00E817A5">
        <w:rPr>
          <w:rFonts w:hint="cs"/>
          <w:rtl/>
        </w:rPr>
        <w:t>از</w:t>
      </w:r>
      <w:r w:rsidR="00622607">
        <w:rPr>
          <w:rFonts w:hint="cs"/>
          <w:rtl/>
        </w:rPr>
        <w:t xml:space="preserve"> </w:t>
      </w:r>
      <w:r w:rsidR="001A21DA" w:rsidRPr="00E817A5">
        <w:rPr>
          <w:rFonts w:hint="cs"/>
          <w:rtl/>
        </w:rPr>
        <w:t>نظر</w:t>
      </w:r>
      <w:r w:rsidRPr="00E817A5">
        <w:rPr>
          <w:rFonts w:hint="cs"/>
          <w:rtl/>
        </w:rPr>
        <w:t xml:space="preserve"> شامل </w:t>
      </w:r>
      <w:r w:rsidR="001A21DA" w:rsidRPr="00E817A5">
        <w:rPr>
          <w:rFonts w:hint="cs"/>
          <w:rtl/>
        </w:rPr>
        <w:t>می‌شود</w:t>
      </w:r>
      <w:r w:rsidRPr="00E817A5">
        <w:rPr>
          <w:rFonts w:hint="cs"/>
          <w:rtl/>
        </w:rPr>
        <w:t xml:space="preserve">. </w:t>
      </w:r>
      <w:r w:rsidR="001A21DA" w:rsidRPr="00E817A5">
        <w:rPr>
          <w:rFonts w:hint="cs"/>
          <w:rtl/>
        </w:rPr>
        <w:t>به‌عنوان</w:t>
      </w:r>
      <w:r w:rsidRPr="00E817A5">
        <w:rPr>
          <w:rFonts w:hint="cs"/>
          <w:rtl/>
        </w:rPr>
        <w:t xml:space="preserve"> نمونه گفته شده </w:t>
      </w:r>
      <w:r w:rsidR="00622607" w:rsidRPr="00E817A5">
        <w:rPr>
          <w:rFonts w:hint="cs"/>
          <w:color w:val="008000"/>
          <w:rtl/>
        </w:rPr>
        <w:t>أنْ يُنْظَرَ إِلَى شُعُورِهِنَّ</w:t>
      </w:r>
      <w:r w:rsidRPr="00E817A5">
        <w:rPr>
          <w:rFonts w:hint="cs"/>
          <w:rtl/>
        </w:rPr>
        <w:t xml:space="preserve">. شعر </w:t>
      </w:r>
      <w:r w:rsidR="001A21DA" w:rsidRPr="00E817A5">
        <w:rPr>
          <w:rFonts w:hint="cs"/>
          <w:rtl/>
        </w:rPr>
        <w:t>به‌عنوان</w:t>
      </w:r>
      <w:r w:rsidRPr="00E817A5">
        <w:rPr>
          <w:rFonts w:hint="cs"/>
          <w:rtl/>
        </w:rPr>
        <w:t xml:space="preserve"> فرد بارز و برجسته ذکر </w:t>
      </w:r>
      <w:r w:rsidR="001A21DA" w:rsidRPr="00E817A5">
        <w:rPr>
          <w:rFonts w:hint="cs"/>
          <w:rtl/>
        </w:rPr>
        <w:t>می‌شود</w:t>
      </w:r>
      <w:r w:rsidRPr="00E817A5">
        <w:rPr>
          <w:rFonts w:hint="cs"/>
          <w:rtl/>
        </w:rPr>
        <w:t xml:space="preserve"> این تفسیر دومی است که اگر کسی بپذیرد برای تعمیم نظر از شعور به سایر اعضا چندان نیازی به ملازمه یا الغاء خصوصیت یا فحوا ندارد بلکه صدر قاعده است و جمله مطلقی است و ذیل هم مقید نیست و </w:t>
      </w:r>
      <w:r w:rsidR="00622607">
        <w:rPr>
          <w:rtl/>
        </w:rPr>
        <w:t>مثبت</w:t>
      </w:r>
      <w:r w:rsidR="00622607">
        <w:rPr>
          <w:rFonts w:hint="cs"/>
          <w:rtl/>
        </w:rPr>
        <w:t>ی</w:t>
      </w:r>
      <w:r w:rsidR="00622607">
        <w:rPr>
          <w:rFonts w:hint="eastAsia"/>
          <w:rtl/>
        </w:rPr>
        <w:t>ن‌اند</w:t>
      </w:r>
      <w:r w:rsidRPr="00E817A5">
        <w:rPr>
          <w:rFonts w:hint="cs"/>
          <w:rtl/>
        </w:rPr>
        <w:t xml:space="preserve"> و مقید نیست. </w:t>
      </w:r>
      <w:r w:rsidR="001A21DA" w:rsidRPr="00E817A5">
        <w:rPr>
          <w:rFonts w:hint="cs"/>
          <w:rtl/>
        </w:rPr>
        <w:t>درحالی‌که</w:t>
      </w:r>
      <w:r w:rsidRPr="00E817A5">
        <w:rPr>
          <w:rFonts w:hint="cs"/>
          <w:rtl/>
        </w:rPr>
        <w:t xml:space="preserve"> در بیان اول این بود که دومی تفسیر اولی است.</w:t>
      </w:r>
    </w:p>
    <w:p w:rsidR="00BE4950" w:rsidRPr="00E817A5" w:rsidRDefault="001A21DA" w:rsidP="00BE4950">
      <w:pPr>
        <w:rPr>
          <w:rtl/>
        </w:rPr>
      </w:pPr>
      <w:r w:rsidRPr="00E817A5">
        <w:rPr>
          <w:rFonts w:hint="cs"/>
          <w:rtl/>
        </w:rPr>
        <w:t>سؤال</w:t>
      </w:r>
      <w:r w:rsidR="00BE4950" w:rsidRPr="00E817A5">
        <w:rPr>
          <w:rFonts w:hint="cs"/>
          <w:rtl/>
        </w:rPr>
        <w:t>: این تفسیر عرفی نیست.</w:t>
      </w:r>
    </w:p>
    <w:p w:rsidR="00BE4950" w:rsidRPr="00E817A5" w:rsidRDefault="00BE4950" w:rsidP="00BE4950">
      <w:pPr>
        <w:rPr>
          <w:rtl/>
        </w:rPr>
      </w:pPr>
      <w:r w:rsidRPr="00E817A5">
        <w:rPr>
          <w:rFonts w:hint="cs"/>
          <w:rtl/>
        </w:rPr>
        <w:t xml:space="preserve">جواب: احتمالش را بدهیم </w:t>
      </w:r>
      <w:r w:rsidR="001A21DA" w:rsidRPr="00E817A5">
        <w:rPr>
          <w:rFonts w:hint="cs"/>
          <w:rtl/>
        </w:rPr>
        <w:t>فعلاً</w:t>
      </w:r>
      <w:r w:rsidRPr="00E817A5">
        <w:rPr>
          <w:rFonts w:hint="cs"/>
          <w:rtl/>
        </w:rPr>
        <w:t xml:space="preserve"> شاید عرف هم بپذیرد.</w:t>
      </w:r>
    </w:p>
    <w:p w:rsidR="00BE4950" w:rsidRPr="00E817A5" w:rsidRDefault="001A21DA" w:rsidP="00BE4950">
      <w:pPr>
        <w:rPr>
          <w:rtl/>
        </w:rPr>
      </w:pPr>
      <w:r w:rsidRPr="00E817A5">
        <w:rPr>
          <w:rFonts w:hint="cs"/>
          <w:rtl/>
        </w:rPr>
        <w:t>درهرصورت</w:t>
      </w:r>
      <w:r w:rsidR="00BE4950" w:rsidRPr="00E817A5">
        <w:rPr>
          <w:rFonts w:hint="cs"/>
          <w:rtl/>
        </w:rPr>
        <w:t xml:space="preserve"> اگر صدر و ذیل همه </w:t>
      </w:r>
      <w:r w:rsidRPr="00E817A5">
        <w:rPr>
          <w:rFonts w:hint="cs"/>
          <w:rtl/>
        </w:rPr>
        <w:t>یک‌چیز</w:t>
      </w:r>
      <w:r w:rsidR="00BE4950" w:rsidRPr="00E817A5">
        <w:rPr>
          <w:rFonts w:hint="cs"/>
          <w:rtl/>
        </w:rPr>
        <w:t xml:space="preserve"> است و ذیل مفسر صدر است در این صورت تعمیم نیاز به الغاء یا فحوا یا ملازمه دارد. این سرایت هم محدود است.</w:t>
      </w:r>
    </w:p>
    <w:p w:rsidR="00BE4950" w:rsidRPr="00E817A5" w:rsidRDefault="001A21DA" w:rsidP="00BE4950">
      <w:pPr>
        <w:rPr>
          <w:rtl/>
        </w:rPr>
      </w:pPr>
      <w:r w:rsidRPr="00E817A5">
        <w:rPr>
          <w:rFonts w:hint="cs"/>
          <w:rtl/>
        </w:rPr>
        <w:t>سؤال</w:t>
      </w:r>
      <w:r w:rsidR="00BE4950" w:rsidRPr="00E817A5">
        <w:rPr>
          <w:rFonts w:hint="cs"/>
          <w:rtl/>
        </w:rPr>
        <w:t>: روایت شعورهن و ایدیهن دارد.</w:t>
      </w:r>
    </w:p>
    <w:p w:rsidR="00BE4950" w:rsidRPr="00E817A5" w:rsidRDefault="00BE4950" w:rsidP="00622607">
      <w:pPr>
        <w:rPr>
          <w:rtl/>
        </w:rPr>
      </w:pPr>
      <w:r w:rsidRPr="00E817A5">
        <w:rPr>
          <w:rFonts w:hint="cs"/>
          <w:rtl/>
        </w:rPr>
        <w:t xml:space="preserve">جواب: اگر داشته باشد تعمیم </w:t>
      </w:r>
      <w:r w:rsidR="0033293C" w:rsidRPr="00E817A5">
        <w:rPr>
          <w:rFonts w:hint="cs"/>
          <w:rtl/>
        </w:rPr>
        <w:t xml:space="preserve">به وجه و بشره </w:t>
      </w:r>
      <w:r w:rsidR="001A21DA" w:rsidRPr="00E817A5">
        <w:rPr>
          <w:rFonts w:hint="cs"/>
          <w:rtl/>
        </w:rPr>
        <w:t>می‌دهیم</w:t>
      </w:r>
      <w:r w:rsidRPr="00E817A5">
        <w:rPr>
          <w:rFonts w:hint="cs"/>
          <w:rtl/>
        </w:rPr>
        <w:t xml:space="preserve">. اگر ایدیهم داشته باشد به وجه و بشره و قدمین هم بعید نیست. بیش از آن </w:t>
      </w:r>
      <w:r w:rsidR="001A21DA" w:rsidRPr="00E817A5">
        <w:rPr>
          <w:rFonts w:hint="cs"/>
          <w:rtl/>
        </w:rPr>
        <w:t>بنا بر</w:t>
      </w:r>
      <w:r w:rsidR="0033293C" w:rsidRPr="00E817A5">
        <w:rPr>
          <w:rFonts w:hint="cs"/>
          <w:rtl/>
        </w:rPr>
        <w:t xml:space="preserve"> </w:t>
      </w:r>
      <w:r w:rsidRPr="00E817A5">
        <w:rPr>
          <w:rFonts w:hint="cs"/>
          <w:rtl/>
        </w:rPr>
        <w:t>تفسیر اول امکان ندارد</w:t>
      </w:r>
      <w:r w:rsidR="00BF63CB">
        <w:rPr>
          <w:rtl/>
        </w:rPr>
        <w:t xml:space="preserve">؛ </w:t>
      </w:r>
      <w:r w:rsidRPr="00E817A5">
        <w:rPr>
          <w:rFonts w:hint="cs"/>
          <w:rtl/>
        </w:rPr>
        <w:t xml:space="preserve">اما اگر تفسیر دوم را کسی بپذیرد احتمالی است که بگوییم لاحرمه </w:t>
      </w:r>
      <w:r w:rsidR="0033293C" w:rsidRPr="00E817A5">
        <w:rPr>
          <w:rFonts w:hint="cs"/>
          <w:rtl/>
        </w:rPr>
        <w:t xml:space="preserve">لنساء اهل الذمه </w:t>
      </w:r>
      <w:r w:rsidRPr="00E817A5">
        <w:rPr>
          <w:rFonts w:hint="cs"/>
          <w:rtl/>
        </w:rPr>
        <w:t xml:space="preserve">قاعده است و </w:t>
      </w:r>
      <w:r w:rsidR="00622607" w:rsidRPr="00E817A5">
        <w:rPr>
          <w:rFonts w:hint="cs"/>
          <w:color w:val="008000"/>
          <w:rtl/>
        </w:rPr>
        <w:t>أنْ يُنْظَرَ إِلَى شُعُورِهِنَّ</w:t>
      </w:r>
      <w:r w:rsidR="00622607">
        <w:rPr>
          <w:rFonts w:hint="cs"/>
          <w:rtl/>
        </w:rPr>
        <w:t xml:space="preserve"> </w:t>
      </w:r>
      <w:r w:rsidR="0033293C" w:rsidRPr="00E817A5">
        <w:rPr>
          <w:rFonts w:hint="cs"/>
          <w:rtl/>
        </w:rPr>
        <w:t xml:space="preserve">بدلی است که بخشی از آن را ذکر </w:t>
      </w:r>
      <w:r w:rsidR="001A21DA" w:rsidRPr="00E817A5">
        <w:rPr>
          <w:rFonts w:hint="cs"/>
          <w:rtl/>
        </w:rPr>
        <w:t>می‌کند</w:t>
      </w:r>
      <w:r w:rsidR="0033293C" w:rsidRPr="00E817A5">
        <w:rPr>
          <w:rFonts w:hint="cs"/>
          <w:rtl/>
        </w:rPr>
        <w:t xml:space="preserve">. </w:t>
      </w:r>
      <w:r w:rsidR="001A21DA" w:rsidRPr="00E817A5">
        <w:rPr>
          <w:rFonts w:hint="cs"/>
          <w:rtl/>
        </w:rPr>
        <w:t>به‌عنوان</w:t>
      </w:r>
      <w:r w:rsidRPr="00E817A5">
        <w:rPr>
          <w:rFonts w:hint="cs"/>
          <w:rtl/>
        </w:rPr>
        <w:t xml:space="preserve"> بدلی است که بخشی از آن </w:t>
      </w:r>
      <w:r w:rsidR="0033293C" w:rsidRPr="00E817A5">
        <w:rPr>
          <w:rFonts w:hint="cs"/>
          <w:rtl/>
        </w:rPr>
        <w:t xml:space="preserve">را ذکر </w:t>
      </w:r>
      <w:r w:rsidR="001A21DA" w:rsidRPr="00E817A5">
        <w:rPr>
          <w:rFonts w:hint="cs"/>
          <w:rtl/>
        </w:rPr>
        <w:t>می‌کند</w:t>
      </w:r>
      <w:r w:rsidRPr="00E817A5">
        <w:rPr>
          <w:rFonts w:hint="cs"/>
          <w:rtl/>
        </w:rPr>
        <w:t>.</w:t>
      </w:r>
    </w:p>
    <w:p w:rsidR="00BE4950" w:rsidRPr="00E817A5" w:rsidRDefault="001A21DA" w:rsidP="00BE4950">
      <w:pPr>
        <w:rPr>
          <w:rtl/>
        </w:rPr>
      </w:pPr>
      <w:r w:rsidRPr="00E817A5">
        <w:rPr>
          <w:rFonts w:hint="cs"/>
          <w:rtl/>
        </w:rPr>
        <w:t>سؤال</w:t>
      </w:r>
      <w:r w:rsidR="00BE4950" w:rsidRPr="00E817A5">
        <w:rPr>
          <w:rFonts w:hint="cs"/>
          <w:rtl/>
        </w:rPr>
        <w:t>: بدل و عطف بیان هم قید است.</w:t>
      </w:r>
    </w:p>
    <w:p w:rsidR="00BE4950" w:rsidRPr="00E817A5" w:rsidRDefault="00BE4950" w:rsidP="0033293C">
      <w:pPr>
        <w:rPr>
          <w:rtl/>
        </w:rPr>
      </w:pPr>
      <w:r w:rsidRPr="00E817A5">
        <w:rPr>
          <w:rFonts w:hint="cs"/>
          <w:rtl/>
        </w:rPr>
        <w:t xml:space="preserve">جواب: بدل با عطف بیان فرق </w:t>
      </w:r>
      <w:r w:rsidR="001A21DA" w:rsidRPr="00E817A5">
        <w:rPr>
          <w:rFonts w:hint="cs"/>
          <w:rtl/>
        </w:rPr>
        <w:t>می‌کند</w:t>
      </w:r>
      <w:r w:rsidRPr="00E817A5">
        <w:rPr>
          <w:rFonts w:hint="cs"/>
          <w:rtl/>
        </w:rPr>
        <w:t>.</w:t>
      </w:r>
      <w:r w:rsidR="0033293C" w:rsidRPr="00E817A5">
        <w:rPr>
          <w:rFonts w:hint="cs"/>
          <w:rtl/>
        </w:rPr>
        <w:t xml:space="preserve"> </w:t>
      </w:r>
      <w:r w:rsidR="001A21DA" w:rsidRPr="00E817A5">
        <w:rPr>
          <w:rFonts w:hint="cs"/>
          <w:rtl/>
        </w:rPr>
        <w:t>ازنظر</w:t>
      </w:r>
      <w:r w:rsidR="0033293C" w:rsidRPr="00E817A5">
        <w:rPr>
          <w:rFonts w:hint="cs"/>
          <w:rtl/>
        </w:rPr>
        <w:t xml:space="preserve"> ادبی </w:t>
      </w:r>
      <w:r w:rsidRPr="00E817A5">
        <w:rPr>
          <w:rFonts w:hint="cs"/>
          <w:rtl/>
        </w:rPr>
        <w:t>بدل است یا عطف بیان؟</w:t>
      </w:r>
    </w:p>
    <w:p w:rsidR="00BE4950" w:rsidRPr="00E817A5" w:rsidRDefault="00BF63CB" w:rsidP="0033293C">
      <w:pPr>
        <w:rPr>
          <w:rtl/>
        </w:rPr>
      </w:pPr>
      <w:r>
        <w:rPr>
          <w:rtl/>
        </w:rPr>
        <w:t>-</w:t>
      </w:r>
      <w:r w:rsidR="00BE4950" w:rsidRPr="00E817A5">
        <w:rPr>
          <w:rFonts w:hint="cs"/>
          <w:rtl/>
        </w:rPr>
        <w:t>چون نزع خافض</w:t>
      </w:r>
      <w:r w:rsidR="0033293C" w:rsidRPr="00E817A5">
        <w:rPr>
          <w:rFonts w:hint="cs"/>
          <w:rtl/>
        </w:rPr>
        <w:t xml:space="preserve"> بعد ان و انّ متعارف نیست اگر فی در تقدیر گرفته شود بهتر است. لا حرمه فی ...</w:t>
      </w:r>
    </w:p>
    <w:p w:rsidR="00BE4950" w:rsidRPr="00E817A5" w:rsidRDefault="00BE4950" w:rsidP="0033293C">
      <w:pPr>
        <w:rPr>
          <w:rtl/>
        </w:rPr>
      </w:pPr>
      <w:r w:rsidRPr="00E817A5">
        <w:rPr>
          <w:rFonts w:hint="cs"/>
          <w:rtl/>
        </w:rPr>
        <w:lastRenderedPageBreak/>
        <w:t>اگر عطف بیان باشد</w:t>
      </w:r>
      <w:r w:rsidR="00BF63CB">
        <w:rPr>
          <w:rtl/>
        </w:rPr>
        <w:t xml:space="preserve"> </w:t>
      </w:r>
      <w:r w:rsidR="0033293C" w:rsidRPr="00E817A5">
        <w:rPr>
          <w:rFonts w:hint="cs"/>
          <w:rtl/>
        </w:rPr>
        <w:t xml:space="preserve">یعنی نوعی تفسیر باشد </w:t>
      </w:r>
      <w:r w:rsidRPr="00E817A5">
        <w:rPr>
          <w:rFonts w:hint="cs"/>
          <w:rtl/>
        </w:rPr>
        <w:t xml:space="preserve">یا نزع خافض باشد </w:t>
      </w:r>
      <w:r w:rsidR="0033293C" w:rsidRPr="00E817A5">
        <w:rPr>
          <w:rFonts w:hint="cs"/>
          <w:rtl/>
        </w:rPr>
        <w:t>با تفسیر اینکه یک جمله باشد سازگار</w:t>
      </w:r>
      <w:r w:rsidRPr="00E817A5">
        <w:rPr>
          <w:rFonts w:hint="cs"/>
          <w:rtl/>
        </w:rPr>
        <w:t xml:space="preserve"> است اما اگر بدل </w:t>
      </w:r>
      <w:r w:rsidR="0033293C" w:rsidRPr="00E817A5">
        <w:rPr>
          <w:rFonts w:hint="cs"/>
          <w:rtl/>
        </w:rPr>
        <w:t xml:space="preserve">جزء از کل </w:t>
      </w:r>
      <w:r w:rsidRPr="00E817A5">
        <w:rPr>
          <w:rFonts w:hint="cs"/>
          <w:rtl/>
        </w:rPr>
        <w:t xml:space="preserve">باشد </w:t>
      </w:r>
      <w:r w:rsidR="0033293C" w:rsidRPr="00E817A5">
        <w:rPr>
          <w:rFonts w:hint="cs"/>
          <w:rtl/>
        </w:rPr>
        <w:t>دو جمله مستقل است.</w:t>
      </w:r>
    </w:p>
    <w:p w:rsidR="00BE4950" w:rsidRPr="00E817A5" w:rsidRDefault="001A21DA" w:rsidP="00BE4950">
      <w:pPr>
        <w:rPr>
          <w:rtl/>
        </w:rPr>
      </w:pPr>
      <w:r w:rsidRPr="00E817A5">
        <w:rPr>
          <w:rFonts w:hint="cs"/>
          <w:rtl/>
        </w:rPr>
        <w:t>سؤال</w:t>
      </w:r>
      <w:r w:rsidR="00BE4950" w:rsidRPr="00E817A5">
        <w:rPr>
          <w:rFonts w:hint="cs"/>
          <w:rtl/>
        </w:rPr>
        <w:t>: باید فعل هم در تقدیر بگیریم. چون ان ینظر مفرد است.</w:t>
      </w:r>
    </w:p>
    <w:p w:rsidR="00BE4950" w:rsidRPr="00E817A5" w:rsidRDefault="00BE4950" w:rsidP="00BE4950">
      <w:pPr>
        <w:rPr>
          <w:rtl/>
        </w:rPr>
      </w:pPr>
      <w:r w:rsidRPr="00E817A5">
        <w:rPr>
          <w:rFonts w:hint="cs"/>
          <w:rtl/>
        </w:rPr>
        <w:t xml:space="preserve">جواب: </w:t>
      </w:r>
      <w:r w:rsidR="001A21DA" w:rsidRPr="00E817A5">
        <w:rPr>
          <w:rFonts w:hint="cs"/>
          <w:rtl/>
        </w:rPr>
        <w:t>این‌ها</w:t>
      </w:r>
      <w:r w:rsidR="0033293C" w:rsidRPr="00E817A5">
        <w:rPr>
          <w:rFonts w:hint="cs"/>
          <w:rtl/>
        </w:rPr>
        <w:t xml:space="preserve"> </w:t>
      </w:r>
      <w:r w:rsidR="001A21DA" w:rsidRPr="00E817A5">
        <w:rPr>
          <w:rFonts w:hint="cs"/>
          <w:rtl/>
        </w:rPr>
        <w:t>ازنظر</w:t>
      </w:r>
      <w:r w:rsidR="0033293C" w:rsidRPr="00E817A5">
        <w:rPr>
          <w:rFonts w:hint="cs"/>
          <w:rtl/>
        </w:rPr>
        <w:t xml:space="preserve"> ادبی</w:t>
      </w:r>
      <w:r w:rsidRPr="00E817A5">
        <w:rPr>
          <w:rFonts w:hint="cs"/>
          <w:rtl/>
        </w:rPr>
        <w:t xml:space="preserve"> اشکال ندارد. </w:t>
      </w:r>
      <w:r w:rsidR="0033293C" w:rsidRPr="00E817A5">
        <w:rPr>
          <w:rFonts w:hint="cs"/>
          <w:rtl/>
        </w:rPr>
        <w:t xml:space="preserve">لاحرمه </w:t>
      </w:r>
      <w:r w:rsidRPr="00E817A5">
        <w:rPr>
          <w:rFonts w:hint="cs"/>
          <w:rtl/>
        </w:rPr>
        <w:t>بدل برای لنساء یا نساء باشد</w:t>
      </w:r>
      <w:r w:rsidR="0033293C" w:rsidRPr="00E817A5">
        <w:rPr>
          <w:rFonts w:hint="cs"/>
          <w:rtl/>
        </w:rPr>
        <w:t xml:space="preserve"> لاحرمه ان ینظر یا لان ینظر الی شعور اهل الذمه</w:t>
      </w:r>
      <w:r w:rsidRPr="00E817A5">
        <w:rPr>
          <w:rFonts w:hint="cs"/>
          <w:rtl/>
        </w:rPr>
        <w:t xml:space="preserve">. احتمال بدل باشد تفسیر دوم </w:t>
      </w:r>
      <w:r w:rsidR="001A21DA" w:rsidRPr="00E817A5">
        <w:rPr>
          <w:rFonts w:hint="cs"/>
          <w:rtl/>
        </w:rPr>
        <w:t>قوی‌تر</w:t>
      </w:r>
      <w:r w:rsidRPr="00E817A5">
        <w:rPr>
          <w:rFonts w:hint="cs"/>
          <w:rtl/>
        </w:rPr>
        <w:t xml:space="preserve"> </w:t>
      </w:r>
      <w:r w:rsidR="001A21DA" w:rsidRPr="00E817A5">
        <w:rPr>
          <w:rFonts w:hint="cs"/>
          <w:rtl/>
        </w:rPr>
        <w:t>می‌شود</w:t>
      </w:r>
      <w:r w:rsidRPr="00E817A5">
        <w:rPr>
          <w:rFonts w:hint="cs"/>
          <w:rtl/>
        </w:rPr>
        <w:t>.</w:t>
      </w:r>
    </w:p>
    <w:p w:rsidR="007E6B71" w:rsidRPr="00E817A5" w:rsidRDefault="001A21DA" w:rsidP="00BE4950">
      <w:pPr>
        <w:rPr>
          <w:rtl/>
        </w:rPr>
      </w:pPr>
      <w:r w:rsidRPr="00E817A5">
        <w:rPr>
          <w:rFonts w:hint="cs"/>
          <w:rtl/>
        </w:rPr>
        <w:t>سؤال</w:t>
      </w:r>
      <w:r w:rsidR="0033293C" w:rsidRPr="00E817A5">
        <w:rPr>
          <w:rFonts w:hint="cs"/>
          <w:rtl/>
        </w:rPr>
        <w:t xml:space="preserve">: در مقام ازدواج </w:t>
      </w:r>
      <w:r w:rsidRPr="00E817A5">
        <w:rPr>
          <w:rFonts w:hint="cs"/>
          <w:rtl/>
        </w:rPr>
        <w:t>می‌گفتید</w:t>
      </w:r>
      <w:r w:rsidR="0033293C" w:rsidRPr="00E817A5">
        <w:rPr>
          <w:rFonts w:hint="cs"/>
          <w:rtl/>
        </w:rPr>
        <w:t xml:space="preserve"> نگاه به گوش یا مقداری از گردن اشکال ندارد.</w:t>
      </w:r>
    </w:p>
    <w:p w:rsidR="007E6B71" w:rsidRPr="00E817A5" w:rsidRDefault="007E6B71" w:rsidP="00BE4950">
      <w:pPr>
        <w:rPr>
          <w:rtl/>
        </w:rPr>
      </w:pPr>
      <w:r w:rsidRPr="00E817A5">
        <w:rPr>
          <w:rFonts w:hint="cs"/>
          <w:rtl/>
        </w:rPr>
        <w:t xml:space="preserve">جواب: بله وجه کمی اوسع است که شامل گوش و گردن هم </w:t>
      </w:r>
      <w:r w:rsidR="001A21DA" w:rsidRPr="00E817A5">
        <w:rPr>
          <w:rFonts w:hint="cs"/>
          <w:rtl/>
        </w:rPr>
        <w:t>می‌شود</w:t>
      </w:r>
      <w:r w:rsidRPr="00E817A5">
        <w:rPr>
          <w:rFonts w:hint="cs"/>
          <w:rtl/>
        </w:rPr>
        <w:t xml:space="preserve">. </w:t>
      </w:r>
      <w:r w:rsidR="001A21DA" w:rsidRPr="00E817A5">
        <w:rPr>
          <w:rFonts w:hint="cs"/>
          <w:rtl/>
        </w:rPr>
        <w:t>مخصوصاً</w:t>
      </w:r>
      <w:r w:rsidRPr="00E817A5">
        <w:rPr>
          <w:rFonts w:hint="cs"/>
          <w:rtl/>
        </w:rPr>
        <w:t xml:space="preserve"> </w:t>
      </w:r>
      <w:r w:rsidR="001A21DA" w:rsidRPr="00E817A5">
        <w:rPr>
          <w:rFonts w:hint="cs"/>
          <w:rtl/>
        </w:rPr>
        <w:t>موها</w:t>
      </w:r>
      <w:r w:rsidRPr="00E817A5">
        <w:rPr>
          <w:rFonts w:hint="cs"/>
          <w:rtl/>
        </w:rPr>
        <w:t xml:space="preserve"> کمی </w:t>
      </w:r>
      <w:r w:rsidR="001A21DA" w:rsidRPr="00E817A5">
        <w:rPr>
          <w:rFonts w:hint="cs"/>
          <w:rtl/>
        </w:rPr>
        <w:t>بلندتر</w:t>
      </w:r>
      <w:r w:rsidRPr="00E817A5">
        <w:rPr>
          <w:rFonts w:hint="cs"/>
          <w:rtl/>
        </w:rPr>
        <w:t xml:space="preserve"> بوده که روی گردن هم </w:t>
      </w:r>
      <w:r w:rsidR="001A21DA" w:rsidRPr="00E817A5">
        <w:rPr>
          <w:rFonts w:hint="cs"/>
          <w:rtl/>
        </w:rPr>
        <w:t>می‌آمده</w:t>
      </w:r>
      <w:r w:rsidRPr="00E817A5">
        <w:rPr>
          <w:rFonts w:hint="cs"/>
          <w:rtl/>
        </w:rPr>
        <w:t>.</w:t>
      </w:r>
    </w:p>
    <w:p w:rsidR="007E6B71" w:rsidRPr="00E817A5" w:rsidRDefault="007E6B71" w:rsidP="00437A2E">
      <w:pPr>
        <w:rPr>
          <w:rtl/>
        </w:rPr>
      </w:pPr>
      <w:r w:rsidRPr="00E817A5">
        <w:rPr>
          <w:rFonts w:hint="cs"/>
          <w:rtl/>
        </w:rPr>
        <w:t xml:space="preserve">احتمال </w:t>
      </w:r>
      <w:r w:rsidR="0033293C" w:rsidRPr="00E817A5">
        <w:rPr>
          <w:rFonts w:hint="cs"/>
          <w:rtl/>
        </w:rPr>
        <w:t xml:space="preserve">اول اظهر است. </w:t>
      </w:r>
      <w:r w:rsidRPr="00E817A5">
        <w:rPr>
          <w:rFonts w:hint="cs"/>
          <w:rtl/>
        </w:rPr>
        <w:t xml:space="preserve">اینکه دو جمله خاص باشد بعد بگوید </w:t>
      </w:r>
      <w:r w:rsidR="00622607">
        <w:rPr>
          <w:rFonts w:hint="cs"/>
          <w:rtl/>
        </w:rPr>
        <w:t>مثبتین‌اند</w:t>
      </w:r>
      <w:r w:rsidRPr="00E817A5">
        <w:rPr>
          <w:rFonts w:hint="cs"/>
          <w:rtl/>
        </w:rPr>
        <w:t xml:space="preserve"> و تقیید </w:t>
      </w:r>
      <w:r w:rsidR="001A21DA" w:rsidRPr="00E817A5">
        <w:rPr>
          <w:rFonts w:hint="cs"/>
          <w:rtl/>
        </w:rPr>
        <w:t>نمی‌زند</w:t>
      </w:r>
      <w:r w:rsidR="0033293C" w:rsidRPr="00E817A5">
        <w:rPr>
          <w:rFonts w:hint="cs"/>
          <w:rtl/>
        </w:rPr>
        <w:t xml:space="preserve"> </w:t>
      </w:r>
      <w:r w:rsidRPr="00E817A5">
        <w:rPr>
          <w:rFonts w:hint="cs"/>
          <w:rtl/>
        </w:rPr>
        <w:t xml:space="preserve">بعید است. </w:t>
      </w:r>
      <w:r w:rsidR="0033293C" w:rsidRPr="00E817A5">
        <w:rPr>
          <w:rFonts w:hint="cs"/>
          <w:rtl/>
        </w:rPr>
        <w:t xml:space="preserve">استظهار ابتدائی و عرفی این است که </w:t>
      </w:r>
      <w:r w:rsidR="00437A2E" w:rsidRPr="00E817A5">
        <w:rPr>
          <w:rFonts w:hint="cs"/>
          <w:rtl/>
        </w:rPr>
        <w:t>«</w:t>
      </w:r>
      <w:r w:rsidR="00437A2E" w:rsidRPr="00E817A5">
        <w:rPr>
          <w:rFonts w:hint="cs"/>
          <w:color w:val="008000"/>
          <w:rtl/>
        </w:rPr>
        <w:t>لَا حُرْمَةَ لِنِسَاءِ أَهْلِ‏ الذِّمَّةِ َأ</w:t>
      </w:r>
      <w:r w:rsidR="00437A2E" w:rsidRPr="00E817A5">
        <w:rPr>
          <w:rFonts w:hint="cs"/>
          <w:color w:val="008000"/>
          <w:rtl/>
        </w:rPr>
        <w:t>نْ يُنْظَرَ إِلَى شُعُورِهِنَّ</w:t>
      </w:r>
      <w:r w:rsidR="00437A2E" w:rsidRPr="00E817A5">
        <w:rPr>
          <w:rFonts w:hint="cs"/>
          <w:rtl/>
        </w:rPr>
        <w:t>»</w:t>
      </w:r>
      <w:r w:rsidR="00437A2E" w:rsidRPr="00E817A5">
        <w:rPr>
          <w:rStyle w:val="FootnoteReference"/>
          <w:color w:val="008000"/>
          <w:rtl/>
        </w:rPr>
        <w:t xml:space="preserve"> </w:t>
      </w:r>
      <w:r w:rsidR="0033293C" w:rsidRPr="00E817A5">
        <w:rPr>
          <w:rFonts w:hint="cs"/>
          <w:rtl/>
        </w:rPr>
        <w:t xml:space="preserve">یک جمله است </w:t>
      </w:r>
      <w:r w:rsidR="001A21DA" w:rsidRPr="00E817A5">
        <w:rPr>
          <w:rFonts w:hint="cs"/>
          <w:rtl/>
        </w:rPr>
        <w:t>مخصوصاً</w:t>
      </w:r>
      <w:r w:rsidR="0033293C" w:rsidRPr="00E817A5">
        <w:rPr>
          <w:rFonts w:hint="cs"/>
          <w:rtl/>
        </w:rPr>
        <w:t xml:space="preserve"> اگر منسوب به نزع خافض باشد. </w:t>
      </w:r>
      <w:r w:rsidRPr="00E817A5">
        <w:rPr>
          <w:rFonts w:hint="cs"/>
          <w:rtl/>
        </w:rPr>
        <w:t xml:space="preserve">اگر عطف بیان یا بدل باشد دو جمله </w:t>
      </w:r>
      <w:r w:rsidR="001A21DA" w:rsidRPr="00E817A5">
        <w:rPr>
          <w:rFonts w:hint="cs"/>
          <w:rtl/>
        </w:rPr>
        <w:t>می‌شود</w:t>
      </w:r>
      <w:r w:rsidRPr="00E817A5">
        <w:rPr>
          <w:rFonts w:hint="cs"/>
          <w:rtl/>
        </w:rPr>
        <w:t xml:space="preserve"> </w:t>
      </w:r>
      <w:r w:rsidR="0033293C" w:rsidRPr="00E817A5">
        <w:rPr>
          <w:rFonts w:hint="cs"/>
          <w:rtl/>
        </w:rPr>
        <w:t xml:space="preserve">با </w:t>
      </w:r>
      <w:r w:rsidR="001A21DA" w:rsidRPr="00E817A5">
        <w:rPr>
          <w:rFonts w:hint="cs"/>
          <w:rtl/>
        </w:rPr>
        <w:t>فرقی</w:t>
      </w:r>
      <w:r w:rsidR="0033293C" w:rsidRPr="00E817A5">
        <w:rPr>
          <w:rFonts w:hint="cs"/>
          <w:rtl/>
        </w:rPr>
        <w:t xml:space="preserve"> که گفتیم</w:t>
      </w:r>
      <w:r w:rsidR="00BF63CB">
        <w:rPr>
          <w:rtl/>
        </w:rPr>
        <w:t>؛ و</w:t>
      </w:r>
      <w:r w:rsidRPr="00E817A5">
        <w:rPr>
          <w:rFonts w:hint="cs"/>
          <w:rtl/>
        </w:rPr>
        <w:t xml:space="preserve"> اگر منصوب به نزع خافض باشد دو جمله </w:t>
      </w:r>
      <w:r w:rsidR="001A21DA" w:rsidRPr="00E817A5">
        <w:rPr>
          <w:rFonts w:hint="cs"/>
          <w:rtl/>
        </w:rPr>
        <w:t>می‌شود</w:t>
      </w:r>
      <w:r w:rsidRPr="00E817A5">
        <w:rPr>
          <w:rFonts w:hint="cs"/>
          <w:rtl/>
        </w:rPr>
        <w:t xml:space="preserve">. اینکه احتمال اینکه منصوب به نزع خافض باشد یا عطف بیان </w:t>
      </w:r>
      <w:r w:rsidR="001A21DA" w:rsidRPr="00E817A5">
        <w:rPr>
          <w:rFonts w:hint="cs"/>
          <w:rtl/>
        </w:rPr>
        <w:t>تفسیری</w:t>
      </w:r>
      <w:r w:rsidRPr="00E817A5">
        <w:rPr>
          <w:rFonts w:hint="cs"/>
          <w:rtl/>
        </w:rPr>
        <w:t xml:space="preserve"> باشد کافی است که نشود پذیرفت. </w:t>
      </w:r>
      <w:r w:rsidR="0033293C" w:rsidRPr="00E817A5">
        <w:rPr>
          <w:rFonts w:hint="cs"/>
          <w:rtl/>
        </w:rPr>
        <w:t xml:space="preserve">یک احتمال این است که </w:t>
      </w:r>
      <w:r w:rsidRPr="00E817A5">
        <w:rPr>
          <w:rFonts w:hint="cs"/>
          <w:rtl/>
        </w:rPr>
        <w:t>ظهور عرفی این است که تفسیر است و گاهی اینکه در تردیدیم و نتیجه همین است</w:t>
      </w:r>
      <w:r w:rsidR="00BF63CB">
        <w:rPr>
          <w:rtl/>
        </w:rPr>
        <w:t>؛ و</w:t>
      </w:r>
      <w:r w:rsidRPr="00E817A5">
        <w:rPr>
          <w:rFonts w:hint="cs"/>
          <w:rtl/>
        </w:rPr>
        <w:t xml:space="preserve"> اگر بپذیریم </w:t>
      </w:r>
      <w:r w:rsidR="001A21DA" w:rsidRPr="00E817A5">
        <w:rPr>
          <w:rFonts w:hint="cs"/>
          <w:rtl/>
        </w:rPr>
        <w:t>این‌ها</w:t>
      </w:r>
      <w:r w:rsidRPr="00E817A5">
        <w:rPr>
          <w:rFonts w:hint="cs"/>
          <w:rtl/>
        </w:rPr>
        <w:t xml:space="preserve"> دو </w:t>
      </w:r>
      <w:r w:rsidR="001A21DA" w:rsidRPr="00E817A5">
        <w:rPr>
          <w:rFonts w:hint="cs"/>
          <w:rtl/>
        </w:rPr>
        <w:t>جمله‌اند</w:t>
      </w:r>
      <w:r w:rsidRPr="00E817A5">
        <w:rPr>
          <w:rFonts w:hint="cs"/>
          <w:rtl/>
        </w:rPr>
        <w:t xml:space="preserve"> و تفسیر نیست این مستبعد است و به ذهن قوی </w:t>
      </w:r>
      <w:r w:rsidR="001A21DA" w:rsidRPr="00E817A5">
        <w:rPr>
          <w:rFonts w:hint="cs"/>
          <w:rtl/>
        </w:rPr>
        <w:t>نمی‌آید</w:t>
      </w:r>
      <w:r w:rsidRPr="00E817A5">
        <w:rPr>
          <w:rFonts w:hint="cs"/>
          <w:rtl/>
        </w:rPr>
        <w:t>. پس اسراء حکم جو</w:t>
      </w:r>
      <w:r w:rsidR="001A21DA" w:rsidRPr="00E817A5">
        <w:rPr>
          <w:rFonts w:hint="cs"/>
          <w:rtl/>
        </w:rPr>
        <w:t>از نظر</w:t>
      </w:r>
      <w:r w:rsidRPr="00E817A5">
        <w:rPr>
          <w:rFonts w:hint="cs"/>
          <w:rtl/>
        </w:rPr>
        <w:t xml:space="preserve"> به ذمیات و کفار از شعوری به اعضای دیگر در این حدود جایز است </w:t>
      </w:r>
      <w:r w:rsidR="001A21DA" w:rsidRPr="00E817A5">
        <w:rPr>
          <w:rFonts w:hint="cs"/>
          <w:rtl/>
        </w:rPr>
        <w:t>بنا بر</w:t>
      </w:r>
      <w:r w:rsidR="0033293C" w:rsidRPr="00E817A5">
        <w:rPr>
          <w:rFonts w:hint="cs"/>
          <w:rtl/>
        </w:rPr>
        <w:t xml:space="preserve"> </w:t>
      </w:r>
      <w:r w:rsidRPr="00E817A5">
        <w:rPr>
          <w:rFonts w:hint="cs"/>
          <w:rtl/>
        </w:rPr>
        <w:t xml:space="preserve">اینکه بگوییم این یک جمله است و تفسیر است. یکی وجه و کفین است بلکه اطراف وجه و بشره. این در این جهت است. اگر در متن روایت ایدیهن باشد بحثی </w:t>
      </w:r>
      <w:r w:rsidR="001A21DA" w:rsidRPr="00E817A5">
        <w:rPr>
          <w:rFonts w:hint="cs"/>
          <w:rtl/>
        </w:rPr>
        <w:t>می‌شود</w:t>
      </w:r>
      <w:r w:rsidRPr="00E817A5">
        <w:rPr>
          <w:rFonts w:hint="cs"/>
          <w:rtl/>
        </w:rPr>
        <w:t xml:space="preserve"> باز کرد که ایدی یعنی کف یا اینکه بیش از کف که آرنج و ساق است.</w:t>
      </w:r>
    </w:p>
    <w:p w:rsidR="007E6B71" w:rsidRPr="00E817A5" w:rsidRDefault="001A21DA" w:rsidP="00BB7962">
      <w:pPr>
        <w:rPr>
          <w:rtl/>
        </w:rPr>
      </w:pPr>
      <w:r w:rsidRPr="00E817A5">
        <w:rPr>
          <w:rFonts w:hint="cs"/>
          <w:rtl/>
        </w:rPr>
        <w:t>سؤال</w:t>
      </w:r>
      <w:r w:rsidR="007E6B71" w:rsidRPr="00E817A5">
        <w:rPr>
          <w:rFonts w:hint="cs"/>
          <w:rtl/>
        </w:rPr>
        <w:t>:</w:t>
      </w:r>
      <w:r w:rsidR="0033293C" w:rsidRPr="00E817A5">
        <w:rPr>
          <w:rFonts w:hint="cs"/>
          <w:rtl/>
        </w:rPr>
        <w:t xml:space="preserve"> هنگام نگاه کردن به شعر یک نفر </w:t>
      </w:r>
      <w:r w:rsidRPr="00E817A5">
        <w:rPr>
          <w:rFonts w:hint="cs"/>
          <w:rtl/>
        </w:rPr>
        <w:t>طبعاً</w:t>
      </w:r>
      <w:r w:rsidR="0033293C" w:rsidRPr="00E817A5">
        <w:rPr>
          <w:rFonts w:hint="cs"/>
          <w:rtl/>
        </w:rPr>
        <w:t xml:space="preserve"> بقیه اعضای بدن هم دیده </w:t>
      </w:r>
      <w:r w:rsidRPr="00E817A5">
        <w:rPr>
          <w:rFonts w:hint="cs"/>
          <w:rtl/>
        </w:rPr>
        <w:t>می‌شود</w:t>
      </w:r>
      <w:r w:rsidR="0033293C" w:rsidRPr="00E817A5">
        <w:rPr>
          <w:rFonts w:hint="cs"/>
          <w:rtl/>
        </w:rPr>
        <w:t xml:space="preserve">. بعضی فتاوی گفته بود مقداری که خودشان رعایت </w:t>
      </w:r>
      <w:r w:rsidRPr="00E817A5">
        <w:rPr>
          <w:rFonts w:hint="cs"/>
          <w:rtl/>
        </w:rPr>
        <w:t>می‌کنند</w:t>
      </w:r>
      <w:r w:rsidR="0033293C" w:rsidRPr="00E817A5">
        <w:rPr>
          <w:rFonts w:hint="cs"/>
          <w:rtl/>
        </w:rPr>
        <w:t xml:space="preserve"> را </w:t>
      </w:r>
      <w:r w:rsidRPr="00E817A5">
        <w:rPr>
          <w:rFonts w:hint="cs"/>
          <w:rtl/>
        </w:rPr>
        <w:t>می‌شود</w:t>
      </w:r>
      <w:r w:rsidR="0033293C" w:rsidRPr="00E817A5">
        <w:rPr>
          <w:rFonts w:hint="cs"/>
          <w:rtl/>
        </w:rPr>
        <w:t xml:space="preserve"> نگاه کرد. </w:t>
      </w:r>
      <w:r w:rsidR="00BB7962" w:rsidRPr="00E817A5">
        <w:rPr>
          <w:rFonts w:hint="cs"/>
          <w:rtl/>
        </w:rPr>
        <w:t xml:space="preserve">با نگاه عرفی اگر به سرش نگاه کنیم </w:t>
      </w:r>
      <w:r w:rsidRPr="00E817A5">
        <w:rPr>
          <w:rFonts w:hint="cs"/>
          <w:rtl/>
        </w:rPr>
        <w:t>طبعاً</w:t>
      </w:r>
      <w:r w:rsidR="00BB7962" w:rsidRPr="00E817A5">
        <w:rPr>
          <w:rFonts w:hint="cs"/>
          <w:rtl/>
        </w:rPr>
        <w:t xml:space="preserve"> بعضی موارد دیگر هم دیده </w:t>
      </w:r>
      <w:r w:rsidRPr="00E817A5">
        <w:rPr>
          <w:rFonts w:hint="cs"/>
          <w:rtl/>
        </w:rPr>
        <w:t>می‌شود</w:t>
      </w:r>
      <w:r w:rsidR="00BB7962" w:rsidRPr="00E817A5">
        <w:rPr>
          <w:rFonts w:hint="cs"/>
          <w:rtl/>
        </w:rPr>
        <w:t xml:space="preserve"> </w:t>
      </w:r>
      <w:r w:rsidRPr="00E817A5">
        <w:rPr>
          <w:rFonts w:hint="cs"/>
          <w:rtl/>
        </w:rPr>
        <w:t>مثلاً</w:t>
      </w:r>
      <w:r w:rsidR="00BB7962" w:rsidRPr="00E817A5">
        <w:rPr>
          <w:rFonts w:hint="cs"/>
          <w:rtl/>
        </w:rPr>
        <w:t xml:space="preserve"> اینکه آستینش کمی بالا باشد یا مقداری از سینه دیده </w:t>
      </w:r>
      <w:r w:rsidRPr="00E817A5">
        <w:rPr>
          <w:rFonts w:hint="cs"/>
          <w:rtl/>
        </w:rPr>
        <w:t>می‌شود</w:t>
      </w:r>
      <w:r w:rsidR="00BB7962" w:rsidRPr="00E817A5">
        <w:rPr>
          <w:rFonts w:hint="cs"/>
          <w:rtl/>
        </w:rPr>
        <w:t>.</w:t>
      </w:r>
    </w:p>
    <w:p w:rsidR="007E6B71" w:rsidRPr="00E817A5" w:rsidRDefault="007E6B71" w:rsidP="00BE4950">
      <w:pPr>
        <w:rPr>
          <w:rtl/>
        </w:rPr>
      </w:pPr>
      <w:r w:rsidRPr="00E817A5">
        <w:rPr>
          <w:rFonts w:hint="cs"/>
          <w:rtl/>
        </w:rPr>
        <w:t>جواب:</w:t>
      </w:r>
      <w:r w:rsidR="00BB7962" w:rsidRPr="00E817A5">
        <w:rPr>
          <w:rFonts w:hint="cs"/>
          <w:rtl/>
        </w:rPr>
        <w:t xml:space="preserve"> در عروه داشت که یجوز النظر الی نساء اهل الذمه که مطلق است</w:t>
      </w:r>
      <w:r w:rsidR="00BF63CB">
        <w:rPr>
          <w:rtl/>
        </w:rPr>
        <w:t xml:space="preserve">؛ </w:t>
      </w:r>
      <w:r w:rsidR="00BB7962" w:rsidRPr="00E817A5">
        <w:rPr>
          <w:rFonts w:hint="cs"/>
          <w:rtl/>
        </w:rPr>
        <w:t xml:space="preserve">اما احتیاط مستحبی دارد که الاقتصار علی المقدار الذی جرت عادتهن علی ستره. این را بحث </w:t>
      </w:r>
      <w:r w:rsidR="001A21DA" w:rsidRPr="00E817A5">
        <w:rPr>
          <w:rFonts w:hint="cs"/>
          <w:rtl/>
        </w:rPr>
        <w:t>می‌کنیم</w:t>
      </w:r>
      <w:r w:rsidR="00BB7962" w:rsidRPr="00E817A5">
        <w:rPr>
          <w:rFonts w:hint="cs"/>
          <w:rtl/>
        </w:rPr>
        <w:t>.</w:t>
      </w:r>
    </w:p>
    <w:p w:rsidR="007E6B71" w:rsidRPr="00E817A5" w:rsidRDefault="007E6B71" w:rsidP="002C7285">
      <w:pPr>
        <w:rPr>
          <w:rtl/>
        </w:rPr>
      </w:pPr>
      <w:r w:rsidRPr="00E817A5">
        <w:rPr>
          <w:rFonts w:hint="cs"/>
          <w:rtl/>
        </w:rPr>
        <w:t xml:space="preserve">تا اینجا </w:t>
      </w:r>
      <w:r w:rsidR="002C7285" w:rsidRPr="00E817A5">
        <w:rPr>
          <w:rFonts w:hint="cs"/>
          <w:rtl/>
        </w:rPr>
        <w:t>«</w:t>
      </w:r>
      <w:r w:rsidR="002C7285" w:rsidRPr="00E817A5">
        <w:rPr>
          <w:rFonts w:hint="cs"/>
          <w:color w:val="008000"/>
          <w:rtl/>
        </w:rPr>
        <w:t>لَا حُرْمَةَ لِنِسَاءِ أَهْلِ‏ الذِّمَّةِ َأنْ</w:t>
      </w:r>
      <w:r w:rsidR="002C7285" w:rsidRPr="00E817A5">
        <w:rPr>
          <w:rFonts w:hint="cs"/>
          <w:color w:val="008000"/>
          <w:rtl/>
        </w:rPr>
        <w:t xml:space="preserve"> يُنْظَرَ إِلَى شُعُورِهِنَّ</w:t>
      </w:r>
      <w:r w:rsidR="002C7285" w:rsidRPr="00E817A5">
        <w:rPr>
          <w:rFonts w:hint="cs"/>
          <w:rtl/>
        </w:rPr>
        <w:t>»</w:t>
      </w:r>
      <w:r w:rsidR="002C7285" w:rsidRPr="00E817A5">
        <w:rPr>
          <w:rStyle w:val="FootnoteReference"/>
          <w:color w:val="008000"/>
          <w:rtl/>
        </w:rPr>
        <w:t xml:space="preserve"> </w:t>
      </w:r>
      <w:r w:rsidRPr="00E817A5">
        <w:rPr>
          <w:rFonts w:hint="cs"/>
          <w:rtl/>
        </w:rPr>
        <w:t xml:space="preserve">بود. </w:t>
      </w:r>
      <w:r w:rsidR="00BB7962" w:rsidRPr="00E817A5">
        <w:rPr>
          <w:rFonts w:hint="cs"/>
          <w:rtl/>
        </w:rPr>
        <w:t>از</w:t>
      </w:r>
      <w:r w:rsidRPr="00E817A5">
        <w:rPr>
          <w:rFonts w:hint="cs"/>
          <w:rtl/>
        </w:rPr>
        <w:t xml:space="preserve"> شعور </w:t>
      </w:r>
      <w:r w:rsidR="001A21DA" w:rsidRPr="00E817A5">
        <w:rPr>
          <w:rFonts w:hint="cs"/>
          <w:rtl/>
        </w:rPr>
        <w:t>می‌توان</w:t>
      </w:r>
      <w:r w:rsidRPr="00E817A5">
        <w:rPr>
          <w:rFonts w:hint="cs"/>
          <w:rtl/>
        </w:rPr>
        <w:t xml:space="preserve">یم تعمیم بدهیم یا نه که گفتیم دو احتمال در روایت است </w:t>
      </w:r>
      <w:r w:rsidR="001A21DA" w:rsidRPr="00E817A5">
        <w:rPr>
          <w:rFonts w:hint="cs"/>
          <w:rtl/>
        </w:rPr>
        <w:t>بنا بر</w:t>
      </w:r>
      <w:r w:rsidRPr="00E817A5">
        <w:rPr>
          <w:rFonts w:hint="cs"/>
          <w:rtl/>
        </w:rPr>
        <w:t xml:space="preserve"> یکی تعمیم طبیعی است زیرا لاحرمه لنساء اهل الذمه قاعده است اما بنا بر اینکه تفسیر باشد محدود به شعور </w:t>
      </w:r>
      <w:r w:rsidR="001A21DA" w:rsidRPr="00E817A5">
        <w:rPr>
          <w:rFonts w:hint="cs"/>
          <w:rtl/>
        </w:rPr>
        <w:t>می‌شود</w:t>
      </w:r>
      <w:r w:rsidRPr="00E817A5">
        <w:rPr>
          <w:rFonts w:hint="cs"/>
          <w:rtl/>
        </w:rPr>
        <w:t xml:space="preserve"> و شمولش نسبت به سایر اعضا محدود است به سایر اجزایی که گفته شد. بشره و بخشی از اطرافی که مو جریان دارد. </w:t>
      </w:r>
      <w:r w:rsidR="001A21DA" w:rsidRPr="00E817A5">
        <w:rPr>
          <w:rFonts w:hint="cs"/>
          <w:rtl/>
        </w:rPr>
        <w:t>احیاناً</w:t>
      </w:r>
      <w:r w:rsidRPr="00E817A5">
        <w:rPr>
          <w:rFonts w:hint="cs"/>
          <w:rtl/>
        </w:rPr>
        <w:t xml:space="preserve"> پا و </w:t>
      </w:r>
      <w:r w:rsidR="001A21DA" w:rsidRPr="00E817A5">
        <w:rPr>
          <w:rFonts w:hint="cs"/>
          <w:rtl/>
        </w:rPr>
        <w:t>این‌ها</w:t>
      </w:r>
      <w:r w:rsidRPr="00E817A5">
        <w:rPr>
          <w:rFonts w:hint="cs"/>
          <w:rtl/>
        </w:rPr>
        <w:t>. در دست هم ممکن است کسی بگوید شمول بیشتری دارد.</w:t>
      </w:r>
    </w:p>
    <w:p w:rsidR="007E6B71" w:rsidRPr="00E817A5" w:rsidRDefault="001A21DA" w:rsidP="00BE4950">
      <w:pPr>
        <w:rPr>
          <w:rtl/>
        </w:rPr>
      </w:pPr>
      <w:r w:rsidRPr="00E817A5">
        <w:rPr>
          <w:rFonts w:hint="cs"/>
          <w:rtl/>
        </w:rPr>
        <w:t>سؤال</w:t>
      </w:r>
      <w:r w:rsidR="007E6B71" w:rsidRPr="00E817A5">
        <w:rPr>
          <w:rFonts w:hint="cs"/>
          <w:rtl/>
        </w:rPr>
        <w:t>: فتوا به جواز مطلق با تفسیر اول سازگار است؟</w:t>
      </w:r>
    </w:p>
    <w:p w:rsidR="007E6B71" w:rsidRPr="00E817A5" w:rsidRDefault="007E6B71" w:rsidP="00BE4950">
      <w:pPr>
        <w:rPr>
          <w:rtl/>
        </w:rPr>
      </w:pPr>
      <w:r w:rsidRPr="00E817A5">
        <w:rPr>
          <w:rFonts w:hint="cs"/>
          <w:rtl/>
        </w:rPr>
        <w:t>جواب: بیشتر با تفسیر دوم سازگار است.</w:t>
      </w:r>
    </w:p>
    <w:p w:rsidR="007E6B71" w:rsidRPr="00E817A5" w:rsidRDefault="001A21DA" w:rsidP="00BE4950">
      <w:pPr>
        <w:rPr>
          <w:rtl/>
        </w:rPr>
      </w:pPr>
      <w:r w:rsidRPr="00E817A5">
        <w:rPr>
          <w:rFonts w:hint="cs"/>
          <w:rtl/>
        </w:rPr>
        <w:lastRenderedPageBreak/>
        <w:t>سؤال</w:t>
      </w:r>
      <w:r w:rsidR="007E6B71" w:rsidRPr="00E817A5">
        <w:rPr>
          <w:rFonts w:hint="cs"/>
          <w:rtl/>
        </w:rPr>
        <w:t>: یا الغاء خصوصیت است یا روایت دیگر</w:t>
      </w:r>
    </w:p>
    <w:p w:rsidR="007E6B71" w:rsidRPr="00E817A5" w:rsidRDefault="007E6B71" w:rsidP="00BE4950">
      <w:pPr>
        <w:rPr>
          <w:rtl/>
        </w:rPr>
      </w:pPr>
      <w:r w:rsidRPr="00E817A5">
        <w:rPr>
          <w:rFonts w:hint="cs"/>
          <w:rtl/>
        </w:rPr>
        <w:t xml:space="preserve">جواب: دو سه دلیل دیگری هم داریم. دلیل دیگر رئوس دارد و روایت عباد را هم باید ببینیم بعد </w:t>
      </w:r>
      <w:r w:rsidR="001A21DA" w:rsidRPr="00E817A5">
        <w:rPr>
          <w:rFonts w:hint="cs"/>
          <w:rtl/>
        </w:rPr>
        <w:t>برمی‌گردیم</w:t>
      </w:r>
      <w:r w:rsidRPr="00E817A5">
        <w:rPr>
          <w:rFonts w:hint="cs"/>
          <w:rtl/>
        </w:rPr>
        <w:t>.</w:t>
      </w:r>
    </w:p>
    <w:p w:rsidR="007E6B71" w:rsidRPr="00E817A5" w:rsidRDefault="007E6B71" w:rsidP="00BE4950">
      <w:pPr>
        <w:rPr>
          <w:rtl/>
        </w:rPr>
      </w:pPr>
      <w:r w:rsidRPr="00E817A5">
        <w:rPr>
          <w:rFonts w:hint="cs"/>
          <w:rtl/>
        </w:rPr>
        <w:t xml:space="preserve">تا اینجا تعمیم به این شکلی که در ظاهر عروه است نیاز به تفسیر دوم دارد که دشوار است. جرت عادتهن علی عدم ستره را مستقل بحث خواهیم کرد. پس تعمیم به شعور و ایدی به سایر اجزاء امکان دارد و یا نه و تا چه اندازه. البته بنا بر احتمال دوم که تفسیر نباشد بلکه </w:t>
      </w:r>
      <w:r w:rsidR="001A21DA" w:rsidRPr="00E817A5">
        <w:rPr>
          <w:rFonts w:hint="cs"/>
          <w:rtl/>
        </w:rPr>
        <w:t>مستقلاً</w:t>
      </w:r>
      <w:r w:rsidRPr="00E817A5">
        <w:rPr>
          <w:rFonts w:hint="cs"/>
          <w:rtl/>
        </w:rPr>
        <w:t xml:space="preserve"> قاعده عامه باشد ممکن است کسی بگوید از عورت انصراف دارد. روایتی هم دارد که بحث خواهیم کرد. این چند مبحث بود که در خبر سکونی </w:t>
      </w:r>
      <w:r w:rsidR="001A21DA" w:rsidRPr="00E817A5">
        <w:rPr>
          <w:rFonts w:hint="cs"/>
          <w:rtl/>
        </w:rPr>
        <w:t>قابل‌بحث</w:t>
      </w:r>
      <w:r w:rsidRPr="00E817A5">
        <w:rPr>
          <w:rFonts w:hint="cs"/>
          <w:rtl/>
        </w:rPr>
        <w:t xml:space="preserve"> بود.</w:t>
      </w:r>
    </w:p>
    <w:p w:rsidR="007E6B71" w:rsidRPr="00E817A5" w:rsidRDefault="001A21DA" w:rsidP="00BE4950">
      <w:pPr>
        <w:rPr>
          <w:rtl/>
        </w:rPr>
      </w:pPr>
      <w:r w:rsidRPr="00E817A5">
        <w:rPr>
          <w:rFonts w:hint="cs"/>
          <w:rtl/>
        </w:rPr>
        <w:t>سؤال</w:t>
      </w:r>
      <w:r w:rsidR="007E6B71" w:rsidRPr="00E817A5">
        <w:rPr>
          <w:rFonts w:hint="cs"/>
          <w:rtl/>
        </w:rPr>
        <w:t xml:space="preserve">: مجوزی برای نگاه مردان مسلمان به زنان ذمی است. آیا دلیلی هم داریم که زنان ذمی هم </w:t>
      </w:r>
      <w:r w:rsidRPr="00E817A5">
        <w:rPr>
          <w:rFonts w:hint="cs"/>
          <w:rtl/>
        </w:rPr>
        <w:t>می‌توان</w:t>
      </w:r>
      <w:r w:rsidR="007E6B71" w:rsidRPr="00E817A5">
        <w:rPr>
          <w:rFonts w:hint="cs"/>
          <w:rtl/>
        </w:rPr>
        <w:t>ند باز در جامعه اسلامی باشند؟</w:t>
      </w:r>
    </w:p>
    <w:p w:rsidR="007E6B71" w:rsidRPr="00E817A5" w:rsidRDefault="007E6B71" w:rsidP="00BE4950">
      <w:pPr>
        <w:rPr>
          <w:rtl/>
        </w:rPr>
      </w:pPr>
      <w:r w:rsidRPr="00E817A5">
        <w:rPr>
          <w:rFonts w:hint="cs"/>
          <w:rtl/>
        </w:rPr>
        <w:t xml:space="preserve">جواب: </w:t>
      </w:r>
      <w:r w:rsidR="001A21DA" w:rsidRPr="00E817A5">
        <w:rPr>
          <w:rFonts w:hint="cs"/>
          <w:rtl/>
        </w:rPr>
        <w:t>ملازمه‌ای</w:t>
      </w:r>
      <w:r w:rsidRPr="00E817A5">
        <w:rPr>
          <w:rFonts w:hint="cs"/>
          <w:rtl/>
        </w:rPr>
        <w:t xml:space="preserve"> </w:t>
      </w:r>
      <w:r w:rsidR="001A21DA" w:rsidRPr="00E817A5">
        <w:rPr>
          <w:rFonts w:hint="cs"/>
          <w:rtl/>
        </w:rPr>
        <w:t>باحجاب</w:t>
      </w:r>
      <w:r w:rsidRPr="00E817A5">
        <w:rPr>
          <w:rFonts w:hint="cs"/>
          <w:rtl/>
        </w:rPr>
        <w:t xml:space="preserve"> آنها ندارد. بحث خواهیم کرد. بحث اهل ذمه خیلی بحث دارد.</w:t>
      </w:r>
    </w:p>
    <w:p w:rsidR="007E6B71" w:rsidRPr="00E817A5" w:rsidRDefault="001A21DA" w:rsidP="00BE4950">
      <w:pPr>
        <w:rPr>
          <w:rtl/>
        </w:rPr>
      </w:pPr>
      <w:r w:rsidRPr="00E817A5">
        <w:rPr>
          <w:rFonts w:hint="cs"/>
          <w:rtl/>
        </w:rPr>
        <w:t>سؤال</w:t>
      </w:r>
      <w:r w:rsidR="007E6B71" w:rsidRPr="00E817A5">
        <w:rPr>
          <w:rFonts w:hint="cs"/>
          <w:rtl/>
        </w:rPr>
        <w:t xml:space="preserve">: اگر هم </w:t>
      </w:r>
      <w:r w:rsidRPr="00E817A5">
        <w:rPr>
          <w:rFonts w:hint="cs"/>
          <w:rtl/>
        </w:rPr>
        <w:t>تحلیل‌های</w:t>
      </w:r>
      <w:r w:rsidR="007E6B71" w:rsidRPr="00E817A5">
        <w:rPr>
          <w:rFonts w:hint="cs"/>
          <w:rtl/>
        </w:rPr>
        <w:t xml:space="preserve"> عقلایی این قضیه مثل فلسفه حجاب و جلوگیری از فحشا باشد که حجاب به این خاطر </w:t>
      </w:r>
      <w:r w:rsidRPr="00E817A5">
        <w:rPr>
          <w:rFonts w:hint="cs"/>
          <w:rtl/>
        </w:rPr>
        <w:t>وضع‌شده</w:t>
      </w:r>
      <w:r w:rsidR="007E6B71" w:rsidRPr="00E817A5">
        <w:rPr>
          <w:rFonts w:hint="cs"/>
          <w:rtl/>
        </w:rPr>
        <w:t xml:space="preserve"> اگر </w:t>
      </w:r>
      <w:r w:rsidRPr="00E817A5">
        <w:rPr>
          <w:rFonts w:hint="cs"/>
          <w:rtl/>
        </w:rPr>
        <w:t>این‌ها</w:t>
      </w:r>
      <w:r w:rsidR="007E6B71" w:rsidRPr="00E817A5">
        <w:rPr>
          <w:rFonts w:hint="cs"/>
          <w:rtl/>
        </w:rPr>
        <w:t xml:space="preserve"> قبل تحلیل روایات بررسی کنیم شاید این </w:t>
      </w:r>
      <w:r w:rsidRPr="00E817A5">
        <w:rPr>
          <w:rFonts w:hint="cs"/>
          <w:rtl/>
        </w:rPr>
        <w:t>تفسیرها</w:t>
      </w:r>
      <w:r w:rsidR="007E6B71" w:rsidRPr="00E817A5">
        <w:rPr>
          <w:rFonts w:hint="cs"/>
          <w:rtl/>
        </w:rPr>
        <w:t xml:space="preserve"> تغییر کند.</w:t>
      </w:r>
    </w:p>
    <w:p w:rsidR="007E6B71" w:rsidRPr="00E817A5" w:rsidRDefault="007E6B71" w:rsidP="00BE4950">
      <w:pPr>
        <w:rPr>
          <w:rtl/>
        </w:rPr>
      </w:pPr>
      <w:r w:rsidRPr="00E817A5">
        <w:rPr>
          <w:rFonts w:hint="cs"/>
          <w:rtl/>
        </w:rPr>
        <w:t xml:space="preserve">جواب: نگاه را بحث </w:t>
      </w:r>
      <w:r w:rsidR="001A21DA" w:rsidRPr="00E817A5">
        <w:rPr>
          <w:rFonts w:hint="cs"/>
          <w:rtl/>
        </w:rPr>
        <w:t>می‌کنیم</w:t>
      </w:r>
      <w:r w:rsidRPr="00E817A5">
        <w:rPr>
          <w:rFonts w:hint="cs"/>
          <w:rtl/>
        </w:rPr>
        <w:t xml:space="preserve"> ولی حجاب ممکن است متفاوت باشد.</w:t>
      </w:r>
    </w:p>
    <w:p w:rsidR="007E6B71" w:rsidRPr="00E817A5" w:rsidRDefault="001A21DA" w:rsidP="00BE4950">
      <w:pPr>
        <w:rPr>
          <w:rtl/>
        </w:rPr>
      </w:pPr>
      <w:r w:rsidRPr="00E817A5">
        <w:rPr>
          <w:rFonts w:hint="cs"/>
          <w:rtl/>
        </w:rPr>
        <w:t>سؤال</w:t>
      </w:r>
      <w:r w:rsidR="007E6B71" w:rsidRPr="00E817A5">
        <w:rPr>
          <w:rFonts w:hint="cs"/>
          <w:rtl/>
        </w:rPr>
        <w:t>: فضای صدور هم جایی است که حاکمیتی نیست.</w:t>
      </w:r>
    </w:p>
    <w:p w:rsidR="007E6B71" w:rsidRPr="00E817A5" w:rsidRDefault="007E6B71" w:rsidP="00BE4950">
      <w:pPr>
        <w:rPr>
          <w:rtl/>
        </w:rPr>
      </w:pPr>
      <w:r w:rsidRPr="00E817A5">
        <w:rPr>
          <w:rFonts w:hint="cs"/>
          <w:rtl/>
        </w:rPr>
        <w:t xml:space="preserve">جواب: بله. </w:t>
      </w:r>
      <w:r w:rsidR="001A21DA" w:rsidRPr="00E817A5">
        <w:rPr>
          <w:rFonts w:hint="cs"/>
          <w:rtl/>
        </w:rPr>
        <w:t>به‌عبارت‌دیگر</w:t>
      </w:r>
      <w:r w:rsidRPr="00E817A5">
        <w:rPr>
          <w:rFonts w:hint="cs"/>
          <w:rtl/>
        </w:rPr>
        <w:t xml:space="preserve"> ممکن است کسی بگوید ملازمه است بین این تجویز نگاه به اهل ذمه و عدم لزوم حجاب برای آن</w:t>
      </w:r>
      <w:r w:rsidR="001A21DA" w:rsidRPr="00E817A5">
        <w:rPr>
          <w:rFonts w:hint="cs"/>
          <w:rtl/>
        </w:rPr>
        <w:t>ها</w:t>
      </w:r>
      <w:r w:rsidR="00BF63CB">
        <w:rPr>
          <w:rtl/>
        </w:rPr>
        <w:t xml:space="preserve">؛ </w:t>
      </w:r>
      <w:r w:rsidR="001A21DA" w:rsidRPr="00E817A5">
        <w:rPr>
          <w:rFonts w:hint="cs"/>
          <w:rtl/>
        </w:rPr>
        <w:t>یعنی وجوب الزام حجاب برای آن</w:t>
      </w:r>
      <w:r w:rsidRPr="00E817A5">
        <w:rPr>
          <w:rFonts w:hint="cs"/>
          <w:rtl/>
        </w:rPr>
        <w:t>ها</w:t>
      </w:r>
      <w:r w:rsidR="00BF63CB">
        <w:rPr>
          <w:rtl/>
        </w:rPr>
        <w:t xml:space="preserve">؛ </w:t>
      </w:r>
      <w:r w:rsidRPr="00E817A5">
        <w:rPr>
          <w:rFonts w:hint="cs"/>
          <w:rtl/>
        </w:rPr>
        <w:t xml:space="preserve">اما پاسخش این است که </w:t>
      </w:r>
      <w:r w:rsidR="001A21DA" w:rsidRPr="00E817A5">
        <w:rPr>
          <w:rFonts w:hint="cs"/>
          <w:rtl/>
        </w:rPr>
        <w:t>ملازمه‌ای</w:t>
      </w:r>
      <w:r w:rsidRPr="00E817A5">
        <w:rPr>
          <w:rFonts w:hint="cs"/>
          <w:rtl/>
        </w:rPr>
        <w:t xml:space="preserve"> نیست. </w:t>
      </w:r>
      <w:r w:rsidR="00307A48" w:rsidRPr="00E817A5">
        <w:rPr>
          <w:rFonts w:hint="cs"/>
          <w:rtl/>
        </w:rPr>
        <w:t>نگاه اشکال ندارد اما الزام به حجاب ن</w:t>
      </w:r>
      <w:r w:rsidR="001A21DA" w:rsidRPr="00E817A5">
        <w:rPr>
          <w:rFonts w:hint="cs"/>
          <w:rtl/>
        </w:rPr>
        <w:t>می‌شود</w:t>
      </w:r>
      <w:r w:rsidR="00307A48" w:rsidRPr="00E817A5">
        <w:rPr>
          <w:rFonts w:hint="cs"/>
          <w:rtl/>
        </w:rPr>
        <w:t>.</w:t>
      </w:r>
    </w:p>
    <w:p w:rsidR="00307A48" w:rsidRPr="00E817A5" w:rsidRDefault="001A21DA" w:rsidP="00BB7962">
      <w:pPr>
        <w:rPr>
          <w:rtl/>
        </w:rPr>
      </w:pPr>
      <w:r w:rsidRPr="00E817A5">
        <w:rPr>
          <w:rFonts w:hint="cs"/>
          <w:rtl/>
        </w:rPr>
        <w:t>سؤال</w:t>
      </w:r>
      <w:r w:rsidR="00BB7962" w:rsidRPr="00E817A5">
        <w:rPr>
          <w:rFonts w:hint="cs"/>
          <w:rtl/>
        </w:rPr>
        <w:t xml:space="preserve">: در </w:t>
      </w:r>
      <w:r w:rsidR="00F67DB8">
        <w:rPr>
          <w:color w:val="007200"/>
          <w:rtl/>
        </w:rPr>
        <w:t>﴿</w:t>
      </w:r>
      <w:r w:rsidR="00F67DB8">
        <w:rPr>
          <w:rFonts w:hint="cs"/>
          <w:color w:val="007200"/>
          <w:rtl/>
        </w:rPr>
        <w:t>ی</w:t>
      </w:r>
      <w:r w:rsidR="00F67DB8">
        <w:rPr>
          <w:rFonts w:hint="eastAsia"/>
          <w:color w:val="007200"/>
          <w:rtl/>
        </w:rPr>
        <w:t>غضوا</w:t>
      </w:r>
      <w:r w:rsidR="00F67DB8">
        <w:rPr>
          <w:color w:val="007200"/>
          <w:rtl/>
        </w:rPr>
        <w:t xml:space="preserve"> من ابصارهم﴾ </w:t>
      </w:r>
      <w:r w:rsidRPr="00E817A5">
        <w:rPr>
          <w:rFonts w:hint="cs"/>
          <w:rtl/>
        </w:rPr>
        <w:t>ملازمه ایجاد</w:t>
      </w:r>
      <w:r w:rsidR="00BB7962" w:rsidRPr="00E817A5">
        <w:rPr>
          <w:rFonts w:hint="cs"/>
          <w:rtl/>
        </w:rPr>
        <w:t xml:space="preserve"> </w:t>
      </w:r>
      <w:r w:rsidRPr="00E817A5">
        <w:rPr>
          <w:rFonts w:hint="cs"/>
          <w:rtl/>
        </w:rPr>
        <w:t>می‌کردید</w:t>
      </w:r>
      <w:r w:rsidR="00BB7962" w:rsidRPr="00E817A5">
        <w:rPr>
          <w:rFonts w:hint="cs"/>
          <w:rtl/>
        </w:rPr>
        <w:t>.</w:t>
      </w:r>
    </w:p>
    <w:p w:rsidR="00307A48" w:rsidRPr="00E817A5" w:rsidRDefault="00BB7962" w:rsidP="00BB7962">
      <w:pPr>
        <w:rPr>
          <w:rtl/>
        </w:rPr>
      </w:pPr>
      <w:r w:rsidRPr="00E817A5">
        <w:rPr>
          <w:rFonts w:hint="cs"/>
          <w:rtl/>
        </w:rPr>
        <w:t>ج</w:t>
      </w:r>
      <w:r w:rsidR="00307A48" w:rsidRPr="00E817A5">
        <w:rPr>
          <w:rFonts w:hint="cs"/>
          <w:rtl/>
        </w:rPr>
        <w:t xml:space="preserve">واب: </w:t>
      </w:r>
      <w:r w:rsidRPr="00E817A5">
        <w:rPr>
          <w:rFonts w:hint="cs"/>
          <w:rtl/>
        </w:rPr>
        <w:t xml:space="preserve">آنجا ملازمه درست بود اما اینجا نیست. در یغضوا با دو ضمیمه </w:t>
      </w:r>
      <w:r w:rsidR="001A21DA" w:rsidRPr="00E817A5">
        <w:rPr>
          <w:rFonts w:hint="cs"/>
          <w:rtl/>
        </w:rPr>
        <w:t>می‌گفتیم</w:t>
      </w:r>
      <w:r w:rsidRPr="00E817A5">
        <w:rPr>
          <w:rFonts w:hint="cs"/>
          <w:rtl/>
        </w:rPr>
        <w:t xml:space="preserve"> باید رعایت کنید. </w:t>
      </w:r>
      <w:r w:rsidR="00307A48" w:rsidRPr="00E817A5">
        <w:rPr>
          <w:rFonts w:hint="cs"/>
          <w:rtl/>
        </w:rPr>
        <w:t xml:space="preserve">اینجا </w:t>
      </w:r>
      <w:r w:rsidR="001A21DA" w:rsidRPr="00E817A5">
        <w:rPr>
          <w:rFonts w:hint="cs"/>
          <w:rtl/>
        </w:rPr>
        <w:t>اولاً</w:t>
      </w:r>
      <w:r w:rsidR="00307A48" w:rsidRPr="00E817A5">
        <w:rPr>
          <w:rFonts w:hint="cs"/>
          <w:rtl/>
        </w:rPr>
        <w:t xml:space="preserve"> در عدم رعایت است و</w:t>
      </w:r>
      <w:r w:rsidRPr="00E817A5">
        <w:rPr>
          <w:rFonts w:hint="cs"/>
          <w:rtl/>
        </w:rPr>
        <w:t xml:space="preserve"> دوما در</w:t>
      </w:r>
      <w:r w:rsidR="00307A48" w:rsidRPr="00E817A5">
        <w:rPr>
          <w:rFonts w:hint="cs"/>
          <w:rtl/>
        </w:rPr>
        <w:t xml:space="preserve"> عدم وجوب الزام است نه خود او. </w:t>
      </w:r>
      <w:r w:rsidR="001A21DA" w:rsidRPr="00E817A5">
        <w:rPr>
          <w:rFonts w:hint="cs"/>
          <w:rtl/>
        </w:rPr>
        <w:t>بحث‌های</w:t>
      </w:r>
      <w:r w:rsidR="00307A48" w:rsidRPr="00E817A5">
        <w:rPr>
          <w:rFonts w:hint="cs"/>
          <w:rtl/>
        </w:rPr>
        <w:t xml:space="preserve"> دیگری هم </w:t>
      </w:r>
      <w:r w:rsidR="001A21DA" w:rsidRPr="00E817A5">
        <w:rPr>
          <w:rFonts w:hint="cs"/>
          <w:rtl/>
        </w:rPr>
        <w:t>می‌شود</w:t>
      </w:r>
      <w:r w:rsidR="00307A48" w:rsidRPr="00E817A5">
        <w:rPr>
          <w:rFonts w:hint="cs"/>
          <w:rtl/>
        </w:rPr>
        <w:t xml:space="preserve"> تصویر کرد که در جای خودش.</w:t>
      </w:r>
    </w:p>
    <w:p w:rsidR="007E6B71" w:rsidRPr="00E817A5" w:rsidRDefault="007E6B71" w:rsidP="00BB7962">
      <w:pPr>
        <w:pStyle w:val="Heading2"/>
        <w:rPr>
          <w:rFonts w:ascii="Traditional Arabic" w:hAnsi="Traditional Arabic" w:cs="Traditional Arabic"/>
          <w:rtl/>
        </w:rPr>
      </w:pPr>
      <w:bookmarkStart w:id="14" w:name="_Toc82448665"/>
      <w:r w:rsidRPr="00E817A5">
        <w:rPr>
          <w:rFonts w:ascii="Traditional Arabic" w:hAnsi="Traditional Arabic" w:cs="Traditional Arabic" w:hint="cs"/>
          <w:rtl/>
        </w:rPr>
        <w:t>نکته ششم:</w:t>
      </w:r>
      <w:bookmarkEnd w:id="14"/>
    </w:p>
    <w:p w:rsidR="00307A48" w:rsidRPr="00E817A5" w:rsidRDefault="00307A48" w:rsidP="00307A48">
      <w:pPr>
        <w:rPr>
          <w:rtl/>
        </w:rPr>
      </w:pPr>
      <w:r w:rsidRPr="00E817A5">
        <w:rPr>
          <w:rFonts w:hint="cs"/>
          <w:rtl/>
        </w:rPr>
        <w:t xml:space="preserve">نکته دیگری هم در این روایت هست که در متن عروه هم آمده و مقید به عدم تلذذ و ریبه است. این قید را هم مقداری سابق بحث کردیم آینده هم بحث کردیم. اصل این مورد وفاق است که همه </w:t>
      </w:r>
      <w:r w:rsidR="001A21DA" w:rsidRPr="00E817A5">
        <w:rPr>
          <w:rFonts w:hint="cs"/>
          <w:rtl/>
        </w:rPr>
        <w:t>تجویزها</w:t>
      </w:r>
      <w:r w:rsidRPr="00E817A5">
        <w:rPr>
          <w:rFonts w:hint="cs"/>
          <w:rtl/>
        </w:rPr>
        <w:t xml:space="preserve"> محدود </w:t>
      </w:r>
      <w:r w:rsidR="001A21DA" w:rsidRPr="00E817A5">
        <w:rPr>
          <w:rFonts w:hint="cs"/>
          <w:rtl/>
        </w:rPr>
        <w:t>به‌جایی</w:t>
      </w:r>
      <w:r w:rsidRPr="00E817A5">
        <w:rPr>
          <w:rFonts w:hint="cs"/>
          <w:rtl/>
        </w:rPr>
        <w:t xml:space="preserve"> است که با قصد شهوت و خوف گناه نباشد. امر مسلمی است که </w:t>
      </w:r>
      <w:r w:rsidR="001A21DA" w:rsidRPr="00E817A5">
        <w:rPr>
          <w:rFonts w:hint="cs"/>
          <w:rtl/>
        </w:rPr>
        <w:t>ادله‌اش</w:t>
      </w:r>
      <w:r w:rsidRPr="00E817A5">
        <w:rPr>
          <w:rFonts w:hint="cs"/>
          <w:rtl/>
        </w:rPr>
        <w:t xml:space="preserve"> را </w:t>
      </w:r>
      <w:r w:rsidR="001A21DA" w:rsidRPr="00E817A5">
        <w:rPr>
          <w:rFonts w:hint="cs"/>
          <w:rtl/>
        </w:rPr>
        <w:t>قبلاً</w:t>
      </w:r>
      <w:r w:rsidRPr="00E817A5">
        <w:rPr>
          <w:rFonts w:hint="cs"/>
          <w:rtl/>
        </w:rPr>
        <w:t xml:space="preserve"> </w:t>
      </w:r>
      <w:r w:rsidR="001A21DA" w:rsidRPr="00E817A5">
        <w:rPr>
          <w:rFonts w:hint="cs"/>
          <w:rtl/>
        </w:rPr>
        <w:t>گفته‌ایم</w:t>
      </w:r>
      <w:r w:rsidRPr="00E817A5">
        <w:rPr>
          <w:rFonts w:hint="cs"/>
          <w:rtl/>
        </w:rPr>
        <w:t xml:space="preserve"> </w:t>
      </w:r>
      <w:r w:rsidR="001A21DA" w:rsidRPr="00E817A5">
        <w:rPr>
          <w:rFonts w:hint="cs"/>
          <w:rtl/>
        </w:rPr>
        <w:t>بعداً</w:t>
      </w:r>
      <w:r w:rsidRPr="00E817A5">
        <w:rPr>
          <w:rFonts w:hint="cs"/>
          <w:rtl/>
        </w:rPr>
        <w:t xml:space="preserve"> هم بحث خواهیم کرد.</w:t>
      </w:r>
    </w:p>
    <w:p w:rsidR="007E6B71" w:rsidRPr="00E817A5" w:rsidRDefault="00BB7962" w:rsidP="00BE4950">
      <w:pPr>
        <w:rPr>
          <w:rtl/>
        </w:rPr>
      </w:pPr>
      <w:r w:rsidRPr="00E817A5">
        <w:rPr>
          <w:rFonts w:hint="cs"/>
          <w:rtl/>
        </w:rPr>
        <w:t>این یک روایت بود.</w:t>
      </w:r>
    </w:p>
    <w:p w:rsidR="00307A48" w:rsidRPr="00E817A5" w:rsidRDefault="00307A48" w:rsidP="00BB7962">
      <w:pPr>
        <w:pStyle w:val="Heading1"/>
        <w:rPr>
          <w:rtl/>
        </w:rPr>
      </w:pPr>
      <w:bookmarkStart w:id="15" w:name="_Toc82448666"/>
      <w:r w:rsidRPr="00E817A5">
        <w:rPr>
          <w:rFonts w:hint="cs"/>
          <w:rtl/>
        </w:rPr>
        <w:lastRenderedPageBreak/>
        <w:t>دلیل دوم:</w:t>
      </w:r>
      <w:bookmarkEnd w:id="15"/>
    </w:p>
    <w:p w:rsidR="00307A48" w:rsidRPr="00E817A5" w:rsidRDefault="00307A48" w:rsidP="001A21DA">
      <w:pPr>
        <w:rPr>
          <w:rtl/>
        </w:rPr>
      </w:pPr>
      <w:r w:rsidRPr="00E817A5">
        <w:rPr>
          <w:rFonts w:hint="cs"/>
          <w:rtl/>
        </w:rPr>
        <w:t>روایت عباد ابن ص</w:t>
      </w:r>
      <w:r w:rsidR="001A21DA" w:rsidRPr="00E817A5">
        <w:rPr>
          <w:rFonts w:hint="cs"/>
          <w:rtl/>
        </w:rPr>
        <w:t>هی</w:t>
      </w:r>
      <w:r w:rsidRPr="00E817A5">
        <w:rPr>
          <w:rFonts w:hint="cs"/>
          <w:rtl/>
        </w:rPr>
        <w:t xml:space="preserve">ب است که در جواهر و کتاب مرحوم شیخ و مستمسک و کتاب آقای </w:t>
      </w:r>
      <w:r w:rsidR="001A21DA" w:rsidRPr="00E817A5">
        <w:rPr>
          <w:rtl/>
        </w:rPr>
        <w:t>خو</w:t>
      </w:r>
      <w:r w:rsidR="001A21DA" w:rsidRPr="00E817A5">
        <w:rPr>
          <w:rFonts w:hint="cs"/>
          <w:rtl/>
        </w:rPr>
        <w:t>یی</w:t>
      </w:r>
      <w:r w:rsidRPr="00E817A5">
        <w:rPr>
          <w:rFonts w:hint="cs"/>
          <w:rtl/>
        </w:rPr>
        <w:t xml:space="preserve"> و بقیه کتب به این روایت تمسک شده:</w:t>
      </w:r>
    </w:p>
    <w:p w:rsidR="00307A48" w:rsidRPr="00E817A5" w:rsidRDefault="002C7285" w:rsidP="00935396">
      <w:pPr>
        <w:rPr>
          <w:rtl/>
        </w:rPr>
      </w:pPr>
      <w:r w:rsidRPr="00E817A5">
        <w:rPr>
          <w:rFonts w:hint="cs"/>
          <w:rtl/>
        </w:rPr>
        <w:t>«</w:t>
      </w:r>
      <w:r w:rsidR="00307A48" w:rsidRPr="00E817A5">
        <w:rPr>
          <w:rFonts w:hint="cs"/>
          <w:color w:val="008000"/>
          <w:rtl/>
        </w:rPr>
        <w:t>مُحَمَّدُ بْنُ يَعْقُوبَ عَنْ عِدَّةٍ مِنْ أَصْحَابِنَا عَنْ أَحْمَدَ بْنِ مُحَمَّدِ بْنِ عِيسَى عَنِ ابْنِ مَحْبُوبٍ عَنْ عَبَّادِ بْنِ صُهَيْبٍ قَالَ سَمِعْتُ أَبَا عَبْدِ اللَّهِ ع يَقُولُ‏ لَا بَأْسَ بِالنَّظَرِ إِلَى رُءُوسِ أَهْلِ تِهَامَةَ وَ الْأَعْرَابِ وَ أَهْلِ السَّوَادِ وَ الْعُلُوجِ لِأَنَّهُمْ إِذَا نُهُوا لَا يَنْتَهُونَ قَالَ وَ الْمَجْنُونَةُ وَ الْمَغْلُوبَةُ عَلَى عَقْلِهَا لَا بَأْسَ بِالنَّظَرِ إِلَى شَعْرِهَا وَ جَسَدِ</w:t>
      </w:r>
      <w:r w:rsidRPr="00E817A5">
        <w:rPr>
          <w:rFonts w:hint="cs"/>
          <w:color w:val="008000"/>
          <w:rtl/>
        </w:rPr>
        <w:t>هَا مَا لَمْ يُتَعَمَّدْ ذَلِكَ</w:t>
      </w:r>
      <w:r w:rsidRPr="00E817A5">
        <w:rPr>
          <w:rFonts w:hint="cs"/>
          <w:rtl/>
        </w:rPr>
        <w:t>»</w:t>
      </w:r>
      <w:r w:rsidR="00935396" w:rsidRPr="00E817A5">
        <w:rPr>
          <w:rStyle w:val="FootnoteReference"/>
          <w:rtl/>
        </w:rPr>
        <w:footnoteReference w:id="2"/>
      </w:r>
    </w:p>
    <w:p w:rsidR="00843CA2" w:rsidRPr="00E817A5" w:rsidRDefault="00307A48" w:rsidP="00843CA2">
      <w:pPr>
        <w:rPr>
          <w:rFonts w:hint="cs"/>
          <w:rtl/>
        </w:rPr>
      </w:pPr>
      <w:r w:rsidRPr="00E817A5">
        <w:rPr>
          <w:rFonts w:hint="cs"/>
          <w:color w:val="0000FF"/>
          <w:rtl/>
        </w:rPr>
        <w:t>وَ رَوَاهُ الصَّدُوقُ بِإِسْنَادِهِ عَنِ الْحَسَنِ بْنِ مَحْبُوبٍ‏ نَحْوَهُ‏ وَرَوَاهُ فِي الْعِلَلِ عَنْ مُحَمَّدِ بْنِ مُوسَى بْنِ الْمُتَوَكِّلِ عَنْ عَبْدِ اللَّهِ بْنِ جَعْفَرٍ الْحِمْيَرِيِّ عَنْ أَحْمَدَ بْنِ مُحَمَّدِ بْنِ عِيسَى عَنِ الْحَسَنِ بْنِ مَحْبُوبٍ‏ مِثْلَهُ إِلَّا أَنَّهُ أَسْقَطَ لَفْظَ الْمَجْنُونَةِ وَ ذَكَرَ أَهْلَ الذِّمَّةِ بَدَلَ الْعُلُوجِ</w:t>
      </w:r>
      <w:r w:rsidR="00E817A5" w:rsidRPr="00E817A5">
        <w:rPr>
          <w:rFonts w:hint="cs"/>
          <w:color w:val="0000FF"/>
          <w:rtl/>
        </w:rPr>
        <w:t>.</w:t>
      </w:r>
    </w:p>
    <w:p w:rsidR="00307A48" w:rsidRPr="00E817A5" w:rsidRDefault="00307A48" w:rsidP="00E817A5">
      <w:pPr>
        <w:rPr>
          <w:rtl/>
        </w:rPr>
      </w:pPr>
      <w:r w:rsidRPr="00E817A5">
        <w:rPr>
          <w:rFonts w:hint="cs"/>
          <w:color w:val="0000FF"/>
          <w:rtl/>
        </w:rPr>
        <w:t>أَقُولُ: الظَّاهِرُ أَنَّ الْمُرَادَ بِالتَّعَمُّدِ هُنَا النَّظَرُ بِشَهْوَةٍ</w:t>
      </w:r>
      <w:r w:rsidRPr="00E817A5">
        <w:rPr>
          <w:rFonts w:hint="cs"/>
          <w:rtl/>
        </w:rPr>
        <w:t>.</w:t>
      </w:r>
      <w:r w:rsidR="00843CA2" w:rsidRPr="00E817A5">
        <w:rPr>
          <w:rStyle w:val="FootnoteReference"/>
          <w:rtl/>
        </w:rPr>
        <w:footnoteReference w:id="3"/>
      </w:r>
      <w:r w:rsidR="00843CA2" w:rsidRPr="00E817A5">
        <w:rPr>
          <w:rFonts w:hint="cs"/>
          <w:rtl/>
        </w:rPr>
        <w:t>‏</w:t>
      </w:r>
    </w:p>
    <w:p w:rsidR="00307A48" w:rsidRPr="00E817A5" w:rsidRDefault="00BB7962" w:rsidP="00BE4950">
      <w:pPr>
        <w:rPr>
          <w:rtl/>
        </w:rPr>
      </w:pPr>
      <w:r w:rsidRPr="00E817A5">
        <w:rPr>
          <w:rFonts w:hint="cs"/>
          <w:rtl/>
        </w:rPr>
        <w:t xml:space="preserve">تهامه روستایی نزدیک مکه است. اعراب یعنی </w:t>
      </w:r>
      <w:r w:rsidR="001A21DA" w:rsidRPr="00E817A5">
        <w:rPr>
          <w:rFonts w:hint="cs"/>
          <w:rtl/>
        </w:rPr>
        <w:t>بادیه‌نشین‌ها</w:t>
      </w:r>
      <w:r w:rsidRPr="00E817A5">
        <w:rPr>
          <w:rFonts w:hint="cs"/>
          <w:rtl/>
        </w:rPr>
        <w:t xml:space="preserve">. سواد یعنی مناطقی که سرسبز و آباد است ولی روستایی است. علوج در بعضی </w:t>
      </w:r>
      <w:r w:rsidR="001A21DA" w:rsidRPr="00E817A5">
        <w:rPr>
          <w:rFonts w:hint="cs"/>
          <w:rtl/>
        </w:rPr>
        <w:t>ضبط‌ها</w:t>
      </w:r>
      <w:r w:rsidRPr="00E817A5">
        <w:rPr>
          <w:rFonts w:hint="cs"/>
          <w:rtl/>
        </w:rPr>
        <w:t xml:space="preserve"> به نظرم </w:t>
      </w:r>
      <w:r w:rsidR="001A21DA" w:rsidRPr="00E817A5">
        <w:rPr>
          <w:rFonts w:hint="cs"/>
          <w:rtl/>
        </w:rPr>
        <w:t>به‌دقت</w:t>
      </w:r>
      <w:r w:rsidR="00307A48" w:rsidRPr="00E817A5">
        <w:rPr>
          <w:rFonts w:hint="cs"/>
          <w:rtl/>
        </w:rPr>
        <w:t xml:space="preserve"> عَلوج</w:t>
      </w:r>
      <w:r w:rsidR="00BF63CB">
        <w:rPr>
          <w:rtl/>
        </w:rPr>
        <w:t xml:space="preserve"> </w:t>
      </w:r>
      <w:r w:rsidR="00307A48" w:rsidRPr="00E817A5">
        <w:rPr>
          <w:rFonts w:hint="cs"/>
          <w:rtl/>
        </w:rPr>
        <w:t xml:space="preserve">گفته شده که یعنی کفار و غیر مسلمین در بعضی </w:t>
      </w:r>
      <w:r w:rsidR="001A21DA" w:rsidRPr="00E817A5">
        <w:rPr>
          <w:rFonts w:hint="cs"/>
          <w:rtl/>
        </w:rPr>
        <w:t>نسخه‌ها</w:t>
      </w:r>
      <w:r w:rsidR="00307A48" w:rsidRPr="00E817A5">
        <w:rPr>
          <w:rFonts w:hint="cs"/>
          <w:rtl/>
        </w:rPr>
        <w:t xml:space="preserve"> </w:t>
      </w:r>
      <w:r w:rsidR="001A21DA" w:rsidRPr="00E817A5">
        <w:rPr>
          <w:rFonts w:hint="cs"/>
          <w:rtl/>
        </w:rPr>
        <w:t>به‌جای</w:t>
      </w:r>
      <w:r w:rsidR="00307A48" w:rsidRPr="00E817A5">
        <w:rPr>
          <w:rFonts w:hint="cs"/>
          <w:rtl/>
        </w:rPr>
        <w:t xml:space="preserve"> علوج اهل الذمه آمده است. نگاه به </w:t>
      </w:r>
      <w:r w:rsidR="001A21DA" w:rsidRPr="00E817A5">
        <w:rPr>
          <w:rFonts w:hint="cs"/>
          <w:rtl/>
        </w:rPr>
        <w:t>این‌ها</w:t>
      </w:r>
      <w:r w:rsidR="00307A48" w:rsidRPr="00E817A5">
        <w:rPr>
          <w:rFonts w:hint="cs"/>
          <w:rtl/>
        </w:rPr>
        <w:t xml:space="preserve"> اشکال ندارد زیرا اگر نهی شوند منتهی </w:t>
      </w:r>
      <w:r w:rsidR="001A21DA" w:rsidRPr="00E817A5">
        <w:rPr>
          <w:rFonts w:hint="cs"/>
          <w:rtl/>
        </w:rPr>
        <w:t>نمی‌شوند</w:t>
      </w:r>
      <w:r w:rsidR="00307A48" w:rsidRPr="00E817A5">
        <w:rPr>
          <w:rFonts w:hint="cs"/>
          <w:rtl/>
        </w:rPr>
        <w:t xml:space="preserve">. بازدارندگی ندارد. اختلاف نسخه دارد که آقای شبیری اشاره </w:t>
      </w:r>
      <w:r w:rsidR="001A21DA" w:rsidRPr="00E817A5">
        <w:rPr>
          <w:rFonts w:hint="cs"/>
          <w:rtl/>
        </w:rPr>
        <w:t>کرده‌اند</w:t>
      </w:r>
      <w:r w:rsidR="00307A48" w:rsidRPr="00E817A5">
        <w:rPr>
          <w:rFonts w:hint="cs"/>
          <w:rtl/>
        </w:rPr>
        <w:t>.</w:t>
      </w:r>
    </w:p>
    <w:bookmarkEnd w:id="11"/>
    <w:p w:rsidR="00307A48" w:rsidRPr="00E817A5" w:rsidRDefault="00307A48" w:rsidP="00BE4950">
      <w:pPr>
        <w:rPr>
          <w:rtl/>
        </w:rPr>
      </w:pPr>
    </w:p>
    <w:sectPr w:rsidR="00307A48" w:rsidRPr="00E817A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82" w:rsidRDefault="00CB4282" w:rsidP="004D5B1F">
      <w:r>
        <w:separator/>
      </w:r>
    </w:p>
  </w:endnote>
  <w:endnote w:type="continuationSeparator" w:id="0">
    <w:p w:rsidR="00CB4282" w:rsidRDefault="00CB428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CB" w:rsidRDefault="00BF6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1C6D47">
        <w:pPr>
          <w:pStyle w:val="Footer"/>
          <w:jc w:val="center"/>
        </w:pPr>
        <w:r>
          <w:fldChar w:fldCharType="begin"/>
        </w:r>
        <w:r>
          <w:instrText xml:space="preserve"> PAGE   \* MERGEFORMAT </w:instrText>
        </w:r>
        <w:r>
          <w:fldChar w:fldCharType="separate"/>
        </w:r>
        <w:r w:rsidR="00A75F91">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CB" w:rsidRDefault="00BF6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82" w:rsidRDefault="00CB4282" w:rsidP="004D5B1F">
      <w:r>
        <w:separator/>
      </w:r>
    </w:p>
  </w:footnote>
  <w:footnote w:type="continuationSeparator" w:id="0">
    <w:p w:rsidR="00CB4282" w:rsidRDefault="00CB4282" w:rsidP="004D5B1F">
      <w:r>
        <w:continuationSeparator/>
      </w:r>
    </w:p>
  </w:footnote>
  <w:footnote w:id="1">
    <w:p w:rsidR="00D43D29" w:rsidRPr="00C610F1" w:rsidRDefault="00D43D29" w:rsidP="00D43D29">
      <w:pPr>
        <w:pStyle w:val="FootnoteText"/>
      </w:pPr>
      <w:r w:rsidRPr="00C610F1">
        <w:footnoteRef/>
      </w:r>
      <w:r>
        <w:rPr>
          <w:rFonts w:hint="cs"/>
          <w:rtl/>
        </w:rPr>
        <w:t>.</w:t>
      </w:r>
      <w:r w:rsidRPr="00C610F1">
        <w:rPr>
          <w:rtl/>
        </w:rPr>
        <w:t xml:space="preserve"> </w:t>
      </w:r>
      <w:hyperlink r:id="rId1" w:history="1">
        <w:r w:rsidRPr="00C610F1">
          <w:rPr>
            <w:rStyle w:val="Hyperlink"/>
            <w:rFonts w:eastAsia="2  Badr"/>
            <w:rtl/>
          </w:rPr>
          <w:t>وسائل الشيعة، الشيخ الحر العاملي، ج20، ص205، أبواب أبواب مقدّم</w:t>
        </w:r>
        <w:r w:rsidRPr="00C610F1">
          <w:rPr>
            <w:rStyle w:val="Hyperlink"/>
            <w:rFonts w:eastAsia="2  Badr"/>
            <w:rtl/>
          </w:rPr>
          <w:t>ا</w:t>
        </w:r>
        <w:r w:rsidRPr="00C610F1">
          <w:rPr>
            <w:rStyle w:val="Hyperlink"/>
            <w:rFonts w:eastAsia="2  Badr"/>
            <w:rtl/>
          </w:rPr>
          <w:t>ت النكاح وآدابه، باب112، ح1، ط آل البيت.</w:t>
        </w:r>
      </w:hyperlink>
    </w:p>
  </w:footnote>
  <w:footnote w:id="2">
    <w:p w:rsidR="00935396" w:rsidRPr="00935396" w:rsidRDefault="00935396" w:rsidP="00935396">
      <w:pPr>
        <w:pStyle w:val="FootnoteText"/>
        <w:rPr>
          <w:rFonts w:hint="cs"/>
        </w:rPr>
      </w:pPr>
      <w:r w:rsidRPr="00935396">
        <w:footnoteRef/>
      </w:r>
      <w:r w:rsidRPr="00935396">
        <w:rPr>
          <w:rtl/>
        </w:rPr>
        <w:t xml:space="preserve"> </w:t>
      </w:r>
      <w:hyperlink r:id="rId2" w:history="1">
        <w:r w:rsidRPr="00935396">
          <w:rPr>
            <w:rStyle w:val="Hyperlink"/>
            <w:rFonts w:eastAsia="2  Badr"/>
            <w:rtl/>
          </w:rPr>
          <w:t>وسائل الشيعة، الشيخ الحر العاملي، ج20، ص206، أبواب أبواب مقدّمات النكاح وآدابه، باب113، ح1، ط آل البيت.</w:t>
        </w:r>
      </w:hyperlink>
    </w:p>
  </w:footnote>
  <w:footnote w:id="3">
    <w:p w:rsidR="00843CA2" w:rsidRPr="002F5300" w:rsidRDefault="00843CA2" w:rsidP="00843CA2">
      <w:pPr>
        <w:pStyle w:val="FootnoteText"/>
        <w:rPr>
          <w:rFonts w:hint="cs"/>
        </w:rPr>
      </w:pPr>
      <w:r w:rsidRPr="002F5300">
        <w:footnoteRef/>
      </w:r>
      <w:r w:rsidRPr="002F5300">
        <w:rPr>
          <w:rtl/>
        </w:rPr>
        <w:t xml:space="preserve"> </w:t>
      </w:r>
      <w:hyperlink r:id="rId3" w:history="1">
        <w:r w:rsidRPr="002F5300">
          <w:rPr>
            <w:rStyle w:val="Hyperlink"/>
            <w:rFonts w:eastAsia="2  Badr"/>
            <w:rtl/>
          </w:rPr>
          <w:t>وسائل الشيعة، الشيخ الحر العاملي، ج20، ص206، أبواب أبواب مقدّمات النكاح وآدابه، باب113،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CB" w:rsidRDefault="00BF6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8519EF">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BF63CB">
      <w:rPr>
        <w:rFonts w:ascii="Adobe Arabic" w:hAnsi="Adobe Arabic" w:cs="Adobe Arabic"/>
        <w:b/>
        <w:bCs/>
        <w:sz w:val="24"/>
        <w:szCs w:val="24"/>
        <w:rtl/>
      </w:rPr>
      <w:t xml:space="preserve"> </w:t>
    </w:r>
    <w:r w:rsidR="00BF63C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BF63CB">
      <w:rPr>
        <w:rFonts w:ascii="Adobe Arabic" w:hAnsi="Adobe Arabic" w:cs="Adobe Arabic" w:hint="cs"/>
        <w:b/>
        <w:bCs/>
        <w:sz w:val="24"/>
        <w:szCs w:val="24"/>
        <w:rtl/>
      </w:rPr>
      <w:t xml:space="preserve">                                                    </w:t>
    </w:r>
    <w:r w:rsidR="00BF63CB">
      <w:rPr>
        <w:rFonts w:ascii="Adobe Arabic" w:hAnsi="Adobe Arabic" w:cs="Adobe Arabic"/>
        <w:b/>
        <w:bCs/>
        <w:sz w:val="24"/>
        <w:szCs w:val="24"/>
        <w:rtl/>
      </w:rPr>
      <w:t xml:space="preserve"> </w:t>
    </w:r>
    <w:r w:rsidRPr="00012D8B">
      <w:rPr>
        <w:rFonts w:ascii="Adobe Arabic" w:hAnsi="Adobe Arabic" w:cs="Adobe Arabic"/>
        <w:b/>
        <w:bCs/>
        <w:sz w:val="24"/>
        <w:szCs w:val="24"/>
        <w:rtl/>
      </w:rPr>
      <w:t xml:space="preserve">تاریخ جلسه: </w:t>
    </w:r>
    <w:r w:rsidR="00AB6EEE">
      <w:rPr>
        <w:rFonts w:ascii="Adobe Arabic" w:hAnsi="Adobe Arabic" w:cs="Adobe Arabic" w:hint="cs"/>
        <w:b/>
        <w:bCs/>
        <w:sz w:val="24"/>
        <w:szCs w:val="24"/>
        <w:rtl/>
      </w:rPr>
      <w:t>2</w:t>
    </w:r>
    <w:r w:rsidR="008519EF">
      <w:rPr>
        <w:rFonts w:ascii="Adobe Arabic" w:hAnsi="Adobe Arabic" w:cs="Adobe Arabic" w:hint="cs"/>
        <w:b/>
        <w:bCs/>
        <w:sz w:val="24"/>
        <w:szCs w:val="24"/>
        <w:rtl/>
      </w:rPr>
      <w:t>2</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06</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p>
  <w:p w:rsidR="00324DCE" w:rsidRPr="00012D8B" w:rsidRDefault="00324DCE" w:rsidP="008519E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BF63CB">
      <w:rPr>
        <w:rFonts w:ascii="Adobe Arabic" w:hAnsi="Adobe Arabic" w:cs="Adobe Arabic"/>
        <w:b/>
        <w:bCs/>
        <w:sz w:val="24"/>
        <w:szCs w:val="24"/>
        <w:rtl/>
      </w:rPr>
      <w:t xml:space="preserve"> </w:t>
    </w:r>
    <w:r w:rsidR="00BF63C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جواز نظر در صورت اراده تزویج</w:t>
    </w:r>
    <w:r w:rsidR="00BF63CB">
      <w:rPr>
        <w:rFonts w:ascii="Adobe Arabic" w:hAnsi="Adobe Arabic" w:cs="Adobe Arabic"/>
        <w:b/>
        <w:bCs/>
        <w:sz w:val="24"/>
        <w:szCs w:val="24"/>
        <w:rtl/>
      </w:rPr>
      <w:t xml:space="preserve"> </w:t>
    </w:r>
    <w:r w:rsidR="00BF63C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8519EF">
      <w:rPr>
        <w:rFonts w:ascii="Adobe Arabic" w:hAnsi="Adobe Arabic" w:cs="Adobe Arabic" w:hint="cs"/>
        <w:b/>
        <w:bCs/>
        <w:sz w:val="24"/>
        <w:szCs w:val="24"/>
        <w:rtl/>
      </w:rPr>
      <w:t>1</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CB" w:rsidRDefault="00BF6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
  </w:num>
  <w:num w:numId="4">
    <w:abstractNumId w:val="20"/>
  </w:num>
  <w:num w:numId="5">
    <w:abstractNumId w:val="4"/>
  </w:num>
  <w:num w:numId="6">
    <w:abstractNumId w:val="3"/>
  </w:num>
  <w:num w:numId="7">
    <w:abstractNumId w:val="10"/>
  </w:num>
  <w:num w:numId="8">
    <w:abstractNumId w:val="18"/>
  </w:num>
  <w:num w:numId="9">
    <w:abstractNumId w:val="5"/>
  </w:num>
  <w:num w:numId="10">
    <w:abstractNumId w:val="0"/>
  </w:num>
  <w:num w:numId="11">
    <w:abstractNumId w:val="8"/>
  </w:num>
  <w:num w:numId="12">
    <w:abstractNumId w:val="14"/>
  </w:num>
  <w:num w:numId="13">
    <w:abstractNumId w:val="15"/>
  </w:num>
  <w:num w:numId="14">
    <w:abstractNumId w:val="12"/>
  </w:num>
  <w:num w:numId="15">
    <w:abstractNumId w:val="17"/>
  </w:num>
  <w:num w:numId="16">
    <w:abstractNumId w:val="7"/>
  </w:num>
  <w:num w:numId="17">
    <w:abstractNumId w:val="2"/>
  </w:num>
  <w:num w:numId="18">
    <w:abstractNumId w:val="9"/>
  </w:num>
  <w:num w:numId="19">
    <w:abstractNumId w:val="11"/>
  </w:num>
  <w:num w:numId="20">
    <w:abstractNumId w:val="6"/>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94984"/>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C6D47"/>
    <w:rsid w:val="001D135B"/>
    <w:rsid w:val="001D17F8"/>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285"/>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300"/>
    <w:rsid w:val="002F5B2F"/>
    <w:rsid w:val="002F7F7A"/>
    <w:rsid w:val="00301FBD"/>
    <w:rsid w:val="00304CB1"/>
    <w:rsid w:val="00307608"/>
    <w:rsid w:val="00307A4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D6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050"/>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37A2E"/>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2607"/>
    <w:rsid w:val="00623A4E"/>
    <w:rsid w:val="00623B71"/>
    <w:rsid w:val="00627135"/>
    <w:rsid w:val="00627180"/>
    <w:rsid w:val="00627884"/>
    <w:rsid w:val="006302F5"/>
    <w:rsid w:val="00631B1C"/>
    <w:rsid w:val="0063307E"/>
    <w:rsid w:val="00633D96"/>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3CA2"/>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3AE9"/>
    <w:rsid w:val="00935396"/>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806"/>
    <w:rsid w:val="00A66734"/>
    <w:rsid w:val="00A66E35"/>
    <w:rsid w:val="00A725C2"/>
    <w:rsid w:val="00A73A9B"/>
    <w:rsid w:val="00A75F91"/>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19E"/>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950"/>
    <w:rsid w:val="00BE4A8C"/>
    <w:rsid w:val="00BE6767"/>
    <w:rsid w:val="00BE6C8E"/>
    <w:rsid w:val="00BF147C"/>
    <w:rsid w:val="00BF2D4D"/>
    <w:rsid w:val="00BF3D67"/>
    <w:rsid w:val="00BF546D"/>
    <w:rsid w:val="00BF63CB"/>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4282"/>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3D29"/>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17A5"/>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67DB8"/>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935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6/&#1575;&#1604;&#1605;&#1580;&#1606;&#1608;&#1606;&#1577;" TargetMode="External"/><Relationship Id="rId2" Type="http://schemas.openxmlformats.org/officeDocument/2006/relationships/hyperlink" Target="http://lib.eshia.ir/11025/20/206/&#1610;&#1578;&#1593;&#1605;&#1583;" TargetMode="External"/><Relationship Id="rId1" Type="http://schemas.openxmlformats.org/officeDocument/2006/relationships/hyperlink" Target="http://lib.eshia.ir/11025/20/205/&#1581;&#1585;&#160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68AB-A054-44D7-9B6A-D78B53E1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4519</TotalTime>
  <Pages>6</Pages>
  <Words>2079</Words>
  <Characters>8339</Characters>
  <Application>Microsoft Office Word</Application>
  <DocSecurity>0</DocSecurity>
  <Lines>124</Lines>
  <Paragraphs>60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199</cp:revision>
  <dcterms:created xsi:type="dcterms:W3CDTF">2020-06-22T09:32:00Z</dcterms:created>
  <dcterms:modified xsi:type="dcterms:W3CDTF">2021-09-14T03:41:00Z</dcterms:modified>
</cp:coreProperties>
</file>