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997231224"/>
        <w:docPartObj>
          <w:docPartGallery w:val="Table of Contents"/>
          <w:docPartUnique/>
        </w:docPartObj>
      </w:sdtPr>
      <w:sdtEndPr/>
      <w:sdtContent>
        <w:bookmarkEnd w:id="0" w:displacedByCustomXml="prev"/>
        <w:p w:rsidR="00C55C28" w:rsidRDefault="00C55C28" w:rsidP="00C55C28">
          <w:pPr>
            <w:pStyle w:val="TOCHeading"/>
          </w:pPr>
          <w:r>
            <w:rPr>
              <w:rFonts w:hint="cs"/>
              <w:rtl/>
            </w:rPr>
            <w:t>فهرست</w:t>
          </w:r>
        </w:p>
        <w:p w:rsidR="00C55C28" w:rsidRDefault="00C55C28" w:rsidP="00C55C28">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88396298" w:history="1">
            <w:r w:rsidRPr="00D11849">
              <w:rPr>
                <w:rStyle w:val="Hyperlink"/>
                <w:noProof/>
                <w:rtl/>
              </w:rPr>
              <w:t>فرع پنجم: حکم نظر با قصد تلذذ و ر</w:t>
            </w:r>
            <w:r w:rsidRPr="00D11849">
              <w:rPr>
                <w:rStyle w:val="Hyperlink"/>
                <w:rFonts w:hint="cs"/>
                <w:noProof/>
                <w:rtl/>
              </w:rPr>
              <w:t>ی</w:t>
            </w:r>
            <w:r w:rsidRPr="00D11849">
              <w:rPr>
                <w:rStyle w:val="Hyperlink"/>
                <w:rFonts w:hint="eastAsia"/>
                <w:noProof/>
                <w:rtl/>
              </w:rPr>
              <w:t>به</w:t>
            </w:r>
            <w:r>
              <w:rPr>
                <w:noProof/>
                <w:webHidden/>
              </w:rPr>
              <w:tab/>
            </w:r>
            <w:r>
              <w:rPr>
                <w:rStyle w:val="Hyperlink"/>
                <w:noProof/>
                <w:rtl/>
              </w:rPr>
              <w:fldChar w:fldCharType="begin"/>
            </w:r>
            <w:r>
              <w:rPr>
                <w:noProof/>
                <w:webHidden/>
              </w:rPr>
              <w:instrText xml:space="preserve"> PAGEREF _Toc88396298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C55C28" w:rsidRDefault="006946E6" w:rsidP="00C55C28">
          <w:pPr>
            <w:pStyle w:val="TOC1"/>
            <w:tabs>
              <w:tab w:val="right" w:leader="dot" w:pos="9350"/>
            </w:tabs>
            <w:rPr>
              <w:rFonts w:asciiTheme="minorHAnsi" w:hAnsiTheme="minorHAnsi" w:cstheme="minorBidi"/>
              <w:noProof/>
              <w:sz w:val="22"/>
              <w:szCs w:val="22"/>
            </w:rPr>
          </w:pPr>
          <w:hyperlink w:anchor="_Toc88396299" w:history="1">
            <w:r w:rsidR="00C55C28" w:rsidRPr="00D11849">
              <w:rPr>
                <w:rStyle w:val="Hyperlink"/>
                <w:noProof/>
                <w:rtl/>
              </w:rPr>
              <w:t>حرمت نظر با قصد تلذذ:</w:t>
            </w:r>
            <w:r w:rsidR="00C55C28">
              <w:rPr>
                <w:noProof/>
                <w:webHidden/>
              </w:rPr>
              <w:tab/>
            </w:r>
            <w:r w:rsidR="00C55C28">
              <w:rPr>
                <w:rStyle w:val="Hyperlink"/>
                <w:noProof/>
                <w:rtl/>
              </w:rPr>
              <w:fldChar w:fldCharType="begin"/>
            </w:r>
            <w:r w:rsidR="00C55C28">
              <w:rPr>
                <w:noProof/>
                <w:webHidden/>
              </w:rPr>
              <w:instrText xml:space="preserve"> PAGEREF _Toc88396299 \h </w:instrText>
            </w:r>
            <w:r w:rsidR="00C55C28">
              <w:rPr>
                <w:rStyle w:val="Hyperlink"/>
                <w:noProof/>
                <w:rtl/>
              </w:rPr>
            </w:r>
            <w:r w:rsidR="00C55C28">
              <w:rPr>
                <w:rStyle w:val="Hyperlink"/>
                <w:noProof/>
                <w:rtl/>
              </w:rPr>
              <w:fldChar w:fldCharType="separate"/>
            </w:r>
            <w:r w:rsidR="00C55C28">
              <w:rPr>
                <w:noProof/>
                <w:webHidden/>
              </w:rPr>
              <w:t>2</w:t>
            </w:r>
            <w:r w:rsidR="00C55C28">
              <w:rPr>
                <w:rStyle w:val="Hyperlink"/>
                <w:noProof/>
                <w:rtl/>
              </w:rPr>
              <w:fldChar w:fldCharType="end"/>
            </w:r>
          </w:hyperlink>
        </w:p>
        <w:p w:rsidR="00C55C28" w:rsidRDefault="006946E6" w:rsidP="00C55C28">
          <w:pPr>
            <w:pStyle w:val="TOC2"/>
            <w:tabs>
              <w:tab w:val="right" w:leader="dot" w:pos="9350"/>
            </w:tabs>
            <w:rPr>
              <w:rFonts w:asciiTheme="minorHAnsi" w:hAnsiTheme="minorHAnsi" w:cstheme="minorBidi"/>
              <w:noProof/>
              <w:sz w:val="22"/>
              <w:szCs w:val="22"/>
            </w:rPr>
          </w:pPr>
          <w:hyperlink w:anchor="_Toc88396300" w:history="1">
            <w:r w:rsidR="00C55C28" w:rsidRPr="00D11849">
              <w:rPr>
                <w:rStyle w:val="Hyperlink"/>
                <w:noProof/>
                <w:rtl/>
              </w:rPr>
              <w:t>دل</w:t>
            </w:r>
            <w:r w:rsidR="00C55C28" w:rsidRPr="00D11849">
              <w:rPr>
                <w:rStyle w:val="Hyperlink"/>
                <w:rFonts w:hint="cs"/>
                <w:noProof/>
                <w:rtl/>
              </w:rPr>
              <w:t>ی</w:t>
            </w:r>
            <w:r w:rsidR="00C55C28" w:rsidRPr="00D11849">
              <w:rPr>
                <w:rStyle w:val="Hyperlink"/>
                <w:rFonts w:hint="eastAsia"/>
                <w:noProof/>
                <w:rtl/>
              </w:rPr>
              <w:t>ل</w:t>
            </w:r>
            <w:r w:rsidR="00C55C28" w:rsidRPr="00D11849">
              <w:rPr>
                <w:rStyle w:val="Hyperlink"/>
                <w:noProof/>
                <w:rtl/>
              </w:rPr>
              <w:t xml:space="preserve"> اول: مذاق شرع</w:t>
            </w:r>
            <w:r w:rsidR="00C55C28">
              <w:rPr>
                <w:noProof/>
                <w:webHidden/>
              </w:rPr>
              <w:tab/>
            </w:r>
            <w:r w:rsidR="00C55C28">
              <w:rPr>
                <w:rStyle w:val="Hyperlink"/>
                <w:noProof/>
                <w:rtl/>
              </w:rPr>
              <w:fldChar w:fldCharType="begin"/>
            </w:r>
            <w:r w:rsidR="00C55C28">
              <w:rPr>
                <w:noProof/>
                <w:webHidden/>
              </w:rPr>
              <w:instrText xml:space="preserve"> PAGEREF _Toc88396300 \h </w:instrText>
            </w:r>
            <w:r w:rsidR="00C55C28">
              <w:rPr>
                <w:rStyle w:val="Hyperlink"/>
                <w:noProof/>
                <w:rtl/>
              </w:rPr>
            </w:r>
            <w:r w:rsidR="00C55C28">
              <w:rPr>
                <w:rStyle w:val="Hyperlink"/>
                <w:noProof/>
                <w:rtl/>
              </w:rPr>
              <w:fldChar w:fldCharType="separate"/>
            </w:r>
            <w:r w:rsidR="00C55C28">
              <w:rPr>
                <w:noProof/>
                <w:webHidden/>
              </w:rPr>
              <w:t>3</w:t>
            </w:r>
            <w:r w:rsidR="00C55C28">
              <w:rPr>
                <w:rStyle w:val="Hyperlink"/>
                <w:noProof/>
                <w:rtl/>
              </w:rPr>
              <w:fldChar w:fldCharType="end"/>
            </w:r>
          </w:hyperlink>
        </w:p>
        <w:p w:rsidR="00C55C28" w:rsidRDefault="006946E6" w:rsidP="00C55C28">
          <w:pPr>
            <w:pStyle w:val="TOC2"/>
            <w:tabs>
              <w:tab w:val="right" w:leader="dot" w:pos="9350"/>
            </w:tabs>
            <w:rPr>
              <w:rFonts w:asciiTheme="minorHAnsi" w:hAnsiTheme="minorHAnsi" w:cstheme="minorBidi"/>
              <w:noProof/>
              <w:sz w:val="22"/>
              <w:szCs w:val="22"/>
            </w:rPr>
          </w:pPr>
          <w:hyperlink w:anchor="_Toc88396301" w:history="1">
            <w:r w:rsidR="00C55C28" w:rsidRPr="00D11849">
              <w:rPr>
                <w:rStyle w:val="Hyperlink"/>
                <w:noProof/>
                <w:rtl/>
              </w:rPr>
              <w:t>نکته اول: اطلاق دل</w:t>
            </w:r>
            <w:r w:rsidR="00C55C28" w:rsidRPr="00D11849">
              <w:rPr>
                <w:rStyle w:val="Hyperlink"/>
                <w:rFonts w:hint="cs"/>
                <w:noProof/>
                <w:rtl/>
              </w:rPr>
              <w:t>ی</w:t>
            </w:r>
            <w:r w:rsidR="00C55C28" w:rsidRPr="00D11849">
              <w:rPr>
                <w:rStyle w:val="Hyperlink"/>
                <w:rFonts w:hint="eastAsia"/>
                <w:noProof/>
                <w:rtl/>
              </w:rPr>
              <w:t>ل</w:t>
            </w:r>
            <w:r w:rsidR="00C55C28" w:rsidRPr="00D11849">
              <w:rPr>
                <w:rStyle w:val="Hyperlink"/>
                <w:noProof/>
                <w:rtl/>
              </w:rPr>
              <w:t xml:space="preserve"> لب</w:t>
            </w:r>
            <w:r w:rsidR="00C55C28" w:rsidRPr="00D11849">
              <w:rPr>
                <w:rStyle w:val="Hyperlink"/>
                <w:rFonts w:hint="cs"/>
                <w:noProof/>
                <w:rtl/>
              </w:rPr>
              <w:t>ی</w:t>
            </w:r>
            <w:r w:rsidR="00C55C28" w:rsidRPr="00D11849">
              <w:rPr>
                <w:rStyle w:val="Hyperlink"/>
                <w:noProof/>
                <w:rtl/>
              </w:rPr>
              <w:t>:</w:t>
            </w:r>
            <w:r w:rsidR="00C55C28">
              <w:rPr>
                <w:noProof/>
                <w:webHidden/>
              </w:rPr>
              <w:tab/>
            </w:r>
            <w:r w:rsidR="00C55C28">
              <w:rPr>
                <w:rStyle w:val="Hyperlink"/>
                <w:noProof/>
                <w:rtl/>
              </w:rPr>
              <w:fldChar w:fldCharType="begin"/>
            </w:r>
            <w:r w:rsidR="00C55C28">
              <w:rPr>
                <w:noProof/>
                <w:webHidden/>
              </w:rPr>
              <w:instrText xml:space="preserve"> PAGEREF _Toc88396301 \h </w:instrText>
            </w:r>
            <w:r w:rsidR="00C55C28">
              <w:rPr>
                <w:rStyle w:val="Hyperlink"/>
                <w:noProof/>
                <w:rtl/>
              </w:rPr>
            </w:r>
            <w:r w:rsidR="00C55C28">
              <w:rPr>
                <w:rStyle w:val="Hyperlink"/>
                <w:noProof/>
                <w:rtl/>
              </w:rPr>
              <w:fldChar w:fldCharType="separate"/>
            </w:r>
            <w:r w:rsidR="00C55C28">
              <w:rPr>
                <w:noProof/>
                <w:webHidden/>
              </w:rPr>
              <w:t>4</w:t>
            </w:r>
            <w:r w:rsidR="00C55C28">
              <w:rPr>
                <w:rStyle w:val="Hyperlink"/>
                <w:noProof/>
                <w:rtl/>
              </w:rPr>
              <w:fldChar w:fldCharType="end"/>
            </w:r>
          </w:hyperlink>
        </w:p>
        <w:p w:rsidR="00C55C28" w:rsidRDefault="006946E6" w:rsidP="00C55C28">
          <w:pPr>
            <w:pStyle w:val="TOC2"/>
            <w:tabs>
              <w:tab w:val="right" w:leader="dot" w:pos="9350"/>
            </w:tabs>
            <w:rPr>
              <w:rFonts w:asciiTheme="minorHAnsi" w:hAnsiTheme="minorHAnsi" w:cstheme="minorBidi"/>
              <w:noProof/>
              <w:sz w:val="22"/>
              <w:szCs w:val="22"/>
            </w:rPr>
          </w:pPr>
          <w:hyperlink w:anchor="_Toc88396302" w:history="1">
            <w:r w:rsidR="00C55C28" w:rsidRPr="00D11849">
              <w:rPr>
                <w:rStyle w:val="Hyperlink"/>
                <w:noProof/>
                <w:rtl/>
              </w:rPr>
              <w:t xml:space="preserve">نکته دوم: حرمت قصد تلذذ </w:t>
            </w:r>
            <w:r w:rsidR="00C55C28" w:rsidRPr="00D11849">
              <w:rPr>
                <w:rStyle w:val="Hyperlink"/>
                <w:rFonts w:hint="cs"/>
                <w:noProof/>
                <w:rtl/>
              </w:rPr>
              <w:t>ی</w:t>
            </w:r>
            <w:r w:rsidR="00C55C28" w:rsidRPr="00D11849">
              <w:rPr>
                <w:rStyle w:val="Hyperlink"/>
                <w:rFonts w:hint="eastAsia"/>
                <w:noProof/>
                <w:rtl/>
              </w:rPr>
              <w:t>ا</w:t>
            </w:r>
            <w:r w:rsidR="00C55C28" w:rsidRPr="00D11849">
              <w:rPr>
                <w:rStyle w:val="Hyperlink"/>
                <w:noProof/>
                <w:rtl/>
              </w:rPr>
              <w:t xml:space="preserve"> خود تلذذ </w:t>
            </w:r>
            <w:r w:rsidR="00C55C28" w:rsidRPr="00D11849">
              <w:rPr>
                <w:rStyle w:val="Hyperlink"/>
                <w:rFonts w:hint="cs"/>
                <w:noProof/>
                <w:rtl/>
              </w:rPr>
              <w:t>ی</w:t>
            </w:r>
            <w:r w:rsidR="00C55C28" w:rsidRPr="00D11849">
              <w:rPr>
                <w:rStyle w:val="Hyperlink"/>
                <w:rFonts w:hint="eastAsia"/>
                <w:noProof/>
                <w:rtl/>
              </w:rPr>
              <w:t>ا</w:t>
            </w:r>
            <w:r w:rsidR="00C55C28" w:rsidRPr="00D11849">
              <w:rPr>
                <w:rStyle w:val="Hyperlink"/>
                <w:noProof/>
                <w:rtl/>
              </w:rPr>
              <w:t xml:space="preserve"> هردو</w:t>
            </w:r>
            <w:r w:rsidR="00C55C28">
              <w:rPr>
                <w:noProof/>
                <w:webHidden/>
              </w:rPr>
              <w:tab/>
            </w:r>
            <w:r w:rsidR="00C55C28">
              <w:rPr>
                <w:rStyle w:val="Hyperlink"/>
                <w:noProof/>
                <w:rtl/>
              </w:rPr>
              <w:fldChar w:fldCharType="begin"/>
            </w:r>
            <w:r w:rsidR="00C55C28">
              <w:rPr>
                <w:noProof/>
                <w:webHidden/>
              </w:rPr>
              <w:instrText xml:space="preserve"> PAGEREF _Toc88396302 \h </w:instrText>
            </w:r>
            <w:r w:rsidR="00C55C28">
              <w:rPr>
                <w:rStyle w:val="Hyperlink"/>
                <w:noProof/>
                <w:rtl/>
              </w:rPr>
            </w:r>
            <w:r w:rsidR="00C55C28">
              <w:rPr>
                <w:rStyle w:val="Hyperlink"/>
                <w:noProof/>
                <w:rtl/>
              </w:rPr>
              <w:fldChar w:fldCharType="separate"/>
            </w:r>
            <w:r w:rsidR="00C55C28">
              <w:rPr>
                <w:noProof/>
                <w:webHidden/>
              </w:rPr>
              <w:t>6</w:t>
            </w:r>
            <w:r w:rsidR="00C55C28">
              <w:rPr>
                <w:rStyle w:val="Hyperlink"/>
                <w:noProof/>
                <w:rtl/>
              </w:rPr>
              <w:fldChar w:fldCharType="end"/>
            </w:r>
          </w:hyperlink>
        </w:p>
        <w:p w:rsidR="00C55C28" w:rsidRDefault="00C55C28" w:rsidP="00C55C28">
          <w:r>
            <w:rPr>
              <w:b/>
              <w:bCs/>
              <w:noProof/>
            </w:rPr>
            <w:fldChar w:fldCharType="end"/>
          </w:r>
        </w:p>
      </w:sdtContent>
    </w:sdt>
    <w:p w:rsidR="007F0C79" w:rsidRDefault="007F0C79" w:rsidP="007F0C79">
      <w:pPr>
        <w:jc w:val="center"/>
        <w:rPr>
          <w:rtl/>
        </w:rPr>
      </w:pPr>
    </w:p>
    <w:p w:rsidR="007F0C79" w:rsidRDefault="007F0C79">
      <w:pPr>
        <w:bidi w:val="0"/>
        <w:spacing w:after="0"/>
        <w:ind w:firstLine="0"/>
        <w:jc w:val="left"/>
      </w:pPr>
      <w:r>
        <w:rPr>
          <w:rtl/>
        </w:rPr>
        <w:br w:type="page"/>
      </w:r>
    </w:p>
    <w:p w:rsidR="0070258B" w:rsidRPr="009C1309" w:rsidRDefault="0070258B" w:rsidP="0070258B">
      <w:pPr>
        <w:jc w:val="center"/>
        <w:rPr>
          <w:rtl/>
        </w:rPr>
      </w:pPr>
      <w:bookmarkStart w:id="1" w:name="_Toc88396298"/>
      <w:r w:rsidRPr="009C1309">
        <w:rPr>
          <w:rFonts w:hint="cs"/>
          <w:rtl/>
        </w:rPr>
        <w:lastRenderedPageBreak/>
        <w:t>بسم‌الله الرحمن الرحیم</w:t>
      </w:r>
    </w:p>
    <w:p w:rsidR="0070258B" w:rsidRPr="009C1309" w:rsidRDefault="0070258B" w:rsidP="0070258B">
      <w:pPr>
        <w:pStyle w:val="Heading1"/>
        <w:jc w:val="both"/>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9C1309">
        <w:rPr>
          <w:szCs w:val="44"/>
          <w:rtl/>
        </w:rPr>
        <w:t xml:space="preserve">موضوع: </w:t>
      </w:r>
      <w:r w:rsidRPr="009C1309">
        <w:rPr>
          <w:color w:val="000000" w:themeColor="text1"/>
          <w:szCs w:val="44"/>
          <w:rtl/>
        </w:rPr>
        <w:t>فقه / نکاح</w:t>
      </w:r>
      <w:bookmarkEnd w:id="2"/>
      <w:bookmarkEnd w:id="3"/>
      <w:bookmarkEnd w:id="4"/>
      <w:bookmarkEnd w:id="5"/>
      <w:bookmarkEnd w:id="6"/>
      <w:bookmarkEnd w:id="7"/>
      <w:bookmarkEnd w:id="8"/>
      <w:bookmarkEnd w:id="9"/>
    </w:p>
    <w:p w:rsidR="003F2660" w:rsidRDefault="00C55C28" w:rsidP="00C55C28">
      <w:pPr>
        <w:pStyle w:val="Heading1"/>
        <w:rPr>
          <w:rtl/>
        </w:rPr>
      </w:pPr>
      <w:r>
        <w:rPr>
          <w:rFonts w:hint="cs"/>
          <w:rtl/>
        </w:rPr>
        <w:t>فرع پنجم: حکم نظر با قصد تلذذ و ریبه</w:t>
      </w:r>
      <w:bookmarkEnd w:id="1"/>
    </w:p>
    <w:p w:rsidR="003F2660" w:rsidRDefault="003F2660" w:rsidP="00581BC0">
      <w:pPr>
        <w:rPr>
          <w:rtl/>
        </w:rPr>
      </w:pPr>
      <w:r>
        <w:rPr>
          <w:rFonts w:hint="cs"/>
          <w:rtl/>
        </w:rPr>
        <w:t xml:space="preserve">پنجمین مبحث و فرع در ذیل استثنای دوم از عدم جواز نظر بحث در این است که این جواز نظر مطلق است و صور قصد التذاذ و ریبه را هم </w:t>
      </w:r>
      <w:r w:rsidR="007F0C79">
        <w:rPr>
          <w:rFonts w:hint="cs"/>
          <w:rtl/>
        </w:rPr>
        <w:t>می‌گیرد</w:t>
      </w:r>
      <w:r>
        <w:rPr>
          <w:rFonts w:hint="cs"/>
          <w:rtl/>
        </w:rPr>
        <w:t xml:space="preserve"> و یا اینکه در این مورد و سایر مواردی که جواز نظر گفته </w:t>
      </w:r>
      <w:r w:rsidR="007F0C79">
        <w:rPr>
          <w:rFonts w:hint="cs"/>
          <w:rtl/>
        </w:rPr>
        <w:t>می‌شود</w:t>
      </w:r>
      <w:r>
        <w:rPr>
          <w:rFonts w:hint="cs"/>
          <w:rtl/>
        </w:rPr>
        <w:t xml:space="preserve"> مشروط به عدم قصد تلذذ و التذاذ و عدم ریبه است. مشهور و شاید در حد اجماع احتمال دوم را </w:t>
      </w:r>
      <w:r w:rsidR="007F0C79">
        <w:rPr>
          <w:rFonts w:hint="cs"/>
          <w:rtl/>
        </w:rPr>
        <w:t>می‌گویند</w:t>
      </w:r>
      <w:r>
        <w:rPr>
          <w:rFonts w:hint="cs"/>
          <w:rtl/>
        </w:rPr>
        <w:t xml:space="preserve"> و معتقدند که همه مواردی که نظر تجویز شده </w:t>
      </w:r>
      <w:r w:rsidR="007F0C79">
        <w:rPr>
          <w:rFonts w:hint="cs"/>
          <w:rtl/>
        </w:rPr>
        <w:t>ازجمله</w:t>
      </w:r>
      <w:r>
        <w:rPr>
          <w:rFonts w:hint="cs"/>
          <w:rtl/>
        </w:rPr>
        <w:t xml:space="preserve"> مورد نساء کافرات و ذمیات مشروط به این است که نظر شهوانی یا ریبه با تفاوتی که دارند وجود نداشته باشد. در وجه و کفین اگر گفتیم </w:t>
      </w:r>
      <w:r w:rsidR="007F0C79">
        <w:rPr>
          <w:rtl/>
        </w:rPr>
        <w:t>به‌طور</w:t>
      </w:r>
      <w:r>
        <w:rPr>
          <w:rFonts w:hint="cs"/>
          <w:rtl/>
        </w:rPr>
        <w:t xml:space="preserve"> مطلق نظر جایز است مشروط به این است که قصد تلذذ نباشد. اگر نگاه به نامحرم در مقام قصد و اراده تزویج شد مشروط به این است که التذاذ نباشد. اگر گفتیم نظر به ذمیات جایز است مشروط به عدم قصد التذاذ است. موارد دیگری مثل مقام معالجه و امثال اینها هم هست.</w:t>
      </w:r>
    </w:p>
    <w:p w:rsidR="003F2660" w:rsidRDefault="003F2660" w:rsidP="007C3835">
      <w:pPr>
        <w:rPr>
          <w:rtl/>
        </w:rPr>
      </w:pPr>
      <w:r>
        <w:rPr>
          <w:rFonts w:hint="cs"/>
          <w:rtl/>
        </w:rPr>
        <w:t xml:space="preserve">در پرانتز اشاره کنم موارد استثنای جواز نظر، دو سه مورد در مسئله 26 و 27 عروه آمده و چند مورد هم در مسائل بعدی آمده است. سید شماره هم </w:t>
      </w:r>
      <w:r w:rsidR="007F0C79">
        <w:rPr>
          <w:rFonts w:hint="cs"/>
          <w:rtl/>
        </w:rPr>
        <w:t>می‌کند</w:t>
      </w:r>
      <w:r>
        <w:rPr>
          <w:rFonts w:hint="cs"/>
          <w:rtl/>
        </w:rPr>
        <w:t xml:space="preserve">. ما همه را در </w:t>
      </w:r>
      <w:r w:rsidR="007F0C79">
        <w:rPr>
          <w:rFonts w:hint="cs"/>
          <w:rtl/>
        </w:rPr>
        <w:t>یکجا</w:t>
      </w:r>
      <w:r>
        <w:rPr>
          <w:rFonts w:hint="cs"/>
          <w:rtl/>
        </w:rPr>
        <w:t xml:space="preserve"> قرار </w:t>
      </w:r>
      <w:r w:rsidR="007F0C79">
        <w:rPr>
          <w:rFonts w:hint="cs"/>
          <w:rtl/>
        </w:rPr>
        <w:t>می‌دهیم</w:t>
      </w:r>
      <w:r>
        <w:rPr>
          <w:rFonts w:hint="cs"/>
          <w:rtl/>
        </w:rPr>
        <w:t xml:space="preserve">. دو تا را گفتیم و یکی قاعده عامه </w:t>
      </w:r>
      <w:r w:rsidR="007C3835" w:rsidRPr="00E02A46">
        <w:rPr>
          <w:rFonts w:hint="cs"/>
          <w:rtl/>
        </w:rPr>
        <w:t>«</w:t>
      </w:r>
      <w:r w:rsidR="007C3835" w:rsidRPr="00E02A46">
        <w:rPr>
          <w:color w:val="008000"/>
          <w:rtl/>
        </w:rPr>
        <w:t>إِذَا نُهِينَ لَا يَنْتَهِين</w:t>
      </w:r>
      <w:r w:rsidR="007C3835" w:rsidRPr="00E02A46">
        <w:rPr>
          <w:rtl/>
        </w:rPr>
        <w:t>‏</w:t>
      </w:r>
      <w:r w:rsidR="007C3835" w:rsidRPr="00E02A46">
        <w:rPr>
          <w:rFonts w:hint="cs"/>
          <w:rtl/>
        </w:rPr>
        <w:t>»</w:t>
      </w:r>
      <w:r w:rsidR="007C3835" w:rsidRPr="00E02A46">
        <w:rPr>
          <w:vertAlign w:val="superscript"/>
          <w:rtl/>
        </w:rPr>
        <w:footnoteReference w:id="1"/>
      </w:r>
      <w:r>
        <w:rPr>
          <w:rFonts w:hint="cs"/>
          <w:rtl/>
        </w:rPr>
        <w:t xml:space="preserve">. در تنظیم ابتدا قاعده عامه قرار </w:t>
      </w:r>
      <w:r w:rsidR="007F0C79">
        <w:rPr>
          <w:rFonts w:hint="cs"/>
          <w:rtl/>
        </w:rPr>
        <w:t>می‌گیرد</w:t>
      </w:r>
      <w:r>
        <w:rPr>
          <w:rFonts w:hint="cs"/>
          <w:rtl/>
        </w:rPr>
        <w:t xml:space="preserve"> بعد بقیه استثنائات.</w:t>
      </w:r>
    </w:p>
    <w:p w:rsidR="003F2660" w:rsidRDefault="003F2660" w:rsidP="007C3835">
      <w:pPr>
        <w:rPr>
          <w:rtl/>
        </w:rPr>
      </w:pPr>
      <w:r>
        <w:rPr>
          <w:rFonts w:hint="cs"/>
          <w:rtl/>
        </w:rPr>
        <w:t xml:space="preserve">این مورد مثل سایر موارد جواز نظر مشروط به عدم قصد التذاذ و عدم ریبه است. گرچه این مبحث را </w:t>
      </w:r>
      <w:r w:rsidR="007F0C79">
        <w:rPr>
          <w:rFonts w:hint="cs"/>
          <w:rtl/>
        </w:rPr>
        <w:t>قبلاً</w:t>
      </w:r>
      <w:r>
        <w:rPr>
          <w:rFonts w:hint="cs"/>
          <w:rtl/>
        </w:rPr>
        <w:t xml:space="preserve"> به مناسبتی طرح کردیم اینجا هم در ذیل این بحث مطرح </w:t>
      </w:r>
      <w:r w:rsidR="007F0C79">
        <w:rPr>
          <w:rFonts w:hint="cs"/>
          <w:rtl/>
        </w:rPr>
        <w:t>می‌شود</w:t>
      </w:r>
      <w:r>
        <w:rPr>
          <w:rFonts w:hint="cs"/>
          <w:rtl/>
        </w:rPr>
        <w:t xml:space="preserve"> ولی اینجا هم به سمت قاعده کلی برویم بعد تطبیق کنیم. </w:t>
      </w:r>
      <w:r w:rsidR="007F0C79">
        <w:rPr>
          <w:rFonts w:hint="cs"/>
          <w:rtl/>
        </w:rPr>
        <w:t>همین‌طور</w:t>
      </w:r>
      <w:r>
        <w:rPr>
          <w:rFonts w:hint="cs"/>
          <w:rtl/>
        </w:rPr>
        <w:t xml:space="preserve"> که </w:t>
      </w:r>
      <w:r w:rsidR="007C3835" w:rsidRPr="00E02A46">
        <w:rPr>
          <w:rFonts w:hint="cs"/>
          <w:rtl/>
        </w:rPr>
        <w:t>«</w:t>
      </w:r>
      <w:r w:rsidR="007C3835" w:rsidRPr="00E02A46">
        <w:rPr>
          <w:color w:val="008000"/>
          <w:rtl/>
        </w:rPr>
        <w:t>إِذَا نُهِينَ لَا يَنْتَهِين</w:t>
      </w:r>
      <w:r w:rsidR="007C3835" w:rsidRPr="00E02A46">
        <w:rPr>
          <w:rtl/>
        </w:rPr>
        <w:t>‏</w:t>
      </w:r>
      <w:r w:rsidR="007C3835" w:rsidRPr="00E02A46">
        <w:rPr>
          <w:rFonts w:hint="cs"/>
          <w:rtl/>
        </w:rPr>
        <w:t>»</w:t>
      </w:r>
      <w:r w:rsidR="007C3835">
        <w:rPr>
          <w:rFonts w:hint="cs"/>
          <w:rtl/>
        </w:rPr>
        <w:t xml:space="preserve"> </w:t>
      </w:r>
      <w:r>
        <w:rPr>
          <w:rFonts w:hint="cs"/>
          <w:rtl/>
        </w:rPr>
        <w:t xml:space="preserve">قاعده کلی شد و در نگارش اول قرار </w:t>
      </w:r>
      <w:r w:rsidR="007F0C79">
        <w:rPr>
          <w:rFonts w:hint="cs"/>
          <w:rtl/>
        </w:rPr>
        <w:t>می‌گیرد</w:t>
      </w:r>
      <w:r>
        <w:rPr>
          <w:rFonts w:hint="cs"/>
          <w:rtl/>
        </w:rPr>
        <w:t xml:space="preserve">، قصد التذاذ هم بحثی کلی است و در تنظیمات به شکل یک قاعده کلیه </w:t>
      </w:r>
      <w:r w:rsidR="007F0C79">
        <w:rPr>
          <w:rFonts w:hint="cs"/>
          <w:rtl/>
        </w:rPr>
        <w:t>درمی‌آید</w:t>
      </w:r>
      <w:r>
        <w:rPr>
          <w:rFonts w:hint="cs"/>
          <w:rtl/>
        </w:rPr>
        <w:t xml:space="preserve"> یا دو قاعده کلیه. یکی اینکه هر جواز نظری نسبت به جنس موافق یا مخالف مشروط به این است که قصد التذاذ یا ریبه نباشد. این دو قاعده عامه است و ممکن است ادله خاصه داشته باشد. </w:t>
      </w:r>
      <w:r w:rsidR="007F0C79">
        <w:rPr>
          <w:rFonts w:hint="cs"/>
          <w:rtl/>
        </w:rPr>
        <w:t>ازآنجاکه</w:t>
      </w:r>
      <w:r>
        <w:rPr>
          <w:rFonts w:hint="cs"/>
          <w:rtl/>
        </w:rPr>
        <w:t xml:space="preserve"> اصل قاعده ارزش بالایی دارد به سمت </w:t>
      </w:r>
      <w:r w:rsidR="007F0C79">
        <w:rPr>
          <w:rFonts w:hint="cs"/>
          <w:rtl/>
        </w:rPr>
        <w:t>حاشیه‌ای</w:t>
      </w:r>
      <w:r>
        <w:rPr>
          <w:rFonts w:hint="cs"/>
          <w:rtl/>
        </w:rPr>
        <w:t xml:space="preserve"> در اصل کلی </w:t>
      </w:r>
      <w:r w:rsidR="007F0C79">
        <w:rPr>
          <w:rFonts w:hint="cs"/>
          <w:rtl/>
        </w:rPr>
        <w:t>می‌رویم</w:t>
      </w:r>
      <w:r>
        <w:rPr>
          <w:rFonts w:hint="cs"/>
          <w:rtl/>
        </w:rPr>
        <w:t xml:space="preserve"> و بعد تطبیق را بررسی کردیم. پس قاعده کلی این است که </w:t>
      </w:r>
      <w:r w:rsidR="007F0C79">
        <w:rPr>
          <w:rFonts w:hint="cs"/>
          <w:rtl/>
        </w:rPr>
        <w:t>ازنظر</w:t>
      </w:r>
      <w:r>
        <w:rPr>
          <w:rFonts w:hint="cs"/>
          <w:rtl/>
        </w:rPr>
        <w:t xml:space="preserve"> مع التلذذ حرام. بحث وجه و کفین و زن و مرد و احوال و شرایط ندارد.</w:t>
      </w:r>
    </w:p>
    <w:p w:rsidR="003F2660" w:rsidRDefault="007F0C79" w:rsidP="00581BC0">
      <w:pPr>
        <w:rPr>
          <w:rtl/>
        </w:rPr>
      </w:pPr>
      <w:r>
        <w:rPr>
          <w:rFonts w:hint="cs"/>
          <w:rtl/>
        </w:rPr>
        <w:t>سؤال</w:t>
      </w:r>
      <w:r w:rsidR="003F2660">
        <w:rPr>
          <w:rFonts w:hint="cs"/>
          <w:rtl/>
        </w:rPr>
        <w:t>: عکس و فیلم هم هست حتی</w:t>
      </w:r>
    </w:p>
    <w:p w:rsidR="003F2660" w:rsidRDefault="003F2660" w:rsidP="00581BC0">
      <w:pPr>
        <w:rPr>
          <w:rtl/>
        </w:rPr>
      </w:pPr>
      <w:r>
        <w:rPr>
          <w:rFonts w:hint="cs"/>
          <w:rtl/>
        </w:rPr>
        <w:t xml:space="preserve">جواب: اشیاء هم ممکن است کسی نگاه شهوانی داشته باشد بحث ما </w:t>
      </w:r>
      <w:r w:rsidR="007F0C79">
        <w:rPr>
          <w:rFonts w:hint="cs"/>
          <w:rtl/>
        </w:rPr>
        <w:t>الآن</w:t>
      </w:r>
      <w:r>
        <w:rPr>
          <w:rFonts w:hint="cs"/>
          <w:rtl/>
        </w:rPr>
        <w:t xml:space="preserve"> نیست.</w:t>
      </w:r>
    </w:p>
    <w:p w:rsidR="003F2660" w:rsidRDefault="003F2660" w:rsidP="00C55C28">
      <w:pPr>
        <w:rPr>
          <w:rtl/>
        </w:rPr>
      </w:pPr>
      <w:r>
        <w:rPr>
          <w:rFonts w:hint="cs"/>
          <w:rtl/>
        </w:rPr>
        <w:t xml:space="preserve">اینجا دو قاعده داریم. یکی حرمت نظر مع قصد التلذذ و دیگری حرمت نظر با قصد ریبه. </w:t>
      </w:r>
      <w:r w:rsidR="007F0C79">
        <w:rPr>
          <w:rFonts w:hint="cs"/>
          <w:rtl/>
        </w:rPr>
        <w:t>فعلاً</w:t>
      </w:r>
      <w:r>
        <w:rPr>
          <w:rFonts w:hint="cs"/>
          <w:rtl/>
        </w:rPr>
        <w:t xml:space="preserve"> قاعده اول را بحث </w:t>
      </w:r>
      <w:r w:rsidR="007F0C79">
        <w:rPr>
          <w:rFonts w:hint="cs"/>
          <w:rtl/>
        </w:rPr>
        <w:t>می‌کنیم</w:t>
      </w:r>
      <w:r>
        <w:rPr>
          <w:rFonts w:hint="cs"/>
          <w:rtl/>
        </w:rPr>
        <w:t xml:space="preserve"> که عبارت است التذاذ و ریبه و بعد ریبه و نسبتش را بحث </w:t>
      </w:r>
      <w:r w:rsidR="007F0C79">
        <w:rPr>
          <w:rFonts w:hint="cs"/>
          <w:rtl/>
        </w:rPr>
        <w:t>می‌کنیم</w:t>
      </w:r>
      <w:r>
        <w:rPr>
          <w:rFonts w:hint="cs"/>
          <w:rtl/>
        </w:rPr>
        <w:t>.</w:t>
      </w:r>
    </w:p>
    <w:p w:rsidR="00C55C28" w:rsidRDefault="00C55C28" w:rsidP="00C55C28">
      <w:pPr>
        <w:pStyle w:val="Heading1"/>
        <w:rPr>
          <w:rtl/>
        </w:rPr>
      </w:pPr>
      <w:bookmarkStart w:id="10" w:name="_Toc88396299"/>
      <w:r>
        <w:rPr>
          <w:rFonts w:hint="cs"/>
          <w:rtl/>
        </w:rPr>
        <w:lastRenderedPageBreak/>
        <w:t>حرمت نظر با قصد تلذذ:</w:t>
      </w:r>
      <w:bookmarkEnd w:id="10"/>
    </w:p>
    <w:p w:rsidR="00DD2ABD" w:rsidRDefault="003F2660" w:rsidP="007F0C79">
      <w:pPr>
        <w:rPr>
          <w:rtl/>
        </w:rPr>
      </w:pPr>
      <w:r>
        <w:rPr>
          <w:rFonts w:hint="cs"/>
          <w:rtl/>
        </w:rPr>
        <w:t xml:space="preserve">اشاره به این بحث </w:t>
      </w:r>
      <w:r w:rsidR="007F0C79">
        <w:rPr>
          <w:rFonts w:hint="cs"/>
          <w:rtl/>
        </w:rPr>
        <w:t>کرده‌ایم</w:t>
      </w:r>
      <w:r>
        <w:rPr>
          <w:rFonts w:hint="cs"/>
          <w:rtl/>
        </w:rPr>
        <w:t xml:space="preserve"> چون </w:t>
      </w:r>
      <w:r w:rsidR="007F0C79">
        <w:rPr>
          <w:rFonts w:hint="cs"/>
          <w:rtl/>
        </w:rPr>
        <w:t>پایه‌هایش</w:t>
      </w:r>
      <w:r>
        <w:rPr>
          <w:rFonts w:hint="cs"/>
          <w:rtl/>
        </w:rPr>
        <w:t xml:space="preserve"> ریخته شده است. </w:t>
      </w:r>
      <w:r w:rsidR="007F0C79">
        <w:rPr>
          <w:rFonts w:hint="cs"/>
          <w:rtl/>
        </w:rPr>
        <w:t>الآن</w:t>
      </w:r>
      <w:r>
        <w:rPr>
          <w:rFonts w:hint="cs"/>
          <w:rtl/>
        </w:rPr>
        <w:t xml:space="preserve"> قاعده حرمت نظر با قصد تلذذ </w:t>
      </w:r>
      <w:r w:rsidR="007F0C79">
        <w:rPr>
          <w:rFonts w:hint="cs"/>
          <w:rtl/>
        </w:rPr>
        <w:t>به‌عنوان</w:t>
      </w:r>
      <w:r>
        <w:rPr>
          <w:rFonts w:hint="cs"/>
          <w:rtl/>
        </w:rPr>
        <w:t xml:space="preserve"> قاعده اول مطرح </w:t>
      </w:r>
      <w:r w:rsidR="007F0C79">
        <w:rPr>
          <w:rFonts w:hint="cs"/>
          <w:rtl/>
        </w:rPr>
        <w:t>می‌شود</w:t>
      </w:r>
      <w:r>
        <w:rPr>
          <w:rFonts w:hint="cs"/>
          <w:rtl/>
        </w:rPr>
        <w:t xml:space="preserve"> و </w:t>
      </w:r>
      <w:r w:rsidR="007F0C79">
        <w:rPr>
          <w:rFonts w:hint="cs"/>
          <w:rtl/>
        </w:rPr>
        <w:t>همان‌طور</w:t>
      </w:r>
      <w:r>
        <w:rPr>
          <w:rFonts w:hint="cs"/>
          <w:rtl/>
        </w:rPr>
        <w:t xml:space="preserve"> که در مقدمه عرض کردیم موضوع قاعده نظر به انسان دیگری است اعم از اینکه این نظر متعلقش مسلمان باشد یا کافر و اعم از اینکه به دست و صورت یا سایر اعضا باشد و اعم از اینکه به جنس موافق یا مخالف باشد و اعم از اینکه به ممیز یا غیر ممیز یا مکلف و یا غیر مکلف باشد. اعم از اینکه در مقام معالجه و ضرورت و امثال اینها باشد یا نه. و شاید اعم از اینکه شخص خودش باشد یا تصویر و عکس و مجسمه باشد. آنها را هم </w:t>
      </w:r>
      <w:r w:rsidR="007F0C79">
        <w:rPr>
          <w:rFonts w:hint="cs"/>
          <w:rtl/>
        </w:rPr>
        <w:t>می‌گیرد</w:t>
      </w:r>
      <w:r w:rsidR="007C3835">
        <w:rPr>
          <w:rFonts w:hint="cs"/>
          <w:rtl/>
        </w:rPr>
        <w:t>. صورت عینیه شخصیه‌</w:t>
      </w:r>
      <w:r>
        <w:rPr>
          <w:rFonts w:hint="cs"/>
          <w:rtl/>
        </w:rPr>
        <w:t xml:space="preserve">اش باشد یا صور ترسیمی و تصویری او باشد. حال اینکه تصویرهای ذهنی و خیالی هم همین حکم را دارد جای بحث دارد. اینجا یا آینده بحث خواهیم کرد. این مقدمه بحث است. پس دو قاعده را بحث </w:t>
      </w:r>
      <w:r w:rsidR="007F0C79">
        <w:rPr>
          <w:rFonts w:hint="cs"/>
          <w:rtl/>
        </w:rPr>
        <w:t>می‌کنیم</w:t>
      </w:r>
      <w:r>
        <w:rPr>
          <w:rFonts w:hint="cs"/>
          <w:rtl/>
        </w:rPr>
        <w:t xml:space="preserve"> یکی حرمت </w:t>
      </w:r>
      <w:r w:rsidR="007F0C79">
        <w:rPr>
          <w:rFonts w:hint="cs"/>
          <w:rtl/>
        </w:rPr>
        <w:t>ازنظر مع قصد التلذ</w:t>
      </w:r>
      <w:r>
        <w:rPr>
          <w:rFonts w:hint="cs"/>
          <w:rtl/>
        </w:rPr>
        <w:t xml:space="preserve">ذ و دیگری حرمت </w:t>
      </w:r>
      <w:r w:rsidR="007F0C79">
        <w:rPr>
          <w:rFonts w:hint="cs"/>
          <w:rtl/>
        </w:rPr>
        <w:t>ازنظر</w:t>
      </w:r>
      <w:r>
        <w:rPr>
          <w:rFonts w:hint="cs"/>
          <w:rtl/>
        </w:rPr>
        <w:t xml:space="preserve"> مع الریبه. در قاعده اول مقدمتا</w:t>
      </w:r>
      <w:r w:rsidR="007C3835">
        <w:rPr>
          <w:rFonts w:hint="cs"/>
          <w:rtl/>
        </w:rPr>
        <w:t>ً</w:t>
      </w:r>
      <w:r>
        <w:rPr>
          <w:rFonts w:hint="cs"/>
          <w:rtl/>
        </w:rPr>
        <w:t xml:space="preserve"> عرض کردیم هیچ قیدی در نظر و منظور الیه نیست جز اینکه انسان است. اشیاء و </w:t>
      </w:r>
      <w:r w:rsidR="007F0C79">
        <w:rPr>
          <w:rFonts w:hint="cs"/>
          <w:rtl/>
        </w:rPr>
        <w:t>اینها</w:t>
      </w:r>
      <w:r>
        <w:rPr>
          <w:rFonts w:hint="cs"/>
          <w:rtl/>
        </w:rPr>
        <w:t xml:space="preserve"> را ذیلش یا جای دیگر بحث </w:t>
      </w:r>
      <w:r w:rsidR="007F0C79">
        <w:rPr>
          <w:rFonts w:hint="cs"/>
          <w:rtl/>
        </w:rPr>
        <w:t>می‌کنیم</w:t>
      </w:r>
      <w:r>
        <w:rPr>
          <w:rFonts w:hint="cs"/>
          <w:rtl/>
        </w:rPr>
        <w:t xml:space="preserve">. شامل همه این مواردی که گفته شد </w:t>
      </w:r>
      <w:r w:rsidR="007F0C79">
        <w:rPr>
          <w:rFonts w:hint="cs"/>
          <w:rtl/>
        </w:rPr>
        <w:t>می‌شود</w:t>
      </w:r>
      <w:r>
        <w:rPr>
          <w:rFonts w:hint="cs"/>
          <w:rtl/>
        </w:rPr>
        <w:t xml:space="preserve">. و اعم از آن مواردی که با </w:t>
      </w:r>
      <w:r w:rsidR="007F0C79">
        <w:rPr>
          <w:rFonts w:hint="cs"/>
          <w:rtl/>
        </w:rPr>
        <w:t>قطع‌نظر</w:t>
      </w:r>
      <w:r>
        <w:rPr>
          <w:rFonts w:hint="cs"/>
          <w:rtl/>
        </w:rPr>
        <w:t xml:space="preserve"> از این حرام است یا نه. آنجا هم که </w:t>
      </w:r>
      <w:r w:rsidR="007F0C79">
        <w:rPr>
          <w:rFonts w:hint="cs"/>
          <w:rtl/>
        </w:rPr>
        <w:t>می‌گوییم</w:t>
      </w:r>
      <w:r>
        <w:rPr>
          <w:rFonts w:hint="cs"/>
          <w:rtl/>
        </w:rPr>
        <w:t xml:space="preserve"> جایز است مشمول قاعده است و آنجایی هم که حرام است مشمول قاعده به نحو آکد و ثانویه است. این قاعده هم شامل مواردی </w:t>
      </w:r>
      <w:r w:rsidR="007F0C79">
        <w:rPr>
          <w:rFonts w:hint="cs"/>
          <w:rtl/>
        </w:rPr>
        <w:t>می‌شود</w:t>
      </w:r>
      <w:r>
        <w:rPr>
          <w:rFonts w:hint="cs"/>
          <w:rtl/>
        </w:rPr>
        <w:t xml:space="preserve"> که نظر فی حد نفسه جایز است مثل وجه و کفین و </w:t>
      </w:r>
      <w:r w:rsidR="007F0C79">
        <w:rPr>
          <w:rFonts w:hint="cs"/>
          <w:rtl/>
        </w:rPr>
        <w:t>می‌گوید</w:t>
      </w:r>
      <w:r>
        <w:rPr>
          <w:rFonts w:hint="cs"/>
          <w:rtl/>
        </w:rPr>
        <w:t xml:space="preserve"> همین نظرهایی که جایز است </w:t>
      </w:r>
      <w:r w:rsidR="007F0C79">
        <w:rPr>
          <w:rFonts w:hint="cs"/>
          <w:rtl/>
        </w:rPr>
        <w:t>می‌گوید</w:t>
      </w:r>
      <w:r>
        <w:rPr>
          <w:rFonts w:hint="cs"/>
          <w:rtl/>
        </w:rPr>
        <w:t xml:space="preserve"> اگر قصد تلذذ آمد حرام </w:t>
      </w:r>
      <w:r w:rsidR="007F0C79">
        <w:rPr>
          <w:rFonts w:hint="cs"/>
          <w:rtl/>
        </w:rPr>
        <w:t>می‌شود</w:t>
      </w:r>
      <w:r>
        <w:rPr>
          <w:rFonts w:hint="cs"/>
          <w:rtl/>
        </w:rPr>
        <w:t xml:space="preserve">. </w:t>
      </w:r>
      <w:r w:rsidR="007F0C79">
        <w:rPr>
          <w:rFonts w:hint="cs"/>
          <w:rtl/>
        </w:rPr>
        <w:t>هم شامل مواردی است که فی حد نفسه حرام است. نگاه به عورت دیگری فی حد نفسه حرام است مطلقاً چه با قصد تلذذ چه بدون آن. با قصد تلذذ که آمد حرمت آکد پیدا می‌کند.</w:t>
      </w:r>
      <w:r w:rsidR="00DD2ABD">
        <w:rPr>
          <w:rFonts w:hint="cs"/>
          <w:rtl/>
        </w:rPr>
        <w:t xml:space="preserve"> قاعده عام است هم مواردی که جایز است را </w:t>
      </w:r>
      <w:r w:rsidR="007F0C79">
        <w:rPr>
          <w:rFonts w:hint="cs"/>
          <w:rtl/>
        </w:rPr>
        <w:t>می‌گیرد</w:t>
      </w:r>
      <w:r w:rsidR="00DD2ABD">
        <w:rPr>
          <w:rFonts w:hint="cs"/>
          <w:rtl/>
        </w:rPr>
        <w:t xml:space="preserve"> و هم مواردی که فی حد نفسه حرام است را شامل </w:t>
      </w:r>
      <w:r w:rsidR="007F0C79">
        <w:rPr>
          <w:rFonts w:hint="cs"/>
          <w:rtl/>
        </w:rPr>
        <w:t>می‌شود</w:t>
      </w:r>
      <w:r w:rsidR="00DD2ABD">
        <w:rPr>
          <w:rFonts w:hint="cs"/>
          <w:rtl/>
        </w:rPr>
        <w:t xml:space="preserve"> و به نحو آکد تحریم پیدا </w:t>
      </w:r>
      <w:r w:rsidR="007F0C79">
        <w:rPr>
          <w:rFonts w:hint="cs"/>
          <w:rtl/>
        </w:rPr>
        <w:t>می‌شود</w:t>
      </w:r>
      <w:r w:rsidR="00DD2ABD">
        <w:rPr>
          <w:rFonts w:hint="cs"/>
          <w:rtl/>
        </w:rPr>
        <w:t>.</w:t>
      </w:r>
    </w:p>
    <w:p w:rsidR="00DD2ABD" w:rsidRDefault="007F0C79" w:rsidP="00DD2ABD">
      <w:pPr>
        <w:rPr>
          <w:rtl/>
        </w:rPr>
      </w:pPr>
      <w:r>
        <w:rPr>
          <w:rFonts w:hint="cs"/>
          <w:rtl/>
        </w:rPr>
        <w:t>سؤال</w:t>
      </w:r>
      <w:r w:rsidR="00DD2ABD">
        <w:rPr>
          <w:rFonts w:hint="cs"/>
          <w:rtl/>
        </w:rPr>
        <w:t xml:space="preserve">: خود تلذذ هم تشکیکی است </w:t>
      </w:r>
    </w:p>
    <w:p w:rsidR="00DD2ABD" w:rsidRDefault="00DD2ABD" w:rsidP="00DD2ABD">
      <w:pPr>
        <w:rPr>
          <w:rtl/>
        </w:rPr>
      </w:pPr>
      <w:r>
        <w:rPr>
          <w:rFonts w:hint="cs"/>
          <w:rtl/>
        </w:rPr>
        <w:t>جواب: بله. طبق قواعد باید حرمت هم شدت و ضعف داشته باشد. اینجا جزء فروعات مسئله اس</w:t>
      </w:r>
      <w:r w:rsidR="007F0C79">
        <w:rPr>
          <w:rFonts w:hint="cs"/>
          <w:rtl/>
        </w:rPr>
        <w:t>ت. در حقیقت از این تلذذ یک استثن</w:t>
      </w:r>
      <w:r>
        <w:rPr>
          <w:rFonts w:hint="cs"/>
          <w:rtl/>
        </w:rPr>
        <w:t xml:space="preserve">ایی که شده است همان جایی است که علقه زوجیت یا ملکیت باشد. این مواردی است که در شرع استثنا شده است و </w:t>
      </w:r>
      <w:r w:rsidR="007F0C79">
        <w:rPr>
          <w:rFonts w:hint="cs"/>
          <w:rtl/>
        </w:rPr>
        <w:t>درواقع</w:t>
      </w:r>
      <w:r>
        <w:rPr>
          <w:rFonts w:hint="cs"/>
          <w:rtl/>
        </w:rPr>
        <w:t xml:space="preserve"> شرع تلذذ شهوانی را در موارد خاص کانالیزه کرده است. این مبحث </w:t>
      </w:r>
      <w:r w:rsidR="007F0C79">
        <w:rPr>
          <w:rFonts w:hint="cs"/>
          <w:rtl/>
        </w:rPr>
        <w:t>به‌عنوان</w:t>
      </w:r>
      <w:r>
        <w:rPr>
          <w:rFonts w:hint="cs"/>
          <w:rtl/>
        </w:rPr>
        <w:t xml:space="preserve"> قاعده عامه بحث </w:t>
      </w:r>
      <w:r w:rsidR="007F0C79">
        <w:rPr>
          <w:rFonts w:hint="cs"/>
          <w:rtl/>
        </w:rPr>
        <w:t>می‌کنیم</w:t>
      </w:r>
      <w:r>
        <w:rPr>
          <w:rFonts w:hint="cs"/>
          <w:rtl/>
        </w:rPr>
        <w:t xml:space="preserve"> گرچه ذیل بحث پنجم است قاعده عامه قرار </w:t>
      </w:r>
      <w:r w:rsidR="007F0C79">
        <w:rPr>
          <w:rFonts w:hint="cs"/>
          <w:rtl/>
        </w:rPr>
        <w:t>می‌دهیم</w:t>
      </w:r>
      <w:r>
        <w:rPr>
          <w:rFonts w:hint="cs"/>
          <w:rtl/>
        </w:rPr>
        <w:t xml:space="preserve"> و در تنظیمات هم جای خودش قرار </w:t>
      </w:r>
      <w:r w:rsidR="007F0C79">
        <w:rPr>
          <w:rFonts w:hint="cs"/>
          <w:rtl/>
        </w:rPr>
        <w:t>می‌دهیم</w:t>
      </w:r>
      <w:r>
        <w:rPr>
          <w:rFonts w:hint="cs"/>
          <w:rtl/>
        </w:rPr>
        <w:t>.</w:t>
      </w:r>
    </w:p>
    <w:p w:rsidR="00DD2ABD" w:rsidRDefault="00DD2ABD" w:rsidP="00C55C28">
      <w:pPr>
        <w:rPr>
          <w:rtl/>
        </w:rPr>
      </w:pPr>
      <w:r>
        <w:rPr>
          <w:rFonts w:hint="cs"/>
          <w:rtl/>
        </w:rPr>
        <w:t xml:space="preserve">این نکته را هم اشاره کنیم و </w:t>
      </w:r>
      <w:r w:rsidR="007F0C79">
        <w:rPr>
          <w:rFonts w:hint="cs"/>
          <w:rtl/>
        </w:rPr>
        <w:t>آیت‌الله</w:t>
      </w:r>
      <w:r>
        <w:rPr>
          <w:rFonts w:hint="cs"/>
          <w:rtl/>
        </w:rPr>
        <w:t xml:space="preserve"> مکارم هم در کتابشان دارند که بعضی </w:t>
      </w:r>
      <w:r w:rsidR="007F0C79">
        <w:rPr>
          <w:rFonts w:hint="cs"/>
          <w:rtl/>
        </w:rPr>
        <w:t>می‌گویند</w:t>
      </w:r>
      <w:r>
        <w:rPr>
          <w:rFonts w:hint="cs"/>
          <w:rtl/>
        </w:rPr>
        <w:t xml:space="preserve"> قصد تلذذ مانعی ندارد و ایشان خیلی هجمه </w:t>
      </w:r>
      <w:r w:rsidR="007F0C79">
        <w:rPr>
          <w:rFonts w:hint="cs"/>
          <w:rtl/>
        </w:rPr>
        <w:t>می‌کنند</w:t>
      </w:r>
      <w:r>
        <w:rPr>
          <w:rFonts w:hint="cs"/>
          <w:rtl/>
        </w:rPr>
        <w:t xml:space="preserve"> که درست است. بحث قصد و تلذذ بعد </w:t>
      </w:r>
      <w:r w:rsidR="007F0C79">
        <w:rPr>
          <w:rFonts w:hint="cs"/>
          <w:rtl/>
        </w:rPr>
        <w:t>مرور</w:t>
      </w:r>
      <w:r>
        <w:rPr>
          <w:rFonts w:hint="cs"/>
          <w:rtl/>
        </w:rPr>
        <w:t xml:space="preserve"> ادله بحث خواهند شد. اینکه کسی به نحو مطلق بگوید نگاه </w:t>
      </w:r>
      <w:r w:rsidR="007F0C79">
        <w:rPr>
          <w:rFonts w:hint="cs"/>
          <w:rtl/>
        </w:rPr>
        <w:t>درجایی</w:t>
      </w:r>
      <w:r>
        <w:rPr>
          <w:rFonts w:hint="cs"/>
          <w:rtl/>
        </w:rPr>
        <w:t xml:space="preserve"> که جایز است </w:t>
      </w:r>
      <w:r w:rsidR="007F0C79">
        <w:rPr>
          <w:rFonts w:hint="cs"/>
          <w:rtl/>
        </w:rPr>
        <w:t>به‌قصد</w:t>
      </w:r>
      <w:r>
        <w:rPr>
          <w:rFonts w:hint="cs"/>
          <w:rtl/>
        </w:rPr>
        <w:t xml:space="preserve"> تلذذ هم جایز است شاید کسی نباشد. به نحو احتمال در بعضی موارد </w:t>
      </w:r>
      <w:r w:rsidR="007F0C79">
        <w:rPr>
          <w:rFonts w:hint="cs"/>
          <w:rtl/>
        </w:rPr>
        <w:t>مثلاً</w:t>
      </w:r>
      <w:r>
        <w:rPr>
          <w:rFonts w:hint="cs"/>
          <w:rtl/>
        </w:rPr>
        <w:t xml:space="preserve"> در مقام ازدواج ممکن است کسی حرفی بزند. موردی ممکن است احتمالی مطرح شود اما اینکه </w:t>
      </w:r>
      <w:r w:rsidR="007F0C79">
        <w:rPr>
          <w:rFonts w:hint="cs"/>
          <w:rtl/>
        </w:rPr>
        <w:t>به‌طورکلی</w:t>
      </w:r>
      <w:r>
        <w:rPr>
          <w:rFonts w:hint="cs"/>
          <w:rtl/>
        </w:rPr>
        <w:t xml:space="preserve"> قصد تلذذ جایز باشد کسی نگفته است.</w:t>
      </w:r>
    </w:p>
    <w:p w:rsidR="00DD2ABD" w:rsidRDefault="00DD2ABD" w:rsidP="00DD2ABD">
      <w:pPr>
        <w:rPr>
          <w:rtl/>
        </w:rPr>
      </w:pPr>
      <w:r>
        <w:rPr>
          <w:rFonts w:hint="cs"/>
          <w:rtl/>
        </w:rPr>
        <w:t>ادله را مرور سریعی خواهیم داشت.</w:t>
      </w:r>
    </w:p>
    <w:p w:rsidR="00DD2ABD" w:rsidRDefault="007F0C79" w:rsidP="00DD2ABD">
      <w:pPr>
        <w:rPr>
          <w:rtl/>
        </w:rPr>
      </w:pPr>
      <w:r>
        <w:rPr>
          <w:rFonts w:hint="cs"/>
          <w:rtl/>
        </w:rPr>
        <w:t>سؤال</w:t>
      </w:r>
      <w:r w:rsidR="00DD2ABD">
        <w:rPr>
          <w:rFonts w:hint="cs"/>
          <w:rtl/>
        </w:rPr>
        <w:t>: در مورد ازدواج هم بین قصد تلذذ و نتیجه تلذذ متفاوت است</w:t>
      </w:r>
    </w:p>
    <w:p w:rsidR="00DD2ABD" w:rsidRDefault="00DD2ABD" w:rsidP="00DD2ABD">
      <w:pPr>
        <w:rPr>
          <w:rtl/>
        </w:rPr>
      </w:pPr>
      <w:r>
        <w:rPr>
          <w:rFonts w:hint="cs"/>
          <w:rtl/>
        </w:rPr>
        <w:t>جواب: بحث کردیم.</w:t>
      </w:r>
    </w:p>
    <w:p w:rsidR="00DD2ABD" w:rsidRDefault="00DD2ABD" w:rsidP="00C55C28">
      <w:pPr>
        <w:pStyle w:val="Heading2"/>
        <w:rPr>
          <w:rtl/>
        </w:rPr>
      </w:pPr>
      <w:bookmarkStart w:id="11" w:name="_Toc88396300"/>
      <w:r>
        <w:rPr>
          <w:rFonts w:hint="cs"/>
          <w:rtl/>
        </w:rPr>
        <w:lastRenderedPageBreak/>
        <w:t xml:space="preserve">دلیل اول: </w:t>
      </w:r>
      <w:r w:rsidR="00C55C28">
        <w:rPr>
          <w:rFonts w:hint="cs"/>
          <w:rtl/>
        </w:rPr>
        <w:t>مذاق شرع</w:t>
      </w:r>
      <w:bookmarkEnd w:id="11"/>
    </w:p>
    <w:p w:rsidR="00DD2ABD" w:rsidRDefault="00DD2ABD" w:rsidP="00DD2ABD">
      <w:pPr>
        <w:rPr>
          <w:rtl/>
        </w:rPr>
      </w:pPr>
      <w:r>
        <w:rPr>
          <w:rFonts w:hint="cs"/>
          <w:rtl/>
        </w:rPr>
        <w:t xml:space="preserve">مذاق شرع، مقاصد شرع، ارتکاز متشرعه از مواردی است که </w:t>
      </w:r>
      <w:r w:rsidR="007F0C79">
        <w:rPr>
          <w:rFonts w:hint="cs"/>
          <w:rtl/>
        </w:rPr>
        <w:t>می‌شود</w:t>
      </w:r>
      <w:r>
        <w:rPr>
          <w:rFonts w:hint="cs"/>
          <w:rtl/>
        </w:rPr>
        <w:t xml:space="preserve"> برای تحریم نظر با قصد تلذذ تمسک کرد. در اصول در بحث مذاق عرض شد قواعدی که برای تعمیم حکم در اصول </w:t>
      </w:r>
      <w:r w:rsidR="007F0C79">
        <w:rPr>
          <w:rFonts w:hint="cs"/>
          <w:rtl/>
        </w:rPr>
        <w:t>قراردادیم</w:t>
      </w:r>
      <w:r>
        <w:rPr>
          <w:rFonts w:hint="cs"/>
          <w:rtl/>
        </w:rPr>
        <w:t xml:space="preserve"> گاهی برای </w:t>
      </w:r>
      <w:r w:rsidR="00C55C28">
        <w:rPr>
          <w:rFonts w:hint="cs"/>
          <w:rtl/>
        </w:rPr>
        <w:t>تأسیس</w:t>
      </w:r>
      <w:r>
        <w:rPr>
          <w:rFonts w:hint="cs"/>
          <w:rtl/>
        </w:rPr>
        <w:t xml:space="preserve"> حکم از اینها استفاده </w:t>
      </w:r>
      <w:r w:rsidR="007F0C79">
        <w:rPr>
          <w:rFonts w:hint="cs"/>
          <w:rtl/>
        </w:rPr>
        <w:t>می‌شود</w:t>
      </w:r>
      <w:r>
        <w:rPr>
          <w:rFonts w:hint="cs"/>
          <w:rtl/>
        </w:rPr>
        <w:t xml:space="preserve">. بحث این نیست که مذاق شرع موردی را تعمیم دهد. بلکه </w:t>
      </w:r>
      <w:r w:rsidR="007C3835">
        <w:rPr>
          <w:rFonts w:hint="cs"/>
          <w:rtl/>
        </w:rPr>
        <w:t>ابتدائاً</w:t>
      </w:r>
      <w:r>
        <w:rPr>
          <w:rFonts w:hint="cs"/>
          <w:rtl/>
        </w:rPr>
        <w:t xml:space="preserve"> جعل حکم و </w:t>
      </w:r>
      <w:r w:rsidR="00C55C28">
        <w:rPr>
          <w:rFonts w:hint="cs"/>
          <w:rtl/>
        </w:rPr>
        <w:t>تأسیس</w:t>
      </w:r>
      <w:r>
        <w:rPr>
          <w:rFonts w:hint="cs"/>
          <w:rtl/>
        </w:rPr>
        <w:t xml:space="preserve"> حکم شرعی </w:t>
      </w:r>
      <w:r w:rsidR="007F0C79">
        <w:rPr>
          <w:rFonts w:hint="cs"/>
          <w:rtl/>
        </w:rPr>
        <w:t>می‌کند</w:t>
      </w:r>
      <w:r>
        <w:rPr>
          <w:rFonts w:hint="cs"/>
          <w:rtl/>
        </w:rPr>
        <w:t xml:space="preserve"> بدون اینکه مذاق را پیوست دلیلی برای تعمیم قرار دهیم. مذاق شرع </w:t>
      </w:r>
      <w:r w:rsidR="007F0C79">
        <w:rPr>
          <w:rFonts w:hint="cs"/>
          <w:rtl/>
        </w:rPr>
        <w:t>می‌تواند</w:t>
      </w:r>
      <w:r>
        <w:rPr>
          <w:rFonts w:hint="cs"/>
          <w:rtl/>
        </w:rPr>
        <w:t xml:space="preserve"> </w:t>
      </w:r>
      <w:r w:rsidR="00C55C28">
        <w:rPr>
          <w:rFonts w:hint="cs"/>
          <w:rtl/>
        </w:rPr>
        <w:t>تأسیس</w:t>
      </w:r>
      <w:r>
        <w:rPr>
          <w:rFonts w:hint="cs"/>
          <w:rtl/>
        </w:rPr>
        <w:t xml:space="preserve"> حکم کند بدون اتکا به دلیل دیگر و تعمیم آن. این را بارها در تعمیم حکم بحث </w:t>
      </w:r>
      <w:r w:rsidR="007F0C79">
        <w:rPr>
          <w:rFonts w:hint="cs"/>
          <w:rtl/>
        </w:rPr>
        <w:t>کرده‌ایم</w:t>
      </w:r>
      <w:r>
        <w:rPr>
          <w:rFonts w:hint="cs"/>
          <w:rtl/>
        </w:rPr>
        <w:t xml:space="preserve">. </w:t>
      </w:r>
      <w:r w:rsidR="007F0C79">
        <w:rPr>
          <w:rFonts w:hint="cs"/>
          <w:rtl/>
        </w:rPr>
        <w:t>به‌عبارت‌دیگر</w:t>
      </w:r>
      <w:r w:rsidR="007C3835">
        <w:rPr>
          <w:rFonts w:hint="cs"/>
          <w:rtl/>
        </w:rPr>
        <w:t xml:space="preserve"> ده عاملی که برای تسری</w:t>
      </w:r>
      <w:r>
        <w:rPr>
          <w:rFonts w:hint="cs"/>
          <w:rtl/>
        </w:rPr>
        <w:t xml:space="preserve"> حکم در اصول محل بحث </w:t>
      </w:r>
      <w:r w:rsidR="007F0C79">
        <w:rPr>
          <w:rFonts w:hint="cs"/>
          <w:rtl/>
        </w:rPr>
        <w:t>قراردادیم</w:t>
      </w:r>
      <w:r>
        <w:rPr>
          <w:rFonts w:hint="cs"/>
          <w:rtl/>
        </w:rPr>
        <w:t xml:space="preserve"> بر دو طایفه بود:</w:t>
      </w:r>
    </w:p>
    <w:p w:rsidR="00DD2ABD" w:rsidRDefault="00DD2ABD" w:rsidP="00DD2ABD">
      <w:pPr>
        <w:pStyle w:val="ListParagraph"/>
        <w:numPr>
          <w:ilvl w:val="0"/>
          <w:numId w:val="40"/>
        </w:numPr>
      </w:pPr>
      <w:r>
        <w:rPr>
          <w:rFonts w:hint="cs"/>
          <w:rtl/>
        </w:rPr>
        <w:t xml:space="preserve">بعضی </w:t>
      </w:r>
      <w:r w:rsidR="007F0C79">
        <w:rPr>
          <w:rFonts w:hint="cs"/>
          <w:rtl/>
        </w:rPr>
        <w:t>کاملاً</w:t>
      </w:r>
      <w:r>
        <w:rPr>
          <w:rFonts w:hint="cs"/>
          <w:rtl/>
        </w:rPr>
        <w:t xml:space="preserve"> پیوست و منضم به دلیلی </w:t>
      </w:r>
      <w:r w:rsidR="007F0C79">
        <w:rPr>
          <w:rFonts w:hint="cs"/>
          <w:rtl/>
        </w:rPr>
        <w:t>می‌شود</w:t>
      </w:r>
      <w:r>
        <w:rPr>
          <w:rFonts w:hint="cs"/>
          <w:rtl/>
        </w:rPr>
        <w:t xml:space="preserve"> و آن را تعمیم </w:t>
      </w:r>
      <w:r w:rsidR="007F0C79">
        <w:rPr>
          <w:rFonts w:hint="cs"/>
          <w:rtl/>
        </w:rPr>
        <w:t>می‌دهد</w:t>
      </w:r>
      <w:r>
        <w:rPr>
          <w:rFonts w:hint="cs"/>
          <w:rtl/>
        </w:rPr>
        <w:t xml:space="preserve"> یا تضییق ایجاد </w:t>
      </w:r>
      <w:r w:rsidR="007F0C79">
        <w:rPr>
          <w:rFonts w:hint="cs"/>
          <w:rtl/>
        </w:rPr>
        <w:t>می‌کند</w:t>
      </w:r>
      <w:r>
        <w:rPr>
          <w:rFonts w:hint="cs"/>
          <w:rtl/>
        </w:rPr>
        <w:t>.</w:t>
      </w:r>
    </w:p>
    <w:p w:rsidR="00DD2ABD" w:rsidRDefault="00DD2ABD" w:rsidP="00DD2ABD">
      <w:pPr>
        <w:pStyle w:val="ListParagraph"/>
        <w:numPr>
          <w:ilvl w:val="0"/>
          <w:numId w:val="40"/>
        </w:numPr>
      </w:pPr>
      <w:r>
        <w:rPr>
          <w:rFonts w:hint="cs"/>
          <w:rtl/>
        </w:rPr>
        <w:t xml:space="preserve">برخی از آنها گاهی </w:t>
      </w:r>
      <w:r w:rsidR="007F0C79">
        <w:rPr>
          <w:rFonts w:hint="cs"/>
          <w:rtl/>
        </w:rPr>
        <w:t>مؤسس</w:t>
      </w:r>
      <w:r>
        <w:rPr>
          <w:rFonts w:hint="cs"/>
          <w:rtl/>
        </w:rPr>
        <w:t xml:space="preserve"> یا کاشف </w:t>
      </w:r>
      <w:r w:rsidR="007F0C79">
        <w:rPr>
          <w:rFonts w:hint="cs"/>
          <w:rtl/>
        </w:rPr>
        <w:t>حکم‌اند</w:t>
      </w:r>
      <w:r>
        <w:rPr>
          <w:rFonts w:hint="cs"/>
          <w:rtl/>
        </w:rPr>
        <w:t xml:space="preserve"> بدون اینکه ناظر به دلیل دیگری باشد. ارتکاز و </w:t>
      </w:r>
      <w:r w:rsidR="007F0C79">
        <w:rPr>
          <w:rFonts w:hint="cs"/>
          <w:rtl/>
        </w:rPr>
        <w:t>مقاصد</w:t>
      </w:r>
      <w:r>
        <w:rPr>
          <w:rFonts w:hint="cs"/>
          <w:rtl/>
        </w:rPr>
        <w:t xml:space="preserve"> و مذاق از انی دلیل بود.</w:t>
      </w:r>
    </w:p>
    <w:p w:rsidR="00DD2ABD" w:rsidRDefault="00DD2ABD" w:rsidP="00345B7B">
      <w:pPr>
        <w:rPr>
          <w:rtl/>
        </w:rPr>
      </w:pPr>
      <w:r>
        <w:rPr>
          <w:rFonts w:hint="cs"/>
          <w:rtl/>
        </w:rPr>
        <w:t xml:space="preserve">این دلیل اول است و گفته </w:t>
      </w:r>
      <w:r w:rsidR="007F0C79">
        <w:rPr>
          <w:rFonts w:hint="cs"/>
          <w:rtl/>
        </w:rPr>
        <w:t>می‌شود</w:t>
      </w:r>
      <w:r>
        <w:rPr>
          <w:rFonts w:hint="cs"/>
          <w:rtl/>
        </w:rPr>
        <w:t xml:space="preserve"> اگر کسی با مذاق شارع مأنوس باشد یقین پیدا </w:t>
      </w:r>
      <w:r w:rsidR="007F0C79">
        <w:rPr>
          <w:rFonts w:hint="cs"/>
          <w:rtl/>
        </w:rPr>
        <w:t>می‌کند</w:t>
      </w:r>
      <w:r>
        <w:rPr>
          <w:rFonts w:hint="cs"/>
          <w:rtl/>
        </w:rPr>
        <w:t xml:space="preserve"> به اینکه نگاه به جنس موافق یا مخالف در هر شرایطی اگر </w:t>
      </w:r>
      <w:r w:rsidR="007F0C79">
        <w:rPr>
          <w:rFonts w:hint="cs"/>
          <w:rtl/>
        </w:rPr>
        <w:t>به‌قصد</w:t>
      </w:r>
      <w:r>
        <w:rPr>
          <w:rFonts w:hint="cs"/>
          <w:rtl/>
        </w:rPr>
        <w:t xml:space="preserve"> تلذذ و التذاذ بود حرام است. اگر به مذاق شرع بخواهیم التذاذ کنیم تقریرش این است. در ارتکاز متشرعه این است که نگاه متلذذانه حرام است </w:t>
      </w:r>
      <w:r w:rsidR="00345B7B">
        <w:rPr>
          <w:b/>
          <w:bCs/>
          <w:color w:val="007200"/>
          <w:rtl/>
        </w:rPr>
        <w:t>﴿إِلاَّ عَلى‏ أَزْواجِهِمْ أَوْ ما مَلَكَتْ أَيْمانُهُم‏﴾</w:t>
      </w:r>
      <w:r w:rsidR="00345B7B">
        <w:rPr>
          <w:rStyle w:val="FootnoteReference"/>
          <w:b/>
          <w:bCs/>
          <w:color w:val="007200"/>
          <w:rtl/>
        </w:rPr>
        <w:footnoteReference w:id="2"/>
      </w:r>
    </w:p>
    <w:p w:rsidR="00DD2ABD" w:rsidRDefault="007F0C79" w:rsidP="00DD2ABD">
      <w:pPr>
        <w:rPr>
          <w:rtl/>
        </w:rPr>
      </w:pPr>
      <w:r>
        <w:rPr>
          <w:rFonts w:hint="cs"/>
          <w:rtl/>
        </w:rPr>
        <w:t>سؤال</w:t>
      </w:r>
      <w:r w:rsidR="00DD2ABD">
        <w:rPr>
          <w:rFonts w:hint="cs"/>
          <w:rtl/>
        </w:rPr>
        <w:t xml:space="preserve">: فرق بین تلذذ جنسی و </w:t>
      </w:r>
      <w:r>
        <w:rPr>
          <w:rFonts w:hint="cs"/>
          <w:rtl/>
        </w:rPr>
        <w:t>غیرجنسی</w:t>
      </w:r>
      <w:r w:rsidR="00DD2ABD">
        <w:rPr>
          <w:rFonts w:hint="cs"/>
          <w:rtl/>
        </w:rPr>
        <w:t xml:space="preserve"> هست؟</w:t>
      </w:r>
    </w:p>
    <w:p w:rsidR="00DD2ABD" w:rsidRDefault="00DD2ABD" w:rsidP="0047098B">
      <w:pPr>
        <w:rPr>
          <w:rtl/>
        </w:rPr>
      </w:pPr>
      <w:r>
        <w:rPr>
          <w:rFonts w:hint="cs"/>
          <w:rtl/>
        </w:rPr>
        <w:t xml:space="preserve">جواب: ممکن است بحث کنیم. در روایت علی ابن سوید گفت </w:t>
      </w:r>
      <w:r w:rsidR="0047098B">
        <w:rPr>
          <w:rFonts w:hint="cs"/>
          <w:rtl/>
        </w:rPr>
        <w:t>«</w:t>
      </w:r>
      <w:r w:rsidR="0047098B" w:rsidRPr="0047098B">
        <w:rPr>
          <w:color w:val="008000"/>
          <w:rtl/>
        </w:rPr>
        <w:t>إِنِّي مُبْتَلًى بِالنَّظَرِ إِلَى الْمَرْأَةِ الْجَمِيلَة</w:t>
      </w:r>
      <w:r w:rsidR="0047098B">
        <w:rPr>
          <w:rFonts w:hint="cs"/>
          <w:rtl/>
        </w:rPr>
        <w:t>»</w:t>
      </w:r>
      <w:r>
        <w:rPr>
          <w:rFonts w:hint="cs"/>
          <w:rtl/>
        </w:rPr>
        <w:t xml:space="preserve">. حضرت گفت </w:t>
      </w:r>
      <w:r w:rsidR="00345B7B">
        <w:rPr>
          <w:rFonts w:hint="cs"/>
          <w:rtl/>
        </w:rPr>
        <w:t>«</w:t>
      </w:r>
      <w:r w:rsidR="00345B7B" w:rsidRPr="00345B7B">
        <w:rPr>
          <w:color w:val="008000"/>
          <w:rtl/>
        </w:rPr>
        <w:t>لَا بَأْسَ إِذَا عَرَفَ اللَّهُ مِنْ نِيَّتِكَ الصِّدْق‏</w:t>
      </w:r>
      <w:r w:rsidR="00345B7B">
        <w:rPr>
          <w:rFonts w:hint="cs"/>
          <w:rtl/>
        </w:rPr>
        <w:t>»</w:t>
      </w:r>
      <w:r>
        <w:rPr>
          <w:rFonts w:hint="cs"/>
          <w:rtl/>
        </w:rPr>
        <w:t>.</w:t>
      </w:r>
      <w:r w:rsidR="00345B7B">
        <w:rPr>
          <w:rStyle w:val="FootnoteReference"/>
          <w:rtl/>
        </w:rPr>
        <w:footnoteReference w:id="3"/>
      </w:r>
      <w:r>
        <w:rPr>
          <w:rFonts w:hint="cs"/>
          <w:rtl/>
        </w:rPr>
        <w:t xml:space="preserve"> بعضی تفسیر </w:t>
      </w:r>
      <w:r w:rsidR="007F0C79">
        <w:rPr>
          <w:rFonts w:hint="cs"/>
          <w:rtl/>
        </w:rPr>
        <w:t>کرده‌اند</w:t>
      </w:r>
      <w:r>
        <w:rPr>
          <w:rFonts w:hint="cs"/>
          <w:rtl/>
        </w:rPr>
        <w:t xml:space="preserve"> یعنی نگاهت شهوانی نیست. تفاوت </w:t>
      </w:r>
      <w:r w:rsidR="007F0C79">
        <w:rPr>
          <w:rFonts w:hint="cs"/>
          <w:rtl/>
        </w:rPr>
        <w:t>چهره‌ها</w:t>
      </w:r>
      <w:r>
        <w:rPr>
          <w:rFonts w:hint="cs"/>
          <w:rtl/>
        </w:rPr>
        <w:t xml:space="preserve"> در حال فرد تغییر ایجاد </w:t>
      </w:r>
      <w:r w:rsidR="007F0C79">
        <w:rPr>
          <w:rFonts w:hint="cs"/>
          <w:rtl/>
        </w:rPr>
        <w:t>می‌کند</w:t>
      </w:r>
      <w:r>
        <w:rPr>
          <w:rFonts w:hint="cs"/>
          <w:rtl/>
        </w:rPr>
        <w:t xml:space="preserve"> مثل دیدن ساختمان زیبا یا زشت. بین خود و خدای خودت باید ببینی آیا صادقی </w:t>
      </w:r>
      <w:r w:rsidR="007F0C79">
        <w:rPr>
          <w:rFonts w:hint="cs"/>
          <w:rtl/>
        </w:rPr>
        <w:t>یا نه</w:t>
      </w:r>
      <w:r>
        <w:rPr>
          <w:rFonts w:hint="cs"/>
          <w:rtl/>
        </w:rPr>
        <w:t>.</w:t>
      </w:r>
    </w:p>
    <w:p w:rsidR="00DD2ABD" w:rsidRDefault="00DD2ABD" w:rsidP="00DD2ABD">
      <w:pPr>
        <w:rPr>
          <w:rtl/>
        </w:rPr>
      </w:pPr>
      <w:r>
        <w:rPr>
          <w:rFonts w:hint="cs"/>
          <w:rtl/>
        </w:rPr>
        <w:t xml:space="preserve">تقریر نظام سازی شهید صدر را ممکن است کسی بگوید. اینکه جملات </w:t>
      </w:r>
      <w:r w:rsidR="007F0C79">
        <w:rPr>
          <w:rFonts w:hint="cs"/>
          <w:rtl/>
        </w:rPr>
        <w:t>متفرقه‌ای</w:t>
      </w:r>
      <w:r>
        <w:rPr>
          <w:rFonts w:hint="cs"/>
          <w:rtl/>
        </w:rPr>
        <w:t xml:space="preserve"> در ابواب مختلف است کسی اگر کنار هم بگذارد </w:t>
      </w:r>
      <w:r w:rsidR="007F0C79">
        <w:rPr>
          <w:rFonts w:hint="cs"/>
          <w:rtl/>
        </w:rPr>
        <w:t>می‌فهمد</w:t>
      </w:r>
      <w:r>
        <w:rPr>
          <w:rFonts w:hint="cs"/>
          <w:rtl/>
        </w:rPr>
        <w:t xml:space="preserve"> شارع </w:t>
      </w:r>
      <w:r w:rsidR="007F0C79">
        <w:rPr>
          <w:rFonts w:hint="cs"/>
          <w:rtl/>
        </w:rPr>
        <w:t>نمی‌خواهد</w:t>
      </w:r>
      <w:r>
        <w:rPr>
          <w:rFonts w:hint="cs"/>
          <w:rtl/>
        </w:rPr>
        <w:t xml:space="preserve"> التذاذ پخش باشد. </w:t>
      </w:r>
    </w:p>
    <w:p w:rsidR="00DD2ABD" w:rsidRDefault="007F0C79" w:rsidP="00DD2ABD">
      <w:pPr>
        <w:rPr>
          <w:rtl/>
        </w:rPr>
      </w:pPr>
      <w:r>
        <w:rPr>
          <w:rFonts w:hint="cs"/>
          <w:rtl/>
        </w:rPr>
        <w:t>سؤال</w:t>
      </w:r>
      <w:r w:rsidR="00DD2ABD">
        <w:rPr>
          <w:rFonts w:hint="cs"/>
          <w:rtl/>
        </w:rPr>
        <w:t>: اصل بر حرمت است</w:t>
      </w:r>
    </w:p>
    <w:p w:rsidR="00DD2ABD" w:rsidRDefault="00DD2ABD" w:rsidP="00DD2ABD">
      <w:pPr>
        <w:rPr>
          <w:rtl/>
        </w:rPr>
      </w:pPr>
      <w:r>
        <w:rPr>
          <w:rFonts w:hint="cs"/>
          <w:rtl/>
        </w:rPr>
        <w:t>جواب: بحث این است</w:t>
      </w:r>
      <w:r w:rsidR="007F0C79">
        <w:rPr>
          <w:rFonts w:hint="cs"/>
          <w:rtl/>
        </w:rPr>
        <w:t xml:space="preserve"> ک</w:t>
      </w:r>
      <w:r>
        <w:rPr>
          <w:rFonts w:hint="cs"/>
          <w:rtl/>
        </w:rPr>
        <w:t xml:space="preserve">ه دلیل لبی چند تقریر دارد: مذاق شرع، ارتکاز متشرعه، مذاق شرع، کشف قاعده از تجمیع نصوص و فروع که همان نظام سازی است. این چهار تقریر دلیل اول است و </w:t>
      </w:r>
      <w:r w:rsidR="007F0C79">
        <w:rPr>
          <w:rFonts w:hint="cs"/>
          <w:rtl/>
        </w:rPr>
        <w:t>طبعاً</w:t>
      </w:r>
      <w:r>
        <w:rPr>
          <w:rFonts w:hint="cs"/>
          <w:rtl/>
        </w:rPr>
        <w:t xml:space="preserve"> لبی است. </w:t>
      </w:r>
    </w:p>
    <w:p w:rsidR="00DD2ABD" w:rsidRDefault="00DD2ABD" w:rsidP="00DD2ABD">
      <w:pPr>
        <w:rPr>
          <w:rtl/>
        </w:rPr>
      </w:pPr>
      <w:r>
        <w:rPr>
          <w:rFonts w:hint="cs"/>
          <w:rtl/>
        </w:rPr>
        <w:t xml:space="preserve">این دلیل اول که چهار تقریر </w:t>
      </w:r>
      <w:r w:rsidR="007F0C79">
        <w:rPr>
          <w:rFonts w:hint="cs"/>
          <w:rtl/>
        </w:rPr>
        <w:t>می‌توان</w:t>
      </w:r>
      <w:r>
        <w:rPr>
          <w:rFonts w:hint="cs"/>
          <w:rtl/>
        </w:rPr>
        <w:t xml:space="preserve"> برای آن ذکر کرد. </w:t>
      </w:r>
    </w:p>
    <w:p w:rsidR="00DD2ABD" w:rsidRDefault="00DD2ABD" w:rsidP="00DD2ABD">
      <w:pPr>
        <w:rPr>
          <w:rtl/>
        </w:rPr>
      </w:pPr>
      <w:r>
        <w:rPr>
          <w:rFonts w:hint="cs"/>
          <w:rtl/>
        </w:rPr>
        <w:lastRenderedPageBreak/>
        <w:t xml:space="preserve">در این دلیل اول به نظر </w:t>
      </w:r>
      <w:r w:rsidR="007F0C79">
        <w:rPr>
          <w:rFonts w:hint="cs"/>
          <w:rtl/>
        </w:rPr>
        <w:t>می‌آید</w:t>
      </w:r>
      <w:r>
        <w:rPr>
          <w:rFonts w:hint="cs"/>
          <w:rtl/>
        </w:rPr>
        <w:t xml:space="preserve"> اصلش </w:t>
      </w:r>
      <w:r w:rsidR="007F0C79">
        <w:rPr>
          <w:rFonts w:hint="cs"/>
          <w:rtl/>
        </w:rPr>
        <w:t>قابل‌بحث</w:t>
      </w:r>
      <w:r>
        <w:rPr>
          <w:rFonts w:hint="cs"/>
          <w:rtl/>
        </w:rPr>
        <w:t xml:space="preserve"> نیست و ممکن است بگوییم مستند به </w:t>
      </w:r>
      <w:r w:rsidR="007F0C79">
        <w:rPr>
          <w:rFonts w:hint="cs"/>
          <w:rtl/>
        </w:rPr>
        <w:t>ادله‌ای</w:t>
      </w:r>
      <w:r>
        <w:rPr>
          <w:rFonts w:hint="cs"/>
          <w:rtl/>
        </w:rPr>
        <w:t xml:space="preserve"> است که </w:t>
      </w:r>
      <w:r w:rsidR="007F0C79">
        <w:rPr>
          <w:rFonts w:hint="cs"/>
          <w:rtl/>
        </w:rPr>
        <w:t>می‌گوییم</w:t>
      </w:r>
      <w:r>
        <w:rPr>
          <w:rFonts w:hint="cs"/>
          <w:rtl/>
        </w:rPr>
        <w:t xml:space="preserve">. </w:t>
      </w:r>
      <w:r w:rsidR="00E47AD8">
        <w:rPr>
          <w:rFonts w:hint="cs"/>
          <w:rtl/>
        </w:rPr>
        <w:t xml:space="preserve">اگر ادله هم نباشد این جایگاه خودش هم باشد و اگر در آن ادله تردید کرد باز این قواعد حکم را افاده </w:t>
      </w:r>
      <w:r w:rsidR="007F0C79">
        <w:rPr>
          <w:rFonts w:hint="cs"/>
          <w:rtl/>
        </w:rPr>
        <w:t>می‌کند</w:t>
      </w:r>
      <w:r w:rsidR="00E47AD8">
        <w:rPr>
          <w:rFonts w:hint="cs"/>
          <w:rtl/>
        </w:rPr>
        <w:t>.</w:t>
      </w:r>
    </w:p>
    <w:p w:rsidR="00E47AD8" w:rsidRDefault="00E47AD8" w:rsidP="00DD2ABD">
      <w:pPr>
        <w:rPr>
          <w:rtl/>
        </w:rPr>
      </w:pPr>
      <w:r>
        <w:rPr>
          <w:rFonts w:hint="cs"/>
          <w:rtl/>
        </w:rPr>
        <w:t xml:space="preserve">تقریر پنجم هم اجماع است که </w:t>
      </w:r>
      <w:r w:rsidR="007F0C79">
        <w:rPr>
          <w:rFonts w:hint="cs"/>
          <w:rtl/>
        </w:rPr>
        <w:t>می‌شود</w:t>
      </w:r>
      <w:r>
        <w:rPr>
          <w:rFonts w:hint="cs"/>
          <w:rtl/>
        </w:rPr>
        <w:t xml:space="preserve"> ادعا کرد. این چند تقریری است که دلیل لبی است و حکم را افاده </w:t>
      </w:r>
      <w:r w:rsidR="007F0C79">
        <w:rPr>
          <w:rFonts w:hint="cs"/>
          <w:rtl/>
        </w:rPr>
        <w:t>می‌کند</w:t>
      </w:r>
      <w:r>
        <w:rPr>
          <w:rFonts w:hint="cs"/>
          <w:rtl/>
        </w:rPr>
        <w:t xml:space="preserve"> ولو اینکه ادله بعدی تمام نباشد. چند نکته خوب است توجه شود:</w:t>
      </w:r>
    </w:p>
    <w:p w:rsidR="00E47AD8" w:rsidRDefault="00E47AD8" w:rsidP="00C55C28">
      <w:pPr>
        <w:pStyle w:val="Heading2"/>
        <w:rPr>
          <w:rtl/>
        </w:rPr>
      </w:pPr>
      <w:bookmarkStart w:id="12" w:name="_Toc88396301"/>
      <w:r>
        <w:rPr>
          <w:rFonts w:hint="cs"/>
          <w:rtl/>
        </w:rPr>
        <w:t>نکته اول:</w:t>
      </w:r>
      <w:r w:rsidR="00C55C28">
        <w:rPr>
          <w:rFonts w:hint="cs"/>
          <w:rtl/>
        </w:rPr>
        <w:t xml:space="preserve"> اطلاق دلیل لبی:</w:t>
      </w:r>
      <w:bookmarkEnd w:id="12"/>
    </w:p>
    <w:p w:rsidR="00E47AD8" w:rsidRDefault="0047098B" w:rsidP="0047098B">
      <w:pPr>
        <w:rPr>
          <w:rtl/>
        </w:rPr>
      </w:pPr>
      <w:r>
        <w:rPr>
          <w:rFonts w:hint="cs"/>
          <w:rtl/>
        </w:rPr>
        <w:t>اینها ادله لبیه‌</w:t>
      </w:r>
      <w:r w:rsidR="00E47AD8">
        <w:rPr>
          <w:rFonts w:hint="cs"/>
          <w:rtl/>
        </w:rPr>
        <w:t xml:space="preserve">اند و </w:t>
      </w:r>
      <w:r w:rsidR="007F0C79">
        <w:rPr>
          <w:rFonts w:hint="cs"/>
          <w:rtl/>
        </w:rPr>
        <w:t>سؤالی</w:t>
      </w:r>
      <w:r w:rsidR="00E47AD8">
        <w:rPr>
          <w:rFonts w:hint="cs"/>
          <w:rtl/>
        </w:rPr>
        <w:t xml:space="preserve"> که </w:t>
      </w:r>
      <w:r w:rsidR="007F0C79">
        <w:rPr>
          <w:rFonts w:hint="cs"/>
          <w:rtl/>
        </w:rPr>
        <w:t>قابل‌طرح</w:t>
      </w:r>
      <w:r w:rsidR="00E47AD8">
        <w:rPr>
          <w:rFonts w:hint="cs"/>
          <w:rtl/>
        </w:rPr>
        <w:t xml:space="preserve"> است این است که آیا اینجا ادله لبی مفید </w:t>
      </w:r>
      <w:r w:rsidR="007F0C79">
        <w:rPr>
          <w:rFonts w:hint="cs"/>
          <w:rtl/>
        </w:rPr>
        <w:t>اطلاق‌اند</w:t>
      </w:r>
      <w:r w:rsidR="00E47AD8">
        <w:rPr>
          <w:rFonts w:hint="cs"/>
          <w:rtl/>
        </w:rPr>
        <w:t xml:space="preserve"> یا حکم را به نحو </w:t>
      </w:r>
      <w:r w:rsidR="007F0C79">
        <w:rPr>
          <w:rFonts w:hint="cs"/>
          <w:rtl/>
        </w:rPr>
        <w:t>فی‌الجمله</w:t>
      </w:r>
      <w:r w:rsidR="00E47AD8">
        <w:rPr>
          <w:rFonts w:hint="cs"/>
          <w:rtl/>
        </w:rPr>
        <w:t xml:space="preserve"> افاده </w:t>
      </w:r>
      <w:r w:rsidR="007F0C79">
        <w:rPr>
          <w:rFonts w:hint="cs"/>
          <w:rtl/>
        </w:rPr>
        <w:t>می‌کنند</w:t>
      </w:r>
      <w:r w:rsidR="00E47AD8">
        <w:rPr>
          <w:rFonts w:hint="cs"/>
          <w:rtl/>
        </w:rPr>
        <w:t xml:space="preserve">؟ به شکل عادی پاسخ این است که دلیل لبی اطلاق ندارد و باید </w:t>
      </w:r>
      <w:r w:rsidR="007F0C79">
        <w:rPr>
          <w:rFonts w:hint="cs"/>
          <w:rtl/>
        </w:rPr>
        <w:t>به‌قدر</w:t>
      </w:r>
      <w:r w:rsidR="00E47AD8">
        <w:rPr>
          <w:rFonts w:hint="cs"/>
          <w:rtl/>
        </w:rPr>
        <w:t xml:space="preserve"> متیقن اکتفا کرد. این جواب متعارف در پاسخ به </w:t>
      </w:r>
      <w:r w:rsidR="007F0C79">
        <w:rPr>
          <w:rFonts w:hint="cs"/>
          <w:rtl/>
        </w:rPr>
        <w:t>سؤالی</w:t>
      </w:r>
      <w:r w:rsidR="00E47AD8">
        <w:rPr>
          <w:rFonts w:hint="cs"/>
          <w:rtl/>
        </w:rPr>
        <w:t xml:space="preserve"> از این قبیل است. اما در اینجا ممکن است کسی اکتفا </w:t>
      </w:r>
      <w:r w:rsidR="007F0C79">
        <w:rPr>
          <w:rFonts w:hint="cs"/>
          <w:rtl/>
        </w:rPr>
        <w:t>به‌قدر</w:t>
      </w:r>
      <w:r w:rsidR="00E47AD8">
        <w:rPr>
          <w:rFonts w:hint="cs"/>
          <w:rtl/>
        </w:rPr>
        <w:t xml:space="preserve"> متیقن در ادله لبیه را </w:t>
      </w:r>
      <w:r w:rsidR="007F0C79">
        <w:rPr>
          <w:rFonts w:hint="cs"/>
          <w:rtl/>
        </w:rPr>
        <w:t>به‌قدر</w:t>
      </w:r>
      <w:r w:rsidR="00E47AD8">
        <w:rPr>
          <w:rFonts w:hint="cs"/>
          <w:rtl/>
        </w:rPr>
        <w:t xml:space="preserve"> مطلق نپذیرد. آن جایی است که دلیل لبی </w:t>
      </w:r>
      <w:r w:rsidR="007F0C79">
        <w:rPr>
          <w:rFonts w:hint="cs"/>
          <w:rtl/>
        </w:rPr>
        <w:t>درجایی</w:t>
      </w:r>
      <w:r w:rsidR="00E47AD8">
        <w:rPr>
          <w:rFonts w:hint="cs"/>
          <w:rtl/>
        </w:rPr>
        <w:t xml:space="preserve"> که شک وجود دارد تمام است. دلیل لبی همراه ضوابطی است که در آن گویا اطلاق هم هست یا نتیجه اطلاق در آن است. در هر موردی که شک دارید حرمت نظر مع الالتذاذ اختصاص به کافر دارد یا مسلم را هم </w:t>
      </w:r>
      <w:r w:rsidR="007F0C79">
        <w:rPr>
          <w:rFonts w:hint="cs"/>
          <w:rtl/>
        </w:rPr>
        <w:t>می‌گیرد</w:t>
      </w:r>
      <w:r w:rsidR="00E47AD8">
        <w:rPr>
          <w:rFonts w:hint="cs"/>
          <w:rtl/>
        </w:rPr>
        <w:t xml:space="preserve"> اگر سراغ موردی بروی که شک داری </w:t>
      </w:r>
      <w:r w:rsidR="007F0C79">
        <w:rPr>
          <w:rFonts w:hint="cs"/>
          <w:rtl/>
        </w:rPr>
        <w:t>می‌بینی</w:t>
      </w:r>
      <w:r w:rsidR="00E47AD8">
        <w:rPr>
          <w:rFonts w:hint="cs"/>
          <w:rtl/>
        </w:rPr>
        <w:t xml:space="preserve"> مذاق شرع و التذاذ </w:t>
      </w:r>
      <w:r w:rsidR="00C55C28">
        <w:rPr>
          <w:rFonts w:hint="cs"/>
          <w:rtl/>
        </w:rPr>
        <w:t>همان‌جا</w:t>
      </w:r>
      <w:r w:rsidR="00E47AD8">
        <w:rPr>
          <w:rFonts w:hint="cs"/>
          <w:rtl/>
        </w:rPr>
        <w:t xml:space="preserve"> هم هست. پس گاهی </w:t>
      </w:r>
      <w:r w:rsidR="00C55C28">
        <w:rPr>
          <w:rFonts w:hint="cs"/>
          <w:rtl/>
        </w:rPr>
        <w:t>این‌طور</w:t>
      </w:r>
      <w:r w:rsidR="00E47AD8">
        <w:rPr>
          <w:rFonts w:hint="cs"/>
          <w:rtl/>
        </w:rPr>
        <w:t xml:space="preserve"> است که دلیل لبی اطلاق است و نتیجه اطلاق است. یعنی مذاق شرع و ارتکاز متشرعه است. پس </w:t>
      </w:r>
      <w:r w:rsidR="007C3835">
        <w:rPr>
          <w:rFonts w:hint="cs"/>
          <w:rtl/>
        </w:rPr>
        <w:t>ابتدائاً</w:t>
      </w:r>
      <w:r w:rsidR="00E47AD8">
        <w:rPr>
          <w:rFonts w:hint="cs"/>
          <w:rtl/>
        </w:rPr>
        <w:t xml:space="preserve"> در پاسخ به </w:t>
      </w:r>
      <w:r w:rsidR="007F0C79">
        <w:rPr>
          <w:rFonts w:hint="cs"/>
          <w:rtl/>
        </w:rPr>
        <w:t>سؤال</w:t>
      </w:r>
      <w:r w:rsidR="00E47AD8">
        <w:rPr>
          <w:rFonts w:hint="cs"/>
          <w:rtl/>
        </w:rPr>
        <w:t xml:space="preserve"> جواب این است که دلیل لبی است و ن</w:t>
      </w:r>
      <w:r w:rsidR="007F0C79">
        <w:rPr>
          <w:rFonts w:hint="cs"/>
          <w:rtl/>
        </w:rPr>
        <w:t>می‌شود</w:t>
      </w:r>
      <w:r w:rsidR="00E47AD8">
        <w:rPr>
          <w:rFonts w:hint="cs"/>
          <w:rtl/>
        </w:rPr>
        <w:t xml:space="preserve"> به عموم و اطلاقش استناد کرد. احتمال دوم اینکه این قاعده از </w:t>
      </w:r>
      <w:r w:rsidR="00C55C28">
        <w:rPr>
          <w:rFonts w:hint="cs"/>
          <w:rtl/>
        </w:rPr>
        <w:t>پایه‌ای</w:t>
      </w:r>
      <w:r w:rsidR="00E47AD8">
        <w:rPr>
          <w:rFonts w:hint="cs"/>
          <w:rtl/>
        </w:rPr>
        <w:t xml:space="preserve"> برخوردار است که جای شک </w:t>
      </w:r>
      <w:r w:rsidR="00C55C28">
        <w:rPr>
          <w:rFonts w:hint="cs"/>
          <w:rtl/>
        </w:rPr>
        <w:t>نمی‌گذارد</w:t>
      </w:r>
      <w:r w:rsidR="00E47AD8">
        <w:rPr>
          <w:rFonts w:hint="cs"/>
          <w:rtl/>
        </w:rPr>
        <w:t xml:space="preserve"> و </w:t>
      </w:r>
      <w:r w:rsidR="00C55C28">
        <w:rPr>
          <w:rFonts w:hint="cs"/>
          <w:rtl/>
        </w:rPr>
        <w:t>هر جا</w:t>
      </w:r>
      <w:r w:rsidR="00E47AD8">
        <w:rPr>
          <w:rFonts w:hint="cs"/>
          <w:rtl/>
        </w:rPr>
        <w:t xml:space="preserve"> شک کنی مذاق شرع حاضر است. احتمال سوم شاید بهترین باشد که نه آن و نه این. نه اینکه قاعده مجمله</w:t>
      </w:r>
      <w:r>
        <w:rPr>
          <w:rFonts w:hint="cs"/>
          <w:rtl/>
        </w:rPr>
        <w:t>‌</w:t>
      </w:r>
      <w:r w:rsidR="00E47AD8">
        <w:rPr>
          <w:rFonts w:hint="cs"/>
          <w:rtl/>
        </w:rPr>
        <w:t xml:space="preserve">ای را </w:t>
      </w:r>
      <w:r w:rsidR="007F0C79">
        <w:rPr>
          <w:rFonts w:hint="cs"/>
          <w:rtl/>
        </w:rPr>
        <w:t>می‌گویند</w:t>
      </w:r>
      <w:r w:rsidR="00E47AD8">
        <w:rPr>
          <w:rFonts w:hint="cs"/>
          <w:rtl/>
        </w:rPr>
        <w:t xml:space="preserve"> که قدر متیقن را فقط شامل شود و نه اینکه بگوییم در همه موارد شمول دارد</w:t>
      </w:r>
      <w:r w:rsidR="00C55C28">
        <w:rPr>
          <w:rFonts w:hint="cs"/>
          <w:rtl/>
        </w:rPr>
        <w:t>. عمده موارد شمول دارد اما جاها</w:t>
      </w:r>
      <w:r w:rsidR="00E47AD8">
        <w:rPr>
          <w:rFonts w:hint="cs"/>
          <w:rtl/>
        </w:rPr>
        <w:t xml:space="preserve">یی ممکن است تردید باشد مثل نظر در مقام ازدواج. بنابراین 99 درصدش احتمال دوم است که این قاعده خودش رفع تردید </w:t>
      </w:r>
      <w:r w:rsidR="007F0C79">
        <w:rPr>
          <w:rFonts w:hint="cs"/>
          <w:rtl/>
        </w:rPr>
        <w:t>می‌کند</w:t>
      </w:r>
      <w:r w:rsidR="00E47AD8">
        <w:rPr>
          <w:rFonts w:hint="cs"/>
          <w:rtl/>
        </w:rPr>
        <w:t xml:space="preserve">. </w:t>
      </w:r>
      <w:r w:rsidR="007F0C79">
        <w:rPr>
          <w:rFonts w:hint="cs"/>
          <w:rtl/>
        </w:rPr>
        <w:t>مذاق و ارتکاز در همه موارد ساری و جاری است الا موارد شاذه ای از قبیلی که گفتیم.</w:t>
      </w:r>
    </w:p>
    <w:p w:rsidR="00E47AD8" w:rsidRDefault="007F0C79" w:rsidP="00DD2ABD">
      <w:pPr>
        <w:rPr>
          <w:rtl/>
        </w:rPr>
      </w:pPr>
      <w:r>
        <w:rPr>
          <w:rFonts w:hint="cs"/>
          <w:rtl/>
        </w:rPr>
        <w:t>سؤال</w:t>
      </w:r>
      <w:r w:rsidR="00E47AD8">
        <w:rPr>
          <w:rFonts w:hint="cs"/>
          <w:rtl/>
        </w:rPr>
        <w:t xml:space="preserve">: چه دلیلی است که </w:t>
      </w:r>
      <w:r w:rsidR="00C55C28">
        <w:rPr>
          <w:rFonts w:hint="cs"/>
          <w:rtl/>
        </w:rPr>
        <w:t>می‌گویید</w:t>
      </w:r>
      <w:r w:rsidR="00E47AD8">
        <w:rPr>
          <w:rFonts w:hint="cs"/>
          <w:rtl/>
        </w:rPr>
        <w:t xml:space="preserve"> اگر شک کنیم مذاق وجود دارد؟ دوم اینکه شبیه دور است. ارتکاز است مواردی که شک است باز به مذاق</w:t>
      </w:r>
      <w:r>
        <w:rPr>
          <w:rFonts w:hint="cs"/>
          <w:rtl/>
        </w:rPr>
        <w:t xml:space="preserve"> و ارتکاز تمسک می‌شود</w:t>
      </w:r>
    </w:p>
    <w:p w:rsidR="00E47AD8" w:rsidRDefault="00E47AD8" w:rsidP="00DD2ABD">
      <w:pPr>
        <w:rPr>
          <w:rtl/>
        </w:rPr>
      </w:pPr>
      <w:r>
        <w:rPr>
          <w:rFonts w:hint="cs"/>
          <w:rtl/>
        </w:rPr>
        <w:t xml:space="preserve">جواب: دور نیست. شک بدوی است. دقت </w:t>
      </w:r>
      <w:r w:rsidR="007F0C79">
        <w:rPr>
          <w:rFonts w:hint="cs"/>
          <w:rtl/>
        </w:rPr>
        <w:t>می‌کنیم</w:t>
      </w:r>
      <w:r>
        <w:rPr>
          <w:rFonts w:hint="cs"/>
          <w:rtl/>
        </w:rPr>
        <w:t xml:space="preserve"> </w:t>
      </w:r>
      <w:r w:rsidR="007F0C79">
        <w:rPr>
          <w:rFonts w:hint="cs"/>
          <w:rtl/>
        </w:rPr>
        <w:t>می‌بینی</w:t>
      </w:r>
      <w:r>
        <w:rPr>
          <w:rFonts w:hint="cs"/>
          <w:rtl/>
        </w:rPr>
        <w:t xml:space="preserve">م برداشتی از شرع بر ذهن فقیه و متشرعه سنگینی </w:t>
      </w:r>
      <w:r w:rsidR="007F0C79">
        <w:rPr>
          <w:rFonts w:hint="cs"/>
          <w:rtl/>
        </w:rPr>
        <w:t>می‌کند</w:t>
      </w:r>
      <w:r>
        <w:rPr>
          <w:rFonts w:hint="cs"/>
          <w:rtl/>
        </w:rPr>
        <w:t xml:space="preserve"> و </w:t>
      </w:r>
      <w:r w:rsidR="00C55C28">
        <w:rPr>
          <w:rFonts w:hint="cs"/>
          <w:rtl/>
        </w:rPr>
        <w:t>می‌بیند</w:t>
      </w:r>
      <w:r>
        <w:rPr>
          <w:rFonts w:hint="cs"/>
          <w:rtl/>
        </w:rPr>
        <w:t xml:space="preserve"> ن</w:t>
      </w:r>
      <w:r w:rsidR="007F0C79">
        <w:rPr>
          <w:rFonts w:hint="cs"/>
          <w:rtl/>
        </w:rPr>
        <w:t>می‌تواند</w:t>
      </w:r>
      <w:r>
        <w:rPr>
          <w:rFonts w:hint="cs"/>
          <w:rtl/>
        </w:rPr>
        <w:t xml:space="preserve"> فرار کند.</w:t>
      </w:r>
      <w:r w:rsidR="007F0C79">
        <w:rPr>
          <w:rFonts w:hint="cs"/>
          <w:rtl/>
        </w:rPr>
        <w:t>می‌گوید</w:t>
      </w:r>
      <w:r>
        <w:rPr>
          <w:rFonts w:hint="cs"/>
          <w:rtl/>
        </w:rPr>
        <w:t xml:space="preserve"> شارع گفته ن</w:t>
      </w:r>
      <w:r w:rsidR="007F0C79">
        <w:rPr>
          <w:rFonts w:hint="cs"/>
          <w:rtl/>
        </w:rPr>
        <w:t>می‌تواند</w:t>
      </w:r>
      <w:r>
        <w:rPr>
          <w:rFonts w:hint="cs"/>
          <w:rtl/>
        </w:rPr>
        <w:t xml:space="preserve"> متلذذانه نگاه کند. سایه سنگینی است که </w:t>
      </w:r>
      <w:r w:rsidR="00C55C28">
        <w:rPr>
          <w:rFonts w:hint="cs"/>
          <w:rtl/>
        </w:rPr>
        <w:t>نمی‌گذارد</w:t>
      </w:r>
      <w:r>
        <w:rPr>
          <w:rFonts w:hint="cs"/>
          <w:rtl/>
        </w:rPr>
        <w:t xml:space="preserve"> فرار کند.</w:t>
      </w:r>
    </w:p>
    <w:p w:rsidR="00E47AD8" w:rsidRDefault="007F0C79" w:rsidP="007F0C79">
      <w:pPr>
        <w:rPr>
          <w:rtl/>
        </w:rPr>
      </w:pPr>
      <w:r>
        <w:rPr>
          <w:rFonts w:hint="cs"/>
          <w:rtl/>
        </w:rPr>
        <w:t>سؤال: یعنی مصب ارتکاز و مذاق، اطلاق است.</w:t>
      </w:r>
    </w:p>
    <w:p w:rsidR="00E47AD8" w:rsidRDefault="00E47AD8" w:rsidP="00DD2ABD">
      <w:pPr>
        <w:rPr>
          <w:rtl/>
        </w:rPr>
      </w:pPr>
      <w:r>
        <w:rPr>
          <w:rFonts w:hint="cs"/>
          <w:rtl/>
        </w:rPr>
        <w:t xml:space="preserve">جواب: مصبش قاعده کلیه است یا اینکه </w:t>
      </w:r>
      <w:r w:rsidR="00C55C28">
        <w:rPr>
          <w:rFonts w:hint="cs"/>
          <w:rtl/>
        </w:rPr>
        <w:t>هر جا</w:t>
      </w:r>
      <w:r>
        <w:rPr>
          <w:rFonts w:hint="cs"/>
          <w:rtl/>
        </w:rPr>
        <w:t xml:space="preserve"> برویم </w:t>
      </w:r>
      <w:r w:rsidR="007F0C79">
        <w:rPr>
          <w:rFonts w:hint="cs"/>
          <w:rtl/>
        </w:rPr>
        <w:t>می‌بینی</w:t>
      </w:r>
      <w:r>
        <w:rPr>
          <w:rFonts w:hint="cs"/>
          <w:rtl/>
        </w:rPr>
        <w:t xml:space="preserve">م مذاق است. تقریرش دقتی دارد. در مواردی </w:t>
      </w:r>
      <w:r w:rsidR="007F0C79">
        <w:rPr>
          <w:rFonts w:hint="cs"/>
          <w:rtl/>
        </w:rPr>
        <w:t>می‌بینی</w:t>
      </w:r>
      <w:r>
        <w:rPr>
          <w:rFonts w:hint="cs"/>
          <w:rtl/>
        </w:rPr>
        <w:t>م مذاق تام نیست.</w:t>
      </w:r>
    </w:p>
    <w:p w:rsidR="00E47AD8" w:rsidRDefault="007F0C79" w:rsidP="00DD2ABD">
      <w:pPr>
        <w:rPr>
          <w:rtl/>
        </w:rPr>
      </w:pPr>
      <w:r>
        <w:rPr>
          <w:rFonts w:hint="cs"/>
          <w:rtl/>
        </w:rPr>
        <w:t>سؤال</w:t>
      </w:r>
      <w:r w:rsidR="00E47AD8">
        <w:rPr>
          <w:rFonts w:hint="cs"/>
          <w:rtl/>
        </w:rPr>
        <w:t>: دلیل لبی قابل اطلاق گیری نیست ولی اینجا دلیل لبی همان اطلاق است</w:t>
      </w:r>
    </w:p>
    <w:p w:rsidR="00E47AD8" w:rsidRDefault="00E47AD8" w:rsidP="00DD2ABD">
      <w:pPr>
        <w:rPr>
          <w:rtl/>
        </w:rPr>
      </w:pPr>
      <w:r>
        <w:rPr>
          <w:rFonts w:hint="cs"/>
          <w:rtl/>
        </w:rPr>
        <w:t>جواب: دو تقریر دارد. یکی اینکه مصب قاعده اطلاق است و تقریر دیگر که من عرض کردم که شاید بهتر باشد.</w:t>
      </w:r>
    </w:p>
    <w:p w:rsidR="00E47AD8" w:rsidRDefault="007F0C79" w:rsidP="0047098B">
      <w:pPr>
        <w:rPr>
          <w:rtl/>
        </w:rPr>
      </w:pPr>
      <w:r>
        <w:rPr>
          <w:rFonts w:hint="cs"/>
          <w:rtl/>
        </w:rPr>
        <w:lastRenderedPageBreak/>
        <w:t>سؤال</w:t>
      </w:r>
      <w:r w:rsidR="00E47AD8">
        <w:rPr>
          <w:rFonts w:hint="cs"/>
          <w:rtl/>
        </w:rPr>
        <w:t xml:space="preserve">: مصب اغراض </w:t>
      </w:r>
      <w:r w:rsidR="0047098B">
        <w:rPr>
          <w:rFonts w:hint="cs"/>
          <w:rtl/>
        </w:rPr>
        <w:t>عقلاییه‌</w:t>
      </w:r>
      <w:r w:rsidR="00E47AD8">
        <w:rPr>
          <w:rFonts w:hint="cs"/>
          <w:rtl/>
        </w:rPr>
        <w:t xml:space="preserve">ای دارد که شاید ما را دچار شک کند. مثل غرض تسهیل. مثل </w:t>
      </w:r>
      <w:r w:rsidR="0047098B">
        <w:rPr>
          <w:rFonts w:hint="cs"/>
          <w:rtl/>
        </w:rPr>
        <w:t>«</w:t>
      </w:r>
      <w:r w:rsidR="0047098B" w:rsidRPr="00317751">
        <w:rPr>
          <w:rFonts w:hint="cs"/>
          <w:color w:val="008000"/>
          <w:rtl/>
        </w:rPr>
        <w:t>لَا حُرْمَةَ لِن</w:t>
      </w:r>
      <w:r w:rsidR="0047098B">
        <w:rPr>
          <w:rFonts w:hint="cs"/>
          <w:color w:val="008000"/>
          <w:rtl/>
        </w:rPr>
        <w:t>ِسَاءِ أَهْلِ‏ الذِّمَّةِ</w:t>
      </w:r>
      <w:r w:rsidR="0047098B" w:rsidRPr="003E1B4E">
        <w:rPr>
          <w:rtl/>
        </w:rPr>
        <w:t>‏</w:t>
      </w:r>
      <w:r w:rsidR="0047098B">
        <w:rPr>
          <w:rFonts w:hint="cs"/>
          <w:rtl/>
        </w:rPr>
        <w:t>»</w:t>
      </w:r>
      <w:r w:rsidR="0047098B" w:rsidRPr="00B762FB">
        <w:rPr>
          <w:rFonts w:hint="cs"/>
          <w:rtl/>
        </w:rPr>
        <w:t>.</w:t>
      </w:r>
      <w:r w:rsidR="0047098B">
        <w:rPr>
          <w:rStyle w:val="FootnoteReference"/>
          <w:rtl/>
        </w:rPr>
        <w:footnoteReference w:id="4"/>
      </w:r>
      <w:r w:rsidR="00E47AD8">
        <w:rPr>
          <w:rFonts w:hint="cs"/>
          <w:rtl/>
        </w:rPr>
        <w:t xml:space="preserve"> اینها ما را دچار شک </w:t>
      </w:r>
      <w:r>
        <w:rPr>
          <w:rFonts w:hint="cs"/>
          <w:rtl/>
        </w:rPr>
        <w:t>می‌کند</w:t>
      </w:r>
    </w:p>
    <w:p w:rsidR="00E47AD8" w:rsidRDefault="00E47AD8" w:rsidP="007F0C79">
      <w:pPr>
        <w:rPr>
          <w:rtl/>
        </w:rPr>
      </w:pPr>
      <w:r>
        <w:rPr>
          <w:rFonts w:hint="cs"/>
          <w:rtl/>
        </w:rPr>
        <w:t xml:space="preserve">جواب: راه </w:t>
      </w:r>
      <w:r w:rsidR="00C55C28">
        <w:rPr>
          <w:rFonts w:hint="cs"/>
          <w:rtl/>
        </w:rPr>
        <w:t>میانه‌ای</w:t>
      </w:r>
      <w:r>
        <w:rPr>
          <w:rFonts w:hint="cs"/>
          <w:rtl/>
        </w:rPr>
        <w:t xml:space="preserve"> که رفتیم شاید نتوانیم </w:t>
      </w:r>
      <w:r w:rsidR="00C55C28">
        <w:rPr>
          <w:rFonts w:hint="cs"/>
          <w:rtl/>
        </w:rPr>
        <w:t>همه‌جا</w:t>
      </w:r>
      <w:r>
        <w:rPr>
          <w:rFonts w:hint="cs"/>
          <w:rtl/>
        </w:rPr>
        <w:t xml:space="preserve"> ارتکاز متشرعه را جاری بدانیم مثل نظر در مقام ازدواج</w:t>
      </w:r>
      <w:r w:rsidR="007F0C79">
        <w:rPr>
          <w:rFonts w:hint="cs"/>
          <w:rtl/>
        </w:rPr>
        <w:t xml:space="preserve"> یا اینکه قصد تلذذها تلذذ آنی دفعی در </w:t>
      </w:r>
      <w:r w:rsidR="00C55C28">
        <w:rPr>
          <w:rFonts w:hint="cs"/>
          <w:rtl/>
        </w:rPr>
        <w:t>رفت‌وبرگشت‌هاست</w:t>
      </w:r>
      <w:r w:rsidR="007F0C79">
        <w:rPr>
          <w:rFonts w:hint="cs"/>
          <w:rtl/>
        </w:rPr>
        <w:t>. این را ممکن است بگوییم شارع اشکال نمی‌گیرد.</w:t>
      </w:r>
      <w:r>
        <w:rPr>
          <w:rFonts w:hint="cs"/>
          <w:rtl/>
        </w:rPr>
        <w:t xml:space="preserve"> مذاق شرع در همه موارد قابل تمسک است یا به نحو اطلاق یا اینکه در هر موردی وجود دارد. اما نه </w:t>
      </w:r>
      <w:r w:rsidR="00C55C28">
        <w:rPr>
          <w:rFonts w:hint="cs"/>
          <w:rtl/>
        </w:rPr>
        <w:t>به‌نحوی‌که</w:t>
      </w:r>
      <w:r>
        <w:rPr>
          <w:rFonts w:hint="cs"/>
          <w:rtl/>
        </w:rPr>
        <w:t xml:space="preserve"> در همه موارد باشد. </w:t>
      </w:r>
      <w:r w:rsidR="007F0C79">
        <w:rPr>
          <w:rFonts w:hint="cs"/>
          <w:rtl/>
        </w:rPr>
        <w:t>درجایی</w:t>
      </w:r>
      <w:r>
        <w:rPr>
          <w:rFonts w:hint="cs"/>
          <w:rtl/>
        </w:rPr>
        <w:t xml:space="preserve"> هست که شاید مطمئن نشویم که آنجا هم جاری است. مثل مقام ازدواج یا چیزهای عادی که در جامعه وجود دارد.س</w:t>
      </w:r>
    </w:p>
    <w:p w:rsidR="00E47AD8" w:rsidRDefault="007F0C79" w:rsidP="00DD2ABD">
      <w:pPr>
        <w:rPr>
          <w:rtl/>
        </w:rPr>
      </w:pPr>
      <w:r>
        <w:rPr>
          <w:rFonts w:hint="cs"/>
          <w:rtl/>
        </w:rPr>
        <w:t>سؤال</w:t>
      </w:r>
      <w:r w:rsidR="00E47AD8">
        <w:rPr>
          <w:rFonts w:hint="cs"/>
          <w:rtl/>
        </w:rPr>
        <w:t xml:space="preserve">: اگر ادله محل خدشه باشد قدر متیقنی که برای </w:t>
      </w:r>
      <w:r w:rsidR="00C55C28">
        <w:rPr>
          <w:rFonts w:hint="cs"/>
          <w:rtl/>
        </w:rPr>
        <w:t>تأسیس</w:t>
      </w:r>
      <w:r w:rsidR="00E47AD8">
        <w:rPr>
          <w:rFonts w:hint="cs"/>
          <w:rtl/>
        </w:rPr>
        <w:t xml:space="preserve"> شرع باشد نداریم چطور </w:t>
      </w:r>
      <w:r w:rsidR="00C55C28">
        <w:rPr>
          <w:rFonts w:hint="cs"/>
          <w:rtl/>
        </w:rPr>
        <w:t>تأسیس</w:t>
      </w:r>
      <w:r w:rsidR="00E47AD8">
        <w:rPr>
          <w:rFonts w:hint="cs"/>
          <w:rtl/>
        </w:rPr>
        <w:t xml:space="preserve"> حکم کنیم؟</w:t>
      </w:r>
    </w:p>
    <w:p w:rsidR="00E47AD8" w:rsidRDefault="00E47AD8" w:rsidP="00DD2ABD">
      <w:pPr>
        <w:rPr>
          <w:rtl/>
        </w:rPr>
      </w:pPr>
      <w:r>
        <w:rPr>
          <w:rFonts w:hint="cs"/>
          <w:rtl/>
        </w:rPr>
        <w:t xml:space="preserve">جواب: گفتیم مذاق </w:t>
      </w:r>
      <w:r w:rsidR="007F0C79">
        <w:rPr>
          <w:rFonts w:hint="cs"/>
          <w:rtl/>
        </w:rPr>
        <w:t>به‌قدر</w:t>
      </w:r>
      <w:r>
        <w:rPr>
          <w:rFonts w:hint="cs"/>
          <w:rtl/>
        </w:rPr>
        <w:t>ی قوی است که مدرکی نیست. اگر ادله نباشد بازهم این مذاق وجود دارد. در همه ادله هم اگر تردید کنیم ن</w:t>
      </w:r>
      <w:r w:rsidR="007F0C79">
        <w:rPr>
          <w:rFonts w:hint="cs"/>
          <w:rtl/>
        </w:rPr>
        <w:t>می‌توان</w:t>
      </w:r>
      <w:r>
        <w:rPr>
          <w:rFonts w:hint="cs"/>
          <w:rtl/>
        </w:rPr>
        <w:t>یم این را کنار بزنیم. مثل اجماع غیر مدرکی.</w:t>
      </w:r>
    </w:p>
    <w:p w:rsidR="00E47AD8" w:rsidRDefault="007F0C79" w:rsidP="00DD2ABD">
      <w:pPr>
        <w:rPr>
          <w:rtl/>
        </w:rPr>
      </w:pPr>
      <w:r>
        <w:rPr>
          <w:rFonts w:hint="cs"/>
          <w:rtl/>
        </w:rPr>
        <w:t>سؤال</w:t>
      </w:r>
      <w:r w:rsidR="00E47AD8">
        <w:rPr>
          <w:rFonts w:hint="cs"/>
          <w:rtl/>
        </w:rPr>
        <w:t xml:space="preserve">: اگر در ادله تردید شود به نظرم مذاق </w:t>
      </w:r>
      <w:r w:rsidR="00C55C28">
        <w:rPr>
          <w:rFonts w:hint="cs"/>
          <w:rtl/>
        </w:rPr>
        <w:t>می‌شکند</w:t>
      </w:r>
      <w:r w:rsidR="00E47AD8">
        <w:rPr>
          <w:rFonts w:hint="cs"/>
          <w:rtl/>
        </w:rPr>
        <w:t>.</w:t>
      </w:r>
    </w:p>
    <w:p w:rsidR="00E47AD8" w:rsidRDefault="00E47AD8" w:rsidP="00DD2ABD">
      <w:pPr>
        <w:rPr>
          <w:rtl/>
        </w:rPr>
      </w:pPr>
      <w:r>
        <w:rPr>
          <w:rFonts w:hint="cs"/>
          <w:rtl/>
        </w:rPr>
        <w:t xml:space="preserve">جواب: بدون آنها هم </w:t>
      </w:r>
      <w:r w:rsidR="007F0C79">
        <w:rPr>
          <w:rFonts w:hint="cs"/>
          <w:rtl/>
        </w:rPr>
        <w:t>می‌توان</w:t>
      </w:r>
      <w:r>
        <w:rPr>
          <w:rFonts w:hint="cs"/>
          <w:rtl/>
        </w:rPr>
        <w:t xml:space="preserve"> </w:t>
      </w:r>
      <w:r w:rsidR="00C55C28">
        <w:rPr>
          <w:rFonts w:hint="cs"/>
          <w:rtl/>
        </w:rPr>
        <w:t>به‌حکم</w:t>
      </w:r>
      <w:r>
        <w:rPr>
          <w:rFonts w:hint="cs"/>
          <w:rtl/>
        </w:rPr>
        <w:t xml:space="preserve"> رسید.</w:t>
      </w:r>
    </w:p>
    <w:p w:rsidR="00C55C28" w:rsidRDefault="00C55C28" w:rsidP="00C55C28">
      <w:pPr>
        <w:pStyle w:val="Heading2"/>
        <w:rPr>
          <w:rtl/>
        </w:rPr>
      </w:pPr>
      <w:bookmarkStart w:id="13" w:name="_Toc88396302"/>
      <w:r>
        <w:rPr>
          <w:rFonts w:hint="cs"/>
          <w:rtl/>
        </w:rPr>
        <w:t>نکته دوم: حرمت قصد تلذذ یا خود تلذذ یا هردو</w:t>
      </w:r>
      <w:bookmarkEnd w:id="13"/>
    </w:p>
    <w:p w:rsidR="00E47AD8" w:rsidRPr="00581BC0" w:rsidRDefault="00E47AD8" w:rsidP="00DD2ABD">
      <w:pPr>
        <w:rPr>
          <w:rtl/>
        </w:rPr>
      </w:pPr>
      <w:r>
        <w:rPr>
          <w:rFonts w:hint="cs"/>
          <w:rtl/>
        </w:rPr>
        <w:t xml:space="preserve">نکته دیگر اینکه این دلیل قصد تلذذ را حرام </w:t>
      </w:r>
      <w:r w:rsidR="007F0C79">
        <w:rPr>
          <w:rFonts w:hint="cs"/>
          <w:rtl/>
        </w:rPr>
        <w:t>می‌کند</w:t>
      </w:r>
      <w:r>
        <w:rPr>
          <w:rFonts w:hint="cs"/>
          <w:rtl/>
        </w:rPr>
        <w:t xml:space="preserve"> یا نفس تلذذ را یا اجتماع این دو را حرام </w:t>
      </w:r>
      <w:r w:rsidR="007F0C79">
        <w:rPr>
          <w:rFonts w:hint="cs"/>
          <w:rtl/>
        </w:rPr>
        <w:t>می‌کند</w:t>
      </w:r>
      <w:r>
        <w:rPr>
          <w:rFonts w:hint="cs"/>
          <w:rtl/>
        </w:rPr>
        <w:t xml:space="preserve">؟ </w:t>
      </w:r>
      <w:r w:rsidR="007F0C79">
        <w:rPr>
          <w:rFonts w:hint="cs"/>
          <w:rtl/>
        </w:rPr>
        <w:t>سؤال</w:t>
      </w:r>
      <w:r>
        <w:rPr>
          <w:rFonts w:hint="cs"/>
          <w:rtl/>
        </w:rPr>
        <w:t xml:space="preserve"> </w:t>
      </w:r>
      <w:r w:rsidR="00C55C28">
        <w:rPr>
          <w:rFonts w:hint="cs"/>
          <w:rtl/>
        </w:rPr>
        <w:t>این‌طور</w:t>
      </w:r>
      <w:r>
        <w:rPr>
          <w:rFonts w:hint="cs"/>
          <w:rtl/>
        </w:rPr>
        <w:t xml:space="preserve"> است که چه چیز حرام است؟ اینکه کسی قصد تلذذ بکند؟ قصد حرام است؟ یا خود حصول التذاذ حرام است یا اجتماع اینها حرام است؟</w:t>
      </w:r>
    </w:p>
    <w:sectPr w:rsidR="00E47AD8" w:rsidRPr="00581BC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E6" w:rsidRDefault="006946E6" w:rsidP="004D5B1F">
      <w:r>
        <w:separator/>
      </w:r>
    </w:p>
  </w:endnote>
  <w:endnote w:type="continuationSeparator" w:id="0">
    <w:p w:rsidR="006946E6" w:rsidRDefault="006946E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8" w:rsidRDefault="00C55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47098B">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8" w:rsidRDefault="00C5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E6" w:rsidRDefault="006946E6" w:rsidP="004D5B1F">
      <w:r>
        <w:separator/>
      </w:r>
    </w:p>
  </w:footnote>
  <w:footnote w:type="continuationSeparator" w:id="0">
    <w:p w:rsidR="006946E6" w:rsidRDefault="006946E6" w:rsidP="004D5B1F">
      <w:r>
        <w:continuationSeparator/>
      </w:r>
    </w:p>
  </w:footnote>
  <w:footnote w:id="1">
    <w:p w:rsidR="007C3835" w:rsidRPr="0047098B" w:rsidRDefault="007C3835" w:rsidP="007C3835">
      <w:pPr>
        <w:pStyle w:val="FootnoteText"/>
      </w:pPr>
      <w:r w:rsidRPr="0047098B">
        <w:footnoteRef/>
      </w:r>
      <w:r w:rsidRPr="0047098B">
        <w:rPr>
          <w:rFonts w:hint="cs"/>
          <w:rtl/>
        </w:rPr>
        <w:t xml:space="preserve">. </w:t>
      </w:r>
      <w:hyperlink r:id="rId1" w:history="1">
        <w:r w:rsidRPr="0047098B">
          <w:rPr>
            <w:rStyle w:val="Hyperlink"/>
            <w:rFonts w:eastAsia="2  Badr"/>
            <w:rtl/>
          </w:rPr>
          <w:t>بحار الأنوار - ط دارالاح</w:t>
        </w:r>
        <w:r w:rsidRPr="0047098B">
          <w:rPr>
            <w:rStyle w:val="Hyperlink"/>
            <w:rFonts w:eastAsia="2  Badr" w:hint="cs"/>
            <w:rtl/>
          </w:rPr>
          <w:t>ی</w:t>
        </w:r>
        <w:r w:rsidRPr="0047098B">
          <w:rPr>
            <w:rStyle w:val="Hyperlink"/>
            <w:rFonts w:eastAsia="2  Badr" w:hint="eastAsia"/>
            <w:rtl/>
          </w:rPr>
          <w:t>اء</w:t>
        </w:r>
        <w:r w:rsidRPr="0047098B">
          <w:rPr>
            <w:rStyle w:val="Hyperlink"/>
            <w:rFonts w:eastAsia="2  Badr"/>
            <w:rtl/>
          </w:rPr>
          <w:t xml:space="preserve"> التراث، العلامة المجلسي، ج101، ص45.</w:t>
        </w:r>
      </w:hyperlink>
    </w:p>
  </w:footnote>
  <w:footnote w:id="2">
    <w:p w:rsidR="00345B7B" w:rsidRPr="0047098B" w:rsidRDefault="00345B7B">
      <w:pPr>
        <w:pStyle w:val="FootnoteText"/>
        <w:rPr>
          <w:rFonts w:hint="cs"/>
        </w:rPr>
      </w:pPr>
      <w:r w:rsidRPr="0047098B">
        <w:rPr>
          <w:rStyle w:val="FootnoteReference"/>
        </w:rPr>
        <w:footnoteRef/>
      </w:r>
      <w:r w:rsidRPr="0047098B">
        <w:rPr>
          <w:rFonts w:hint="cs"/>
          <w:rtl/>
        </w:rPr>
        <w:t>. سوره مؤمنون، آیه 6.</w:t>
      </w:r>
    </w:p>
  </w:footnote>
  <w:footnote w:id="3">
    <w:p w:rsidR="00345B7B" w:rsidRPr="0047098B" w:rsidRDefault="00345B7B" w:rsidP="00345B7B">
      <w:pPr>
        <w:pStyle w:val="FootnoteText"/>
        <w:rPr>
          <w:rFonts w:hint="cs"/>
        </w:rPr>
      </w:pPr>
      <w:r w:rsidRPr="0047098B">
        <w:footnoteRef/>
      </w:r>
      <w:r w:rsidR="0047098B" w:rsidRPr="0047098B">
        <w:rPr>
          <w:rFonts w:hint="cs"/>
          <w:rtl/>
        </w:rPr>
        <w:t>.</w:t>
      </w:r>
      <w:r w:rsidRPr="0047098B">
        <w:rPr>
          <w:rtl/>
        </w:rPr>
        <w:t xml:space="preserve"> </w:t>
      </w:r>
      <w:hyperlink r:id="rId2" w:history="1">
        <w:r w:rsidRPr="0047098B">
          <w:rPr>
            <w:rStyle w:val="Hyperlink"/>
            <w:rFonts w:eastAsia="2  Badr"/>
            <w:rtl/>
          </w:rPr>
          <w:t>الكافي- ط الاسلامية، الشيخ الكليني، ج5، ص542.</w:t>
        </w:r>
      </w:hyperlink>
    </w:p>
  </w:footnote>
  <w:footnote w:id="4">
    <w:p w:rsidR="0047098B" w:rsidRPr="00C50CFC" w:rsidRDefault="0047098B" w:rsidP="0047098B">
      <w:pPr>
        <w:pStyle w:val="FootnoteText"/>
      </w:pPr>
      <w:r w:rsidRPr="00C50CFC">
        <w:footnoteRef/>
      </w:r>
      <w:r>
        <w:rPr>
          <w:rFonts w:hint="cs"/>
          <w:rtl/>
        </w:rPr>
        <w:t>.</w:t>
      </w:r>
      <w:r w:rsidRPr="00C50CFC">
        <w:rPr>
          <w:rtl/>
        </w:rPr>
        <w:t xml:space="preserve"> </w:t>
      </w:r>
      <w:hyperlink r:id="rId3" w:history="1">
        <w:r w:rsidRPr="00C50CFC">
          <w:rPr>
            <w:rStyle w:val="Hyperlink"/>
            <w:rFonts w:eastAsia="2  Badr"/>
            <w:rtl/>
          </w:rPr>
          <w:t>وسائل الشيعة، الشيخ الحر العاملي، ج20، ص205، أبواب أبواب مقدّمات النكاح وآدابه، باب112،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8" w:rsidRDefault="00C55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C55C28">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C55C28">
      <w:rPr>
        <w:rFonts w:ascii="Adobe Arabic" w:hAnsi="Adobe Arabic" w:cs="Adobe Arabic" w:hint="cs"/>
        <w:b/>
        <w:bCs/>
        <w:sz w:val="24"/>
        <w:szCs w:val="24"/>
        <w:rtl/>
      </w:rPr>
      <w:t>30</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9E46FF">
      <w:rPr>
        <w:rFonts w:ascii="Adobe Arabic" w:hAnsi="Adobe Arabic" w:cs="Adobe Arabic" w:hint="cs"/>
        <w:b/>
        <w:bCs/>
        <w:sz w:val="24"/>
        <w:szCs w:val="24"/>
        <w:rtl/>
      </w:rPr>
      <w:t>8</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C55C28">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178C4">
      <w:rPr>
        <w:rFonts w:ascii="Adobe Arabic" w:hAnsi="Adobe Arabic" w:cs="Adobe Arabic" w:hint="cs"/>
        <w:b/>
        <w:bCs/>
        <w:sz w:val="24"/>
        <w:szCs w:val="24"/>
        <w:rtl/>
      </w:rPr>
      <w:t>جواز نظر به زنان اهل ذمه</w:t>
    </w:r>
    <w:r w:rsidR="009178C4">
      <w:rPr>
        <w:rFonts w:ascii="Adobe Arabic" w:hAnsi="Adobe Arabic" w:cs="Adobe Arabic" w:hint="cs"/>
        <w:b/>
        <w:bCs/>
        <w:sz w:val="24"/>
        <w:szCs w:val="24"/>
        <w:rtl/>
      </w:rPr>
      <w:tab/>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0619C6">
      <w:rPr>
        <w:rFonts w:ascii="Adobe Arabic" w:hAnsi="Adobe Arabic" w:cs="Adobe Arabic" w:hint="cs"/>
        <w:b/>
        <w:bCs/>
        <w:sz w:val="24"/>
        <w:szCs w:val="24"/>
        <w:rtl/>
      </w:rPr>
      <w:t>1</w:t>
    </w:r>
    <w:r w:rsidR="00C55C28">
      <w:rPr>
        <w:rFonts w:ascii="Adobe Arabic" w:hAnsi="Adobe Arabic" w:cs="Adobe Arabic" w:hint="cs"/>
        <w:b/>
        <w:bCs/>
        <w:sz w:val="24"/>
        <w:szCs w:val="24"/>
        <w:rtl/>
      </w:rPr>
      <w:t>6</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28" w:rsidRDefault="00C55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9"/>
  </w:num>
  <w:num w:numId="2">
    <w:abstractNumId w:val="24"/>
  </w:num>
  <w:num w:numId="3">
    <w:abstractNumId w:val="6"/>
  </w:num>
  <w:num w:numId="4">
    <w:abstractNumId w:val="38"/>
  </w:num>
  <w:num w:numId="5">
    <w:abstractNumId w:val="10"/>
  </w:num>
  <w:num w:numId="6">
    <w:abstractNumId w:val="9"/>
  </w:num>
  <w:num w:numId="7">
    <w:abstractNumId w:val="17"/>
  </w:num>
  <w:num w:numId="8">
    <w:abstractNumId w:val="33"/>
  </w:num>
  <w:num w:numId="9">
    <w:abstractNumId w:val="11"/>
  </w:num>
  <w:num w:numId="10">
    <w:abstractNumId w:val="3"/>
  </w:num>
  <w:num w:numId="11">
    <w:abstractNumId w:val="14"/>
  </w:num>
  <w:num w:numId="12">
    <w:abstractNumId w:val="26"/>
  </w:num>
  <w:num w:numId="13">
    <w:abstractNumId w:val="27"/>
  </w:num>
  <w:num w:numId="14">
    <w:abstractNumId w:val="21"/>
  </w:num>
  <w:num w:numId="15">
    <w:abstractNumId w:val="32"/>
  </w:num>
  <w:num w:numId="16">
    <w:abstractNumId w:val="13"/>
  </w:num>
  <w:num w:numId="17">
    <w:abstractNumId w:val="7"/>
  </w:num>
  <w:num w:numId="18">
    <w:abstractNumId w:val="16"/>
  </w:num>
  <w:num w:numId="19">
    <w:abstractNumId w:val="19"/>
  </w:num>
  <w:num w:numId="20">
    <w:abstractNumId w:val="12"/>
  </w:num>
  <w:num w:numId="21">
    <w:abstractNumId w:val="35"/>
  </w:num>
  <w:num w:numId="22">
    <w:abstractNumId w:val="20"/>
  </w:num>
  <w:num w:numId="23">
    <w:abstractNumId w:val="30"/>
  </w:num>
  <w:num w:numId="24">
    <w:abstractNumId w:val="28"/>
  </w:num>
  <w:num w:numId="25">
    <w:abstractNumId w:val="2"/>
  </w:num>
  <w:num w:numId="26">
    <w:abstractNumId w:val="15"/>
  </w:num>
  <w:num w:numId="27">
    <w:abstractNumId w:val="37"/>
  </w:num>
  <w:num w:numId="28">
    <w:abstractNumId w:val="0"/>
  </w:num>
  <w:num w:numId="29">
    <w:abstractNumId w:val="8"/>
  </w:num>
  <w:num w:numId="30">
    <w:abstractNumId w:val="31"/>
  </w:num>
  <w:num w:numId="31">
    <w:abstractNumId w:val="5"/>
  </w:num>
  <w:num w:numId="32">
    <w:abstractNumId w:val="22"/>
  </w:num>
  <w:num w:numId="33">
    <w:abstractNumId w:val="4"/>
  </w:num>
  <w:num w:numId="34">
    <w:abstractNumId w:val="18"/>
  </w:num>
  <w:num w:numId="35">
    <w:abstractNumId w:val="3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4"/>
  </w:num>
  <w:num w:numId="39">
    <w:abstractNumId w:val="25"/>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544"/>
    <w:rsid w:val="001B5C94"/>
    <w:rsid w:val="001B6101"/>
    <w:rsid w:val="001B6473"/>
    <w:rsid w:val="001B6EC4"/>
    <w:rsid w:val="001C0DD2"/>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CA7"/>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87E0D"/>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4B74"/>
    <w:rsid w:val="00344EEA"/>
    <w:rsid w:val="00345AFF"/>
    <w:rsid w:val="00345B7B"/>
    <w:rsid w:val="003475BA"/>
    <w:rsid w:val="003479C5"/>
    <w:rsid w:val="0035020D"/>
    <w:rsid w:val="003516DE"/>
    <w:rsid w:val="003549D7"/>
    <w:rsid w:val="00354B9F"/>
    <w:rsid w:val="00354CCC"/>
    <w:rsid w:val="00355297"/>
    <w:rsid w:val="0035557B"/>
    <w:rsid w:val="00356DC4"/>
    <w:rsid w:val="00357A95"/>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098B"/>
    <w:rsid w:val="004744E5"/>
    <w:rsid w:val="004768DD"/>
    <w:rsid w:val="00477587"/>
    <w:rsid w:val="00477966"/>
    <w:rsid w:val="00477ADB"/>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395B"/>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047B"/>
    <w:rsid w:val="00572E2D"/>
    <w:rsid w:val="005745BF"/>
    <w:rsid w:val="0058067B"/>
    <w:rsid w:val="00580CFA"/>
    <w:rsid w:val="00581412"/>
    <w:rsid w:val="00581BC0"/>
    <w:rsid w:val="0058209E"/>
    <w:rsid w:val="00583770"/>
    <w:rsid w:val="00583E15"/>
    <w:rsid w:val="005843BD"/>
    <w:rsid w:val="00584DCD"/>
    <w:rsid w:val="005856EF"/>
    <w:rsid w:val="00585750"/>
    <w:rsid w:val="005857BB"/>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BEA"/>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46E6"/>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258B"/>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835"/>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1F75"/>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27B39"/>
    <w:rsid w:val="00D307DD"/>
    <w:rsid w:val="00D30BB4"/>
    <w:rsid w:val="00D31783"/>
    <w:rsid w:val="00D32B95"/>
    <w:rsid w:val="00D330C0"/>
    <w:rsid w:val="00D33C67"/>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2694"/>
    <w:rsid w:val="00D544B4"/>
    <w:rsid w:val="00D54DEE"/>
    <w:rsid w:val="00D554DA"/>
    <w:rsid w:val="00D60547"/>
    <w:rsid w:val="00D60706"/>
    <w:rsid w:val="00D61044"/>
    <w:rsid w:val="00D610D3"/>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BA7"/>
    <w:rsid w:val="00DA0C74"/>
    <w:rsid w:val="00DA1B61"/>
    <w:rsid w:val="00DA3389"/>
    <w:rsid w:val="00DA5EB4"/>
    <w:rsid w:val="00DA607B"/>
    <w:rsid w:val="00DA745E"/>
    <w:rsid w:val="00DA7A97"/>
    <w:rsid w:val="00DB21CF"/>
    <w:rsid w:val="00DB28BB"/>
    <w:rsid w:val="00DB2F1C"/>
    <w:rsid w:val="00DB2F25"/>
    <w:rsid w:val="00DB4CA8"/>
    <w:rsid w:val="00DB4D22"/>
    <w:rsid w:val="00DB51C4"/>
    <w:rsid w:val="00DB5A83"/>
    <w:rsid w:val="00DB6CC3"/>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5/&#1588;&#1593;&#1608;&#1585;&#1607;&#1606;" TargetMode="External"/><Relationship Id="rId2" Type="http://schemas.openxmlformats.org/officeDocument/2006/relationships/hyperlink" Target="http://lib.eshia.ir/11005/5/542/&#1606;&#1616;&#1610;&#1617;&#1614;&#1578;&#1616;&#1603;&#1614;" TargetMode="External"/><Relationship Id="rId1" Type="http://schemas.openxmlformats.org/officeDocument/2006/relationships/hyperlink" Target="http://lib.eshia.ir/71860/101/45/&#1604;&#1575;_&#1610;&#1606;&#1578;&#1607;&#1610;&#160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7D00-7814-4ED3-9F4A-F9DCC510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5607</TotalTime>
  <Pages>6</Pages>
  <Words>1584</Words>
  <Characters>9031</Characters>
  <Application>Microsoft Office Word</Application>
  <DocSecurity>0</DocSecurity>
  <Lines>75</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110</cp:lastModifiedBy>
  <cp:revision>21</cp:revision>
  <dcterms:created xsi:type="dcterms:W3CDTF">2020-06-22T09:32:00Z</dcterms:created>
  <dcterms:modified xsi:type="dcterms:W3CDTF">2021-11-21T13:14:00Z</dcterms:modified>
</cp:coreProperties>
</file>