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E" w:rsidRPr="00CA4D3A" w:rsidRDefault="0082238F" w:rsidP="00CA4D3A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D300DE" w:rsidRPr="00CA4D3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D300DE" w:rsidRPr="00CA4D3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300DE" w:rsidRPr="00CA4D3A">
        <w:rPr>
          <w:rFonts w:ascii="IRBadr" w:hAnsi="IRBadr" w:cs="IRBadr"/>
          <w:sz w:val="28"/>
          <w:szCs w:val="28"/>
          <w:lang w:bidi="fa-IR"/>
        </w:rPr>
        <w:instrText>TOC</w:instrText>
      </w:r>
      <w:r w:rsidR="00D300DE" w:rsidRPr="00CA4D3A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D300DE" w:rsidRPr="00CA4D3A">
        <w:rPr>
          <w:rFonts w:ascii="IRBadr" w:hAnsi="IRBadr" w:cs="IRBadr"/>
          <w:sz w:val="28"/>
          <w:szCs w:val="28"/>
          <w:lang w:bidi="fa-IR"/>
        </w:rPr>
        <w:instrText>o "1-8" \h \z \u</w:instrText>
      </w:r>
      <w:r w:rsidR="00D300DE" w:rsidRPr="00CA4D3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300DE" w:rsidRPr="00CA4D3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300DE" w:rsidRPr="00CA4D3A" w:rsidRDefault="0077766B" w:rsidP="00CA4D3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2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استدلال به آیه نفر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_Toc434325652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2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3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مقدمات بحث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_Toc434325653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2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4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مناقشات در این مقام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_Toc434325654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2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5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زمینه اعتقادی بحث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_Toc434325655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2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6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مناقشه سوم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_Toc434325656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2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7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تشریح مناقشه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_Toc434325657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3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8" w:history="1">
        <w:r w:rsidR="00CA4D3A">
          <w:rPr>
            <w:rStyle w:val="Hyperlink"/>
            <w:rFonts w:ascii="IRBadr" w:hAnsi="IRBadr" w:cs="IRBadr"/>
            <w:noProof/>
            <w:rtl/>
          </w:rPr>
          <w:t>جمع‌بندی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_Toc434325658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3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59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پاسخ استدلال فوق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_Toc434325659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3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60" w:history="1">
        <w:r w:rsidR="00CA4D3A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_Toc434325660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4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25661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انحلال علم اجمالی در این مقام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_Toc434325661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4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25662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 xml:space="preserve">بحث اخلاقی </w:t>
        </w:r>
        <w:r w:rsidR="00CA4D3A">
          <w:rPr>
            <w:rStyle w:val="Hyperlink"/>
            <w:rFonts w:ascii="IRBadr" w:hAnsi="IRBadr" w:cs="IRBadr"/>
            <w:noProof/>
            <w:rtl/>
          </w:rPr>
          <w:t>نهج‌البلاغه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_Toc434325662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4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25663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تصویرگری امام در قبال لحظه مرگ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_Toc434325663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4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25664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شروع خطبه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_Toc434325664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5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Pr="00CA4D3A" w:rsidRDefault="0077766B" w:rsidP="00CA4D3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25665" w:history="1">
        <w:r w:rsidR="00D300DE" w:rsidRPr="00CA4D3A">
          <w:rPr>
            <w:rStyle w:val="Hyperlink"/>
            <w:rFonts w:ascii="IRBadr" w:hAnsi="IRBadr" w:cs="IRBadr"/>
            <w:noProof/>
            <w:rtl/>
          </w:rPr>
          <w:t>سکرات موت</w:t>
        </w:r>
        <w:r w:rsidR="00D300DE" w:rsidRPr="00CA4D3A">
          <w:rPr>
            <w:rFonts w:ascii="IRBadr" w:hAnsi="IRBadr" w:cs="IRBadr"/>
            <w:noProof/>
            <w:webHidden/>
          </w:rPr>
          <w:tab/>
        </w:r>
        <w:r w:rsidR="00D300DE" w:rsidRPr="00CA4D3A">
          <w:rPr>
            <w:rFonts w:ascii="IRBadr" w:hAnsi="IRBadr" w:cs="IRBadr"/>
            <w:noProof/>
            <w:webHidden/>
          </w:rPr>
          <w:fldChar w:fldCharType="begin"/>
        </w:r>
        <w:r w:rsidR="00D300DE" w:rsidRPr="00CA4D3A">
          <w:rPr>
            <w:rFonts w:ascii="IRBadr" w:hAnsi="IRBadr" w:cs="IRBadr"/>
            <w:noProof/>
            <w:webHidden/>
          </w:rPr>
          <w:instrText xml:space="preserve"> PAGEREF _Toc434325665 \h </w:instrText>
        </w:r>
        <w:r w:rsidR="00D300DE" w:rsidRPr="00CA4D3A">
          <w:rPr>
            <w:rFonts w:ascii="IRBadr" w:hAnsi="IRBadr" w:cs="IRBadr"/>
            <w:noProof/>
            <w:webHidden/>
          </w:rPr>
        </w:r>
        <w:r w:rsidR="00D300DE" w:rsidRPr="00CA4D3A">
          <w:rPr>
            <w:rFonts w:ascii="IRBadr" w:hAnsi="IRBadr" w:cs="IRBadr"/>
            <w:noProof/>
            <w:webHidden/>
          </w:rPr>
          <w:fldChar w:fldCharType="separate"/>
        </w:r>
        <w:r w:rsidR="00D300DE" w:rsidRPr="00CA4D3A">
          <w:rPr>
            <w:rFonts w:ascii="IRBadr" w:hAnsi="IRBadr" w:cs="IRBadr"/>
            <w:noProof/>
            <w:webHidden/>
          </w:rPr>
          <w:t>5</w:t>
        </w:r>
        <w:r w:rsidR="00D300DE" w:rsidRPr="00CA4D3A">
          <w:rPr>
            <w:rFonts w:ascii="IRBadr" w:hAnsi="IRBadr" w:cs="IRBadr"/>
            <w:noProof/>
            <w:webHidden/>
          </w:rPr>
          <w:fldChar w:fldCharType="end"/>
        </w:r>
      </w:hyperlink>
    </w:p>
    <w:p w:rsidR="00D300DE" w:rsidRDefault="00D300DE" w:rsidP="00CA4D3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A4D3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300DE" w:rsidRDefault="00D300DE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C33340" w:rsidRDefault="00C33340" w:rsidP="00D300DE">
      <w:pPr>
        <w:pStyle w:val="Heading1"/>
        <w:rPr>
          <w:rtl/>
        </w:rPr>
      </w:pPr>
      <w:bookmarkStart w:id="0" w:name="_Toc434325652"/>
      <w:r>
        <w:rPr>
          <w:rFonts w:hint="cs"/>
          <w:rtl/>
        </w:rPr>
        <w:lastRenderedPageBreak/>
        <w:t>استدلال به آیه نفر</w:t>
      </w:r>
      <w:bookmarkEnd w:id="0"/>
    </w:p>
    <w:p w:rsidR="00C33340" w:rsidRDefault="00C33340" w:rsidP="00D300DE">
      <w:pPr>
        <w:pStyle w:val="Heading1"/>
        <w:rPr>
          <w:rtl/>
        </w:rPr>
      </w:pPr>
      <w:bookmarkStart w:id="1" w:name="_Toc434325653"/>
      <w:r>
        <w:rPr>
          <w:rFonts w:hint="cs"/>
          <w:rtl/>
        </w:rPr>
        <w:t>مقدمات بحث</w:t>
      </w:r>
      <w:bookmarkEnd w:id="1"/>
    </w:p>
    <w:p w:rsidR="00C33340" w:rsidRDefault="00C33340" w:rsidP="00D300DE">
      <w:pPr>
        <w:pStyle w:val="Heading1"/>
        <w:rPr>
          <w:rtl/>
        </w:rPr>
      </w:pPr>
      <w:bookmarkStart w:id="2" w:name="_Toc434325654"/>
      <w:r>
        <w:rPr>
          <w:rFonts w:hint="cs"/>
          <w:rtl/>
        </w:rPr>
        <w:t>مناقشات در این مقام</w:t>
      </w:r>
      <w:bookmarkEnd w:id="2"/>
    </w:p>
    <w:p w:rsidR="00C33340" w:rsidRDefault="007E455D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استدلال به آیه نفر برای حجیت فتوا بود.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بعدازاینکه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مقدماتی در تفسیر و فهم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آ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نقل شد به استدلال به آیه پرداختیم.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مقدمات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برای تمامیت آیه بود،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بررس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 و در پایان به مناقشاتی که در استدلال به آیه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شد.</w:t>
      </w:r>
    </w:p>
    <w:p w:rsidR="007E455D" w:rsidRDefault="007E455D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دو مناقشه بیان شد و عمده مناقشه اول بود که نهایتاً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راه‌حلی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برا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نقل شد و در خصوص مناقشه دوم تفصیل بیشتری است ولی چون از پیچیدگی کمتری برخوردار بود،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لازم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 بیشتر از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 بپردازیم.</w:t>
      </w:r>
    </w:p>
    <w:p w:rsidR="00C33340" w:rsidRDefault="00C33340" w:rsidP="00D300DE">
      <w:pPr>
        <w:pStyle w:val="Heading2"/>
        <w:rPr>
          <w:rtl/>
        </w:rPr>
      </w:pPr>
      <w:bookmarkStart w:id="3" w:name="_Toc434325655"/>
      <w:r>
        <w:rPr>
          <w:rFonts w:hint="cs"/>
          <w:rtl/>
        </w:rPr>
        <w:t>زمینه اعتقادی بحث</w:t>
      </w:r>
      <w:bookmarkEnd w:id="3"/>
    </w:p>
    <w:p w:rsidR="007E455D" w:rsidRDefault="007E455D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در اعتقادات،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حداقل لازم است و حجج و امارات در اینجا کافی نیست،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اصل این بحث جای استدلال و کلام بیشتری دارد.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مطلق و هم حداقل ممکن است تفاوتی در اعتقادات وجود داشته باشد.</w:t>
      </w:r>
    </w:p>
    <w:p w:rsidR="007E455D" w:rsidRDefault="007E455D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دیگری که وجود دارد،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مواطنی که فرد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اطمینان برسد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به‌احتمال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ترتیب اثر دهد یا خیر که این بحث دیگری است.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اعتقادی مثل امامت این بحث مطرح است که استدلال لازم است یا اگر فرد با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جنبه‌ها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روحی به اطمینانی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مقدار کفایت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خیر؟</w:t>
      </w:r>
    </w:p>
    <w:p w:rsidR="00C33340" w:rsidRDefault="00C33340" w:rsidP="00D300DE">
      <w:pPr>
        <w:pStyle w:val="Heading2"/>
        <w:rPr>
          <w:rtl/>
        </w:rPr>
      </w:pPr>
      <w:bookmarkStart w:id="4" w:name="_Toc434325656"/>
      <w:r>
        <w:rPr>
          <w:rFonts w:hint="cs"/>
          <w:rtl/>
        </w:rPr>
        <w:t>مناقشه سوم</w:t>
      </w:r>
      <w:bookmarkEnd w:id="4"/>
    </w:p>
    <w:p w:rsidR="007E455D" w:rsidRDefault="007E455D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سومین مناقشه در استدلال به آیه برای حجیت فتوا که ظاهراً در کلمات شیخ برخلاف دو مورد سابق نیست و از مباحث الاصول تقریرات اصول شهید صدر از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سید کاظم حائری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هاشمی بحوث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در تقریرات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نوشته‌شده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C33340" w:rsidRDefault="00C33340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33340" w:rsidRDefault="00C33340" w:rsidP="00D300DE">
      <w:pPr>
        <w:pStyle w:val="Heading2"/>
        <w:rPr>
          <w:rtl/>
        </w:rPr>
      </w:pPr>
      <w:bookmarkStart w:id="5" w:name="_Toc434325657"/>
      <w:r>
        <w:rPr>
          <w:rFonts w:hint="cs"/>
          <w:rtl/>
        </w:rPr>
        <w:lastRenderedPageBreak/>
        <w:t>تشریح مناقشه</w:t>
      </w:r>
      <w:bookmarkEnd w:id="5"/>
    </w:p>
    <w:p w:rsidR="00A83273" w:rsidRDefault="00A83273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مناقشه سوم این است که حذر در اینجا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وجوب ترتیب اثر بر فتوا دلالت کند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مدعی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درگذشته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بود.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حذر و عمل به آنچه به او منتقل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قطعاً مستند به حجیت فتوا نیست.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راز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این است که اگر بر احکام الهی حجتی بر فرد حاصل نشود،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قبل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اجمالی یا احتمال نسبت به تکلیف در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و همه افراد را دربر گرفته است.</w:t>
      </w:r>
    </w:p>
    <w:p w:rsidR="00C33340" w:rsidRDefault="00CA4D3A" w:rsidP="00D300DE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A83273" w:rsidRDefault="00CA4D3A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A83273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83273">
        <w:rPr>
          <w:rFonts w:ascii="IRBadr" w:hAnsi="IRBadr" w:cs="IRBadr" w:hint="cs"/>
          <w:sz w:val="28"/>
          <w:szCs w:val="28"/>
          <w:rtl/>
          <w:lang w:bidi="fa-IR"/>
        </w:rPr>
        <w:t xml:space="preserve"> اینجا وجود علم اجمالی و احتمال تکالیف منجز است و در رتبه قبل از انذار یا افتاء فقیه است و تنجز تکلیف تمام است.</w:t>
      </w:r>
    </w:p>
    <w:p w:rsidR="00A83273" w:rsidRDefault="00A83273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جهتی دیگر نیز همیشه معلول مستند به اسبق علل است که در اینجا علم است.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تنها انذار فقیه ابداع احتمال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 عمل به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اساس علم اجمالی یا احتمال است.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قرینه لبیه است که معنای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آ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تغییر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تحذر ناشی از وجوب احتیاط است نه اینکه از باب حجیت باشد.</w:t>
      </w:r>
    </w:p>
    <w:p w:rsidR="00C33340" w:rsidRDefault="00C33340" w:rsidP="00D300DE">
      <w:pPr>
        <w:pStyle w:val="Heading2"/>
        <w:rPr>
          <w:rtl/>
        </w:rPr>
      </w:pPr>
      <w:bookmarkStart w:id="6" w:name="_Toc434325659"/>
      <w:r>
        <w:rPr>
          <w:rFonts w:hint="cs"/>
          <w:rtl/>
        </w:rPr>
        <w:t>پاسخ استدلال فوق</w:t>
      </w:r>
      <w:bookmarkEnd w:id="6"/>
    </w:p>
    <w:p w:rsidR="00A83273" w:rsidRDefault="00A83273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شبهه قابل پاسخ است بدین نحو که؛</w:t>
      </w:r>
    </w:p>
    <w:p w:rsidR="00A83273" w:rsidRDefault="00A83273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علم اجمالی یا احتمالی که منجز است،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قبل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انذار و افتاء دارای اقتضایی است و بعد از انذار فقیه از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آ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دیگری استفاده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قبل و بعد دارای تفاوت است.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قبل از انذار فقیه باشد،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یازمند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</w:t>
      </w:r>
      <w:r w:rsidR="00AE7396">
        <w:rPr>
          <w:rFonts w:ascii="IRBadr" w:hAnsi="IRBadr" w:cs="IRBadr" w:hint="cs"/>
          <w:sz w:val="28"/>
          <w:szCs w:val="28"/>
          <w:rtl/>
          <w:lang w:bidi="fa-IR"/>
        </w:rPr>
        <w:t>فی‌الواقع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516AFE">
        <w:rPr>
          <w:rFonts w:ascii="IRBadr" w:hAnsi="IRBadr" w:cs="IRBadr" w:hint="cs"/>
          <w:sz w:val="28"/>
          <w:szCs w:val="28"/>
          <w:rtl/>
          <w:lang w:bidi="fa-IR"/>
        </w:rPr>
        <w:t xml:space="preserve"> و باید همه محتملات آورده شود.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="00516AFE">
        <w:rPr>
          <w:rFonts w:ascii="IRBadr" w:hAnsi="IRBadr" w:cs="IRBadr" w:hint="cs"/>
          <w:sz w:val="28"/>
          <w:szCs w:val="28"/>
          <w:rtl/>
          <w:lang w:bidi="fa-IR"/>
        </w:rPr>
        <w:t xml:space="preserve"> علم اجمالی در موضوعات.</w:t>
      </w:r>
    </w:p>
    <w:p w:rsidR="00516AFE" w:rsidRDefault="00516AFE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آ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شریفه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حذر یعنی انذار فقیه نیز احتمالاتی را برای شما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لزوم حذر یعنی لزوم احتیاط که این احتمال بعید است و ظاهر آیه این است که باید تحذر نمود بر اساس گفته فقیه.</w:t>
      </w:r>
    </w:p>
    <w:p w:rsidR="00C33340" w:rsidRDefault="00C33340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33340" w:rsidRDefault="00CA4D3A" w:rsidP="00D300DE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516AFE" w:rsidRDefault="00516AFE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این احتیاط سابق نخواهد بود حتی اگر گفته شود عمل به گفته فقیه از باب احتیاط است نه حجیت.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نیز با احتمال سابق متفاوت است چراکه در بسیاری از اوقات تنها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یک‌طرف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بازگشت به اسبق علل در صورتی است که یک مورد در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C33340" w:rsidRDefault="00C33340" w:rsidP="00D300DE">
      <w:pPr>
        <w:pStyle w:val="Heading2"/>
        <w:rPr>
          <w:rtl/>
        </w:rPr>
      </w:pPr>
      <w:bookmarkStart w:id="7" w:name="_Toc434325661"/>
      <w:r>
        <w:rPr>
          <w:rFonts w:hint="cs"/>
          <w:rtl/>
        </w:rPr>
        <w:t>انحلال علم اجمالی در این مقام</w:t>
      </w:r>
      <w:bookmarkEnd w:id="7"/>
    </w:p>
    <w:p w:rsidR="00516AFE" w:rsidRDefault="00516AFE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فرد طبق گفته فقیه عمل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منجر خواهد شد که علم اجمالی سابق منحل شود و در ماورای مورد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برائت اجرا نمود.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غیر از مدار احتیاط کلی است که فرد علم اجمالی مطلق دارد.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دیگری نیز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که چندان ضرورتی ندارد.</w:t>
      </w:r>
    </w:p>
    <w:p w:rsidR="00516AFE" w:rsidRDefault="00184A3F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مناقشه دیگری بود که اجتهاد در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عصر متفاوت از اجتهاد امروزی است که در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قبلی وجود داشت.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ازآنچه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تاکنون گفتیم نتیجه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ی‌گیریم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استدلال به این آیه برای حجیت فتوا تمام است.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دیگر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درباره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وجود دارد که در جلسه بعد بررسی خواهد شد و آیه بعد نیز آیه ذکر است.</w:t>
      </w:r>
    </w:p>
    <w:p w:rsidR="00C33340" w:rsidRDefault="00C33340" w:rsidP="00D300DE">
      <w:pPr>
        <w:pStyle w:val="Heading3"/>
        <w:rPr>
          <w:rtl/>
        </w:rPr>
      </w:pPr>
      <w:bookmarkStart w:id="8" w:name="_Toc434325662"/>
      <w:r>
        <w:rPr>
          <w:rFonts w:hint="cs"/>
          <w:rtl/>
        </w:rPr>
        <w:t xml:space="preserve">بحث اخلاقی </w:t>
      </w:r>
      <w:r w:rsidR="00CA4D3A">
        <w:rPr>
          <w:rFonts w:hint="cs"/>
          <w:rtl/>
        </w:rPr>
        <w:t>نهج‌البلاغه</w:t>
      </w:r>
      <w:bookmarkEnd w:id="8"/>
    </w:p>
    <w:p w:rsidR="00C33340" w:rsidRPr="00C33340" w:rsidRDefault="009C7CE9" w:rsidP="00D300DE">
      <w:pPr>
        <w:pStyle w:val="Heading3"/>
        <w:rPr>
          <w:rtl/>
        </w:rPr>
      </w:pPr>
      <w:bookmarkStart w:id="9" w:name="_Toc434325663"/>
      <w:r>
        <w:rPr>
          <w:rFonts w:hint="cs"/>
          <w:rtl/>
        </w:rPr>
        <w:t>تصویرگری امام در قبال لحظه مرگ</w:t>
      </w:r>
      <w:bookmarkEnd w:id="9"/>
    </w:p>
    <w:p w:rsidR="00D300DE" w:rsidRDefault="00184A3F" w:rsidP="00D300DE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E7396">
        <w:rPr>
          <w:rFonts w:ascii="IRBadr" w:hAnsi="IRBadr" w:cs="IRBadr" w:hint="cs"/>
          <w:sz w:val="28"/>
          <w:szCs w:val="28"/>
          <w:rtl/>
          <w:lang w:bidi="fa-IR"/>
        </w:rPr>
        <w:t>از خطبه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82 که خطبه </w:t>
      </w:r>
      <w:bookmarkStart w:id="10" w:name="_GoBack"/>
      <w:r>
        <w:rPr>
          <w:rFonts w:ascii="IRBadr" w:hAnsi="IRBadr" w:cs="IRBadr" w:hint="cs"/>
          <w:sz w:val="28"/>
          <w:szCs w:val="28"/>
          <w:rtl/>
          <w:lang w:bidi="fa-IR"/>
        </w:rPr>
        <w:t>غراء</w:t>
      </w:r>
      <w:bookmarkEnd w:id="10"/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را بیان کرده بودیم و بیشتر گذری بر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خطبه بود.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پس‌ازاینکه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درباره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و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A4D3A">
        <w:rPr>
          <w:rFonts w:ascii="IRBadr" w:hAnsi="IRBadr" w:cs="IRBadr" w:hint="eastAsia"/>
          <w:sz w:val="28"/>
          <w:szCs w:val="28"/>
          <w:rtl/>
          <w:lang w:bidi="fa-IR"/>
        </w:rPr>
        <w:t>ژگ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CA4D3A">
        <w:rPr>
          <w:rFonts w:ascii="IRBadr" w:hAnsi="IRBadr" w:cs="IRBadr" w:hint="eastAsia"/>
          <w:sz w:val="28"/>
          <w:szCs w:val="28"/>
          <w:rtl/>
          <w:lang w:bidi="fa-IR"/>
        </w:rPr>
        <w:t>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انسان نکاتی را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CA4D3A">
        <w:rPr>
          <w:rFonts w:ascii="IRBadr" w:hAnsi="IRBadr" w:cs="IRBadr" w:hint="eastAsia"/>
          <w:sz w:val="28"/>
          <w:szCs w:val="28"/>
          <w:rtl/>
          <w:lang w:bidi="fa-IR"/>
        </w:rPr>
        <w:t>فرما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A4D3A">
        <w:rPr>
          <w:rFonts w:ascii="IRBadr" w:hAnsi="IRBadr" w:cs="IRBadr" w:hint="eastAsia"/>
          <w:sz w:val="28"/>
          <w:szCs w:val="28"/>
          <w:rtl/>
          <w:lang w:bidi="fa-IR"/>
        </w:rPr>
        <w:t>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A4D3A">
        <w:rPr>
          <w:rFonts w:ascii="IRBadr" w:hAnsi="IRBadr" w:cs="IRBadr" w:hint="eastAsia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CA4D3A">
        <w:rPr>
          <w:rFonts w:ascii="IRBadr" w:hAnsi="IRBadr" w:cs="IRBadr" w:hint="eastAsia"/>
          <w:sz w:val="28"/>
          <w:szCs w:val="28"/>
          <w:rtl/>
          <w:lang w:bidi="fa-IR"/>
        </w:rPr>
        <w:t>رسند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انسان از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فراوان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بهره‌مند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CA4D3A">
        <w:rPr>
          <w:rFonts w:ascii="IRBadr" w:hAnsi="IRBadr" w:cs="IRBadr" w:hint="eastAsia"/>
          <w:sz w:val="28"/>
          <w:szCs w:val="28"/>
          <w:rtl/>
          <w:lang w:bidi="fa-IR"/>
        </w:rPr>
        <w:t>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خداوند به او داده است،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ماندگار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نیست؛</w:t>
      </w:r>
    </w:p>
    <w:p w:rsidR="00D300DE" w:rsidRPr="00D300DE" w:rsidRDefault="00CA4D3A" w:rsidP="00D300DE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«آن</w:t>
      </w:r>
      <w:r w:rsidR="00D300DE" w:rsidRPr="00D300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الْإِنْسانَ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لَف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D300DE" w:rsidRPr="00D300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خُسْر»</w:t>
      </w:r>
      <w:r w:rsidR="00D300DE" w:rsidRPr="00D300DE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184A3F" w:rsidRDefault="00184A3F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بیان دیگری از مواجه انسان با حادثه بزرگ مرگ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بارها امام این تصویرها را به نحو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دل‌نشین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جذاب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تکان‌دهنده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عظمت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فوق از این است که بتواند این بیانات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کاملاً افاده کند.</w:t>
      </w:r>
    </w:p>
    <w:p w:rsidR="009C7CE9" w:rsidRDefault="009C7CE9" w:rsidP="00D300DE">
      <w:pPr>
        <w:pStyle w:val="Heading3"/>
        <w:rPr>
          <w:rtl/>
        </w:rPr>
      </w:pPr>
      <w:bookmarkStart w:id="11" w:name="_Toc434325664"/>
      <w:r>
        <w:rPr>
          <w:rFonts w:hint="cs"/>
          <w:rtl/>
        </w:rPr>
        <w:t>شروع خطبه</w:t>
      </w:r>
      <w:bookmarkEnd w:id="11"/>
    </w:p>
    <w:p w:rsidR="00D300DE" w:rsidRPr="00D300DE" w:rsidRDefault="00D300DE" w:rsidP="00D300D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«فَجَعَاتُ الْمَنِ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ةِ فِ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غُبَّرِ جِمَاحِهِ وَ سَنَنِ مِرَاحِهِ فَظَلَّ سَادِراً وَ 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بَاتَ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سَاهِراً 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فِ</w:t>
      </w:r>
      <w:r w:rsidR="00CA4D3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غَمَرَاتِ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الْآلَامِ وَ طَوَارِقِ الْأَوْجَاعِ وَ الْأَسْقَامِ بَ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 أَخٍ شَقِ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قٍ وَ وَالِدٍ شَفِ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قٍ وَ دَاعِ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ةٍ بِالْوَ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لِ جَزَعاً وَ لَادِمَةٍ لِلصَّدْرِ قَلَقاً وَ الْمَرْءُ فِ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سَ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رَةٍ مُلْهِ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ةٍ وَ غَمْرَةٍ 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ارِثَةٍ وَ أَنَّةٍ مُوجِعَةٍ وَ جَذْبَةٍ مُ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300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رِبَةٍ وَ سَوْقَةٍ مُتْعِبَةٍ</w:t>
      </w:r>
      <w:r w:rsidR="00CA4D3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D300DE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2"/>
      </w:r>
    </w:p>
    <w:p w:rsidR="00184A3F" w:rsidRDefault="00184A3F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فاجعه‌ها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فاجعه مرگ،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عظمت زیادی را دارد،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 روی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اوج خوشی و سرمستی است.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جمع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آوردن فاجعه وجه دیگری نیز دارد که مرگ غالباً با مریضی و به نحو تدریجی حاصل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او از این هجوم ناگهانی متحیر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064C02">
        <w:rPr>
          <w:rFonts w:ascii="IRBadr" w:hAnsi="IRBadr" w:cs="IRBadr" w:hint="cs"/>
          <w:sz w:val="28"/>
          <w:szCs w:val="28"/>
          <w:rtl/>
          <w:lang w:bidi="fa-IR"/>
        </w:rPr>
        <w:t xml:space="preserve"> و در این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موج‌ها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64C02">
        <w:rPr>
          <w:rFonts w:ascii="IRBadr" w:hAnsi="IRBadr" w:cs="IRBadr" w:hint="cs"/>
          <w:sz w:val="28"/>
          <w:szCs w:val="28"/>
          <w:rtl/>
          <w:lang w:bidi="fa-IR"/>
        </w:rPr>
        <w:t xml:space="preserve"> بلاء خواب از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چشم او زائل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C7CE9" w:rsidRDefault="009C7CE9" w:rsidP="00D300DE">
      <w:pPr>
        <w:pStyle w:val="Heading3"/>
        <w:rPr>
          <w:rtl/>
        </w:rPr>
      </w:pPr>
      <w:bookmarkStart w:id="12" w:name="_Toc434325665"/>
      <w:r>
        <w:rPr>
          <w:rFonts w:hint="cs"/>
          <w:rtl/>
        </w:rPr>
        <w:t>سکرات موت</w:t>
      </w:r>
      <w:bookmarkEnd w:id="12"/>
    </w:p>
    <w:p w:rsidR="009C7CE9" w:rsidRDefault="00064C02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او در دنیای دیگری که برای او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پیش‌آمده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غرق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فاجعه تا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جلو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 جایی که دوستان و خانواده دور او را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گرفته‌اند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کاری کند و او از عظمت فاجعه در سکرت به سر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او آه دردناکی صادر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حال قبض روح شدن است و در رنج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فوق‌العاده‌ای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دارد.</w:t>
      </w:r>
    </w:p>
    <w:p w:rsidR="00184A3F" w:rsidRDefault="00064C02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انسان باید دائم در حال سلامت این حال را متذکر باشد که در این صورت در 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لحظات چنین حالاتی را پیدا </w:t>
      </w:r>
      <w:r w:rsidR="00CA4D3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A4D3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84A3F" w:rsidRDefault="00184A3F" w:rsidP="00184A3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16AFE" w:rsidRDefault="00516AFE" w:rsidP="00516AF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905D2" w:rsidRPr="00BC1C66" w:rsidRDefault="008905D2" w:rsidP="008905D2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8905D2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42" w:rsidRDefault="00AF6D42" w:rsidP="000D5800">
      <w:pPr>
        <w:spacing w:after="0" w:line="240" w:lineRule="auto"/>
      </w:pPr>
      <w:r>
        <w:separator/>
      </w:r>
    </w:p>
  </w:endnote>
  <w:end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3A" w:rsidRDefault="00CA4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3A" w:rsidRDefault="00CA4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3A" w:rsidRDefault="00CA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42" w:rsidRDefault="00AF6D42" w:rsidP="00CA4D3A">
      <w:pPr>
        <w:spacing w:after="0" w:line="240" w:lineRule="auto"/>
        <w:jc w:val="right"/>
      </w:pPr>
      <w:r>
        <w:separator/>
      </w:r>
    </w:p>
  </w:footnote>
  <w:foot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footnote>
  <w:footnote w:id="1">
    <w:p w:rsidR="00D300DE" w:rsidRDefault="00D300D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300DE">
        <w:rPr>
          <w:rFonts w:ascii="IRBadr" w:hAnsi="IRBadr" w:cs="IRBadr"/>
          <w:color w:val="000000"/>
          <w:rtl/>
        </w:rPr>
        <w:t xml:space="preserve">العصر </w:t>
      </w:r>
      <w:r w:rsidRPr="00D300DE">
        <w:rPr>
          <w:rFonts w:ascii="IRBadr" w:hAnsi="IRBadr" w:cs="IRBadr"/>
          <w:color w:val="000000"/>
        </w:rPr>
        <w:t>/</w:t>
      </w:r>
      <w:r w:rsidRPr="00D300DE">
        <w:rPr>
          <w:rFonts w:ascii="IRBadr" w:hAnsi="IRBadr" w:cs="IRBadr"/>
          <w:color w:val="000000"/>
          <w:rtl/>
        </w:rPr>
        <w:t xml:space="preserve"> 2</w:t>
      </w:r>
    </w:p>
  </w:footnote>
  <w:footnote w:id="2">
    <w:p w:rsidR="00D300DE" w:rsidRDefault="00D300DE" w:rsidP="00D300D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300DE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بحار الأنوار (ط - ب</w:t>
      </w:r>
      <w:r w:rsidR="00CA4D3A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D300DE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روت) / </w:t>
      </w:r>
      <w:r w:rsidR="00CA4D3A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ج 74</w:t>
      </w:r>
      <w:r w:rsidRPr="00D300DE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 / 428 / باب 15 مواعظ أم</w:t>
      </w:r>
      <w:r w:rsidR="00CA4D3A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D300DE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ر المؤمن</w:t>
      </w:r>
      <w:r w:rsidR="00CA4D3A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D300DE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ن ع و خطبه أ</w:t>
      </w:r>
      <w:r w:rsidR="00CA4D3A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D300DE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ضا و ح</w:t>
      </w:r>
      <w:r w:rsidR="00CA4D3A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ک</w:t>
      </w:r>
      <w:r w:rsidRPr="00D300DE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مه ..... ص: 376</w:t>
      </w:r>
    </w:p>
    <w:p w:rsidR="00D300DE" w:rsidRDefault="00D300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3A" w:rsidRDefault="00CA4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54D5A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97AE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46</w:t>
    </w:r>
    <w:r w:rsidR="00E05AF0">
      <w:rPr>
        <w:rFonts w:ascii="IranNastaliq" w:hAnsi="IranNastaliq" w:cs="IranNastaliq" w:hint="cs"/>
        <w:sz w:val="40"/>
        <w:szCs w:val="40"/>
        <w:rtl/>
        <w:lang w:bidi="fa-IR"/>
      </w:rPr>
      <w:t>7</w:t>
    </w:r>
    <w:r w:rsidR="00354D5A">
      <w:rPr>
        <w:rFonts w:ascii="IranNastaliq" w:hAnsi="IranNastaliq" w:cs="IranNastaliq" w:hint="cs"/>
        <w:sz w:val="40"/>
        <w:szCs w:val="40"/>
        <w:rtl/>
        <w:lang w:bidi="fa-IR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3A" w:rsidRDefault="00CA4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64C02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84A3F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029F4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54D5A"/>
    <w:rsid w:val="00366400"/>
    <w:rsid w:val="00392E9A"/>
    <w:rsid w:val="00396F28"/>
    <w:rsid w:val="0039750A"/>
    <w:rsid w:val="003A1A05"/>
    <w:rsid w:val="003A2654"/>
    <w:rsid w:val="003A7D46"/>
    <w:rsid w:val="003B7163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367A"/>
    <w:rsid w:val="004C5D3A"/>
    <w:rsid w:val="004E7830"/>
    <w:rsid w:val="004F3596"/>
    <w:rsid w:val="00516AFE"/>
    <w:rsid w:val="0055278E"/>
    <w:rsid w:val="00567B30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00E71"/>
    <w:rsid w:val="00706628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455D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05D2"/>
    <w:rsid w:val="008965D2"/>
    <w:rsid w:val="008A236D"/>
    <w:rsid w:val="008A68BE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32276"/>
    <w:rsid w:val="009401AC"/>
    <w:rsid w:val="009613AC"/>
    <w:rsid w:val="00961C98"/>
    <w:rsid w:val="00963AA3"/>
    <w:rsid w:val="00980643"/>
    <w:rsid w:val="00992D2C"/>
    <w:rsid w:val="009B61C3"/>
    <w:rsid w:val="009C7B4F"/>
    <w:rsid w:val="009C7CE9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83273"/>
    <w:rsid w:val="00A90ACB"/>
    <w:rsid w:val="00A9616A"/>
    <w:rsid w:val="00A96F68"/>
    <w:rsid w:val="00AA2342"/>
    <w:rsid w:val="00AA5D49"/>
    <w:rsid w:val="00AD0304"/>
    <w:rsid w:val="00AD27BE"/>
    <w:rsid w:val="00AE2096"/>
    <w:rsid w:val="00AE7396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BD5575"/>
    <w:rsid w:val="00C160AF"/>
    <w:rsid w:val="00C22299"/>
    <w:rsid w:val="00C25609"/>
    <w:rsid w:val="00C26607"/>
    <w:rsid w:val="00C33340"/>
    <w:rsid w:val="00C60D75"/>
    <w:rsid w:val="00C64CEA"/>
    <w:rsid w:val="00C73012"/>
    <w:rsid w:val="00C763DD"/>
    <w:rsid w:val="00C84FC0"/>
    <w:rsid w:val="00C9244A"/>
    <w:rsid w:val="00CA4D3A"/>
    <w:rsid w:val="00CB5DA3"/>
    <w:rsid w:val="00CE31E6"/>
    <w:rsid w:val="00CE3B74"/>
    <w:rsid w:val="00CF42E2"/>
    <w:rsid w:val="00CF7916"/>
    <w:rsid w:val="00D158F3"/>
    <w:rsid w:val="00D207DB"/>
    <w:rsid w:val="00D300DE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5AF0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20F8-7C0E-4C9E-8FCC-57F47410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1047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86</cp:revision>
  <dcterms:created xsi:type="dcterms:W3CDTF">2014-11-18T06:47:00Z</dcterms:created>
  <dcterms:modified xsi:type="dcterms:W3CDTF">2015-11-04T20:57:00Z</dcterms:modified>
</cp:coreProperties>
</file>