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F6" w:rsidRDefault="007423F6" w:rsidP="007423F6">
      <w:pPr>
        <w:pStyle w:val="3"/>
        <w:rPr>
          <w:rtl/>
        </w:rPr>
      </w:pPr>
      <w:r>
        <w:rPr>
          <w:rFonts w:hint="cs"/>
          <w:rtl/>
        </w:rPr>
        <w:t>اشاره</w:t>
      </w:r>
    </w:p>
    <w:p w:rsidR="007423F6" w:rsidRDefault="007423F6" w:rsidP="00330914">
      <w:pPr>
        <w:rPr>
          <w:rtl/>
        </w:rPr>
      </w:pPr>
      <w:r>
        <w:rPr>
          <w:rFonts w:hint="cs"/>
          <w:rtl/>
        </w:rPr>
        <w:t>ما استدلال به آیه «فسألو أهل الذکر» را به رقم اینکه بزرگانی مانند آقای خوئی قبول نداشتند</w:t>
      </w:r>
      <w:r w:rsidR="00330914">
        <w:rPr>
          <w:rFonts w:hint="cs"/>
          <w:rtl/>
        </w:rPr>
        <w:t>،</w:t>
      </w:r>
      <w:r>
        <w:rPr>
          <w:rFonts w:hint="cs"/>
          <w:rtl/>
        </w:rPr>
        <w:t xml:space="preserve"> پذیرفتیم و اشکالاتی که</w:t>
      </w:r>
      <w:r w:rsidR="007B6069">
        <w:rPr>
          <w:rFonts w:hint="cs"/>
          <w:rtl/>
        </w:rPr>
        <w:t xml:space="preserve"> می‌</w:t>
      </w:r>
      <w:r>
        <w:rPr>
          <w:rFonts w:hint="cs"/>
          <w:rtl/>
        </w:rPr>
        <w:t>توانست به این استدلال وارد بشود</w:t>
      </w:r>
      <w:r w:rsidR="00330914">
        <w:rPr>
          <w:rFonts w:hint="cs"/>
          <w:rtl/>
        </w:rPr>
        <w:t>،</w:t>
      </w:r>
      <w:r>
        <w:rPr>
          <w:rFonts w:hint="cs"/>
          <w:rtl/>
        </w:rPr>
        <w:t xml:space="preserve"> دفع </w:t>
      </w:r>
      <w:r w:rsidR="00330914">
        <w:rPr>
          <w:rFonts w:hint="cs"/>
          <w:rtl/>
        </w:rPr>
        <w:t>کردیم</w:t>
      </w:r>
      <w:r>
        <w:rPr>
          <w:rFonts w:hint="cs"/>
          <w:rtl/>
        </w:rPr>
        <w:t>. چند نکته دیگر در ادامه این مطالبی که در ذیل آیه شریفه مطرح شده</w:t>
      </w:r>
      <w:r w:rsidR="00330914">
        <w:rPr>
          <w:rFonts w:hint="cs"/>
          <w:rtl/>
        </w:rPr>
        <w:t>،</w:t>
      </w:r>
      <w:r>
        <w:rPr>
          <w:rFonts w:hint="cs"/>
          <w:rtl/>
        </w:rPr>
        <w:t xml:space="preserve"> باقی مانده است که آنها را نیز عرض</w:t>
      </w:r>
      <w:r w:rsidR="007B6069">
        <w:rPr>
          <w:rFonts w:hint="cs"/>
          <w:rtl/>
        </w:rPr>
        <w:t xml:space="preserve"> می‌</w:t>
      </w:r>
      <w:r>
        <w:rPr>
          <w:rFonts w:hint="cs"/>
          <w:rtl/>
        </w:rPr>
        <w:t>کنیم.</w:t>
      </w:r>
    </w:p>
    <w:p w:rsidR="00330914" w:rsidRDefault="00330914" w:rsidP="00330914">
      <w:pPr>
        <w:pStyle w:val="3"/>
        <w:rPr>
          <w:rtl/>
        </w:rPr>
      </w:pPr>
      <w:r>
        <w:rPr>
          <w:rFonts w:hint="cs"/>
          <w:rtl/>
        </w:rPr>
        <w:t>بیان نکات آیه ذکر</w:t>
      </w:r>
    </w:p>
    <w:p w:rsidR="007423F6" w:rsidRDefault="007423F6" w:rsidP="00330914">
      <w:pPr>
        <w:pStyle w:val="4"/>
        <w:rPr>
          <w:rtl/>
        </w:rPr>
      </w:pPr>
      <w:r>
        <w:rPr>
          <w:rFonts w:hint="cs"/>
          <w:rtl/>
        </w:rPr>
        <w:t>نکته اول</w:t>
      </w:r>
      <w:r w:rsidR="00330914">
        <w:rPr>
          <w:rFonts w:hint="cs"/>
          <w:rtl/>
        </w:rPr>
        <w:t>: پیوند محل شاهد آیه با ادامه‌ آیه</w:t>
      </w:r>
    </w:p>
    <w:p w:rsidR="007423F6" w:rsidRDefault="007423F6" w:rsidP="00330914">
      <w:pPr>
        <w:rPr>
          <w:rtl/>
        </w:rPr>
      </w:pPr>
      <w:r>
        <w:rPr>
          <w:rFonts w:hint="cs"/>
          <w:rtl/>
        </w:rPr>
        <w:t>آیه 43 سوره نحل، ادامه</w:t>
      </w:r>
      <w:r w:rsidR="007B6069">
        <w:rPr>
          <w:rFonts w:hint="cs"/>
          <w:rtl/>
        </w:rPr>
        <w:t xml:space="preserve">‌ای </w:t>
      </w:r>
      <w:r>
        <w:rPr>
          <w:rFonts w:hint="cs"/>
          <w:rtl/>
        </w:rPr>
        <w:t>دارد به این ترتیب که «فسألو أهل الذکر إن کنتم لا تعلمون، بالبَیِّناتِ وَ الزُّبُر» این جار و مجرور در آیه بعد قرار گرفته است و البته در ادامه بعد از «بالبیّنات و الزبّر» مطلب دیگری است که شاید ربطی به قبل نداشته باشد.</w:t>
      </w:r>
    </w:p>
    <w:p w:rsidR="007423F6" w:rsidRDefault="007423F6" w:rsidP="007423F6">
      <w:pPr>
        <w:pStyle w:val="4"/>
        <w:rPr>
          <w:rtl/>
        </w:rPr>
      </w:pPr>
      <w:r>
        <w:rPr>
          <w:rFonts w:hint="cs"/>
          <w:rtl/>
        </w:rPr>
        <w:t>سؤال</w:t>
      </w:r>
    </w:p>
    <w:p w:rsidR="007423F6" w:rsidRDefault="00FF278A" w:rsidP="00FF278A">
      <w:pPr>
        <w:rPr>
          <w:rtl/>
        </w:rPr>
      </w:pPr>
      <w:r>
        <w:rPr>
          <w:rFonts w:hint="cs"/>
          <w:rtl/>
        </w:rPr>
        <w:t>این عبارت</w:t>
      </w:r>
      <w:r w:rsidR="00330914">
        <w:rPr>
          <w:rFonts w:hint="cs"/>
          <w:rtl/>
        </w:rPr>
        <w:t xml:space="preserve"> </w:t>
      </w:r>
      <w:r>
        <w:rPr>
          <w:rFonts w:hint="cs"/>
          <w:rtl/>
        </w:rPr>
        <w:t xml:space="preserve">«بالبیّنات و الزبر» </w:t>
      </w:r>
      <w:r w:rsidR="00330914">
        <w:rPr>
          <w:rFonts w:hint="cs"/>
          <w:rtl/>
        </w:rPr>
        <w:t xml:space="preserve">که فقط در سوره نحل آمده و در سوره انبیاء نیامده است </w:t>
      </w:r>
      <w:r w:rsidR="007423F6">
        <w:rPr>
          <w:rFonts w:hint="cs"/>
          <w:rtl/>
        </w:rPr>
        <w:t xml:space="preserve">متعلق به چیست؟ </w:t>
      </w:r>
    </w:p>
    <w:p w:rsidR="007423F6" w:rsidRDefault="007423F6" w:rsidP="007423F6">
      <w:pPr>
        <w:pStyle w:val="4"/>
        <w:rPr>
          <w:rtl/>
        </w:rPr>
      </w:pPr>
      <w:r>
        <w:rPr>
          <w:rFonts w:hint="cs"/>
          <w:rtl/>
        </w:rPr>
        <w:t>جواب</w:t>
      </w:r>
    </w:p>
    <w:p w:rsidR="00FF278A" w:rsidRDefault="00FF278A" w:rsidP="00FF278A">
      <w:pPr>
        <w:rPr>
          <w:rtl/>
        </w:rPr>
      </w:pPr>
      <w:r>
        <w:rPr>
          <w:rFonts w:hint="cs"/>
          <w:rtl/>
        </w:rPr>
        <w:t>احتمالاتی در این مسئله مطرح است که در ذیل بدانها اشاره می‌شود:</w:t>
      </w:r>
    </w:p>
    <w:p w:rsidR="007423F6" w:rsidRDefault="007423F6" w:rsidP="00FF278A">
      <w:pPr>
        <w:rPr>
          <w:rtl/>
        </w:rPr>
      </w:pPr>
      <w:r>
        <w:rPr>
          <w:rFonts w:hint="cs"/>
          <w:rtl/>
        </w:rPr>
        <w:t>1- احتمالی که مرحوم علامه</w:t>
      </w:r>
      <w:r w:rsidR="00FF278A">
        <w:rPr>
          <w:rFonts w:hint="cs"/>
          <w:rtl/>
        </w:rPr>
        <w:t xml:space="preserve"> در المیزان</w:t>
      </w:r>
      <w:r>
        <w:rPr>
          <w:rFonts w:hint="cs"/>
          <w:rtl/>
        </w:rPr>
        <w:t xml:space="preserve"> آن را نقل</w:t>
      </w:r>
      <w:r w:rsidR="007B6069">
        <w:rPr>
          <w:rFonts w:hint="cs"/>
          <w:rtl/>
        </w:rPr>
        <w:t xml:space="preserve"> می‌</w:t>
      </w:r>
      <w:r>
        <w:rPr>
          <w:rFonts w:hint="cs"/>
          <w:rtl/>
        </w:rPr>
        <w:t>کنند</w:t>
      </w:r>
      <w:r w:rsidR="00FF278A">
        <w:rPr>
          <w:rFonts w:hint="cs"/>
          <w:rtl/>
        </w:rPr>
        <w:t>،</w:t>
      </w:r>
      <w:r>
        <w:rPr>
          <w:rFonts w:hint="cs"/>
          <w:rtl/>
        </w:rPr>
        <w:t xml:space="preserve"> ولی</w:t>
      </w:r>
      <w:r w:rsidR="007B6069">
        <w:rPr>
          <w:rFonts w:hint="cs"/>
          <w:rtl/>
        </w:rPr>
        <w:t xml:space="preserve"> نمی‌</w:t>
      </w:r>
      <w:r>
        <w:rPr>
          <w:rFonts w:hint="cs"/>
          <w:rtl/>
        </w:rPr>
        <w:t xml:space="preserve">پذیرند: </w:t>
      </w:r>
      <w:r w:rsidR="00FF278A">
        <w:rPr>
          <w:rFonts w:hint="cs"/>
          <w:rtl/>
        </w:rPr>
        <w:t xml:space="preserve">در این احتمال </w:t>
      </w:r>
      <w:r>
        <w:rPr>
          <w:rFonts w:hint="cs"/>
          <w:rtl/>
        </w:rPr>
        <w:t xml:space="preserve">این عبارت متعلق به جمله قبل از «فسألوا أهل الذکر» </w:t>
      </w:r>
      <w:r w:rsidR="00FF278A">
        <w:rPr>
          <w:rFonts w:hint="cs"/>
          <w:rtl/>
        </w:rPr>
        <w:t>است</w:t>
      </w:r>
      <w:r>
        <w:rPr>
          <w:rFonts w:hint="cs"/>
          <w:rtl/>
        </w:rPr>
        <w:t xml:space="preserve"> و آن جمله این </w:t>
      </w:r>
      <w:r w:rsidR="00FF278A">
        <w:rPr>
          <w:rFonts w:hint="cs"/>
          <w:rtl/>
        </w:rPr>
        <w:t>است</w:t>
      </w:r>
      <w:r>
        <w:rPr>
          <w:rFonts w:hint="cs"/>
          <w:rtl/>
        </w:rPr>
        <w:t>: «</w:t>
      </w:r>
      <w:r>
        <w:rPr>
          <w:rtl/>
        </w:rPr>
        <w:t>وَمَا أَرْسَلْنَا قَبْلَكَ إِلاَّ رِجَالًا نُّوحِي إِلَيْهِمْ</w:t>
      </w:r>
      <w:r>
        <w:rPr>
          <w:rFonts w:hint="cs"/>
          <w:rtl/>
        </w:rPr>
        <w:t xml:space="preserve">». عبارت مذکور مربوط به این جمله </w:t>
      </w:r>
      <w:r w:rsidR="00FF278A">
        <w:rPr>
          <w:rFonts w:hint="cs"/>
          <w:rtl/>
        </w:rPr>
        <w:t>می‌شود</w:t>
      </w:r>
      <w:r>
        <w:rPr>
          <w:rFonts w:hint="cs"/>
          <w:rtl/>
        </w:rPr>
        <w:t xml:space="preserve"> به این صورت که: «و ما أرسلنا من قبلک إلاّ رجالاً </w:t>
      </w:r>
      <w:r w:rsidR="00ED7EDF">
        <w:rPr>
          <w:rFonts w:hint="cs"/>
          <w:rtl/>
        </w:rPr>
        <w:t xml:space="preserve">نوحی إلیهم </w:t>
      </w:r>
      <w:r>
        <w:rPr>
          <w:rFonts w:hint="cs"/>
          <w:rtl/>
        </w:rPr>
        <w:t xml:space="preserve">بالبیّنات و الزّبر» </w:t>
      </w:r>
      <w:r w:rsidR="00ED7EDF">
        <w:rPr>
          <w:rFonts w:hint="cs"/>
          <w:rtl/>
        </w:rPr>
        <w:t>که این بالبیّنات و الزبّر</w:t>
      </w:r>
      <w:r w:rsidR="007B6069">
        <w:rPr>
          <w:rFonts w:hint="cs"/>
          <w:rtl/>
        </w:rPr>
        <w:t xml:space="preserve"> می‌</w:t>
      </w:r>
      <w:r w:rsidR="00ED7EDF">
        <w:rPr>
          <w:rFonts w:hint="cs"/>
          <w:rtl/>
        </w:rPr>
        <w:t>تواند متعلق به ما أرسلنا باشد.</w:t>
      </w:r>
    </w:p>
    <w:p w:rsidR="00ED7EDF" w:rsidRDefault="00ED7EDF" w:rsidP="00ED7EDF">
      <w:pPr>
        <w:rPr>
          <w:rtl/>
        </w:rPr>
      </w:pPr>
      <w:r>
        <w:rPr>
          <w:rFonts w:hint="cs"/>
          <w:rtl/>
        </w:rPr>
        <w:t>2- نظر خودِ علامه این است که این عبارت متعلق به یک عامل محذوف است که از کلام قبل استفاده</w:t>
      </w:r>
      <w:r w:rsidR="007B6069">
        <w:rPr>
          <w:rFonts w:hint="cs"/>
          <w:rtl/>
        </w:rPr>
        <w:t xml:space="preserve"> می‌</w:t>
      </w:r>
      <w:r>
        <w:rPr>
          <w:rFonts w:hint="cs"/>
          <w:rtl/>
        </w:rPr>
        <w:t>شود. در این حالت نیز از جمله قبلی استفاده شده و آن محذوفی که مستفاد از جمله قبل است و عامل و متعلق این جار و مجرور است</w:t>
      </w:r>
      <w:r w:rsidR="00FF278A">
        <w:rPr>
          <w:rFonts w:hint="cs"/>
          <w:rtl/>
        </w:rPr>
        <w:t>،</w:t>
      </w:r>
      <w:r>
        <w:rPr>
          <w:rFonts w:hint="cs"/>
          <w:rtl/>
        </w:rPr>
        <w:t xml:space="preserve"> اینگونه</w:t>
      </w:r>
      <w:r w:rsidR="007B6069">
        <w:rPr>
          <w:rFonts w:hint="cs"/>
          <w:rtl/>
        </w:rPr>
        <w:t xml:space="preserve"> می‌</w:t>
      </w:r>
      <w:r>
        <w:rPr>
          <w:rFonts w:hint="cs"/>
          <w:rtl/>
        </w:rPr>
        <w:t>تواند باشد که مثلاً «و أرسلناهم بالبیّنات و الزّبر». جمله قبل جمله نفی بود و احتمال قبلی اینگونه</w:t>
      </w:r>
      <w:r w:rsidR="007B6069">
        <w:rPr>
          <w:rFonts w:hint="cs"/>
          <w:rtl/>
        </w:rPr>
        <w:t xml:space="preserve"> می‌</w:t>
      </w:r>
      <w:r>
        <w:rPr>
          <w:rFonts w:hint="cs"/>
          <w:rtl/>
        </w:rPr>
        <w:t>گوید که به همین اصل جمله قبل بر</w:t>
      </w:r>
      <w:r w:rsidR="007B6069">
        <w:rPr>
          <w:rFonts w:hint="cs"/>
          <w:rtl/>
        </w:rPr>
        <w:t xml:space="preserve"> می‌</w:t>
      </w:r>
      <w:r>
        <w:rPr>
          <w:rFonts w:hint="cs"/>
          <w:rtl/>
        </w:rPr>
        <w:t>گردد و این احتمال</w:t>
      </w:r>
      <w:r w:rsidR="007B6069">
        <w:rPr>
          <w:rFonts w:hint="cs"/>
          <w:rtl/>
        </w:rPr>
        <w:t xml:space="preserve"> می‌</w:t>
      </w:r>
      <w:r>
        <w:rPr>
          <w:rFonts w:hint="cs"/>
          <w:rtl/>
        </w:rPr>
        <w:t>گوید که به یک جمله و کلام اثباتی که از جمله قبل استفاده</w:t>
      </w:r>
      <w:r w:rsidR="007B6069">
        <w:rPr>
          <w:rFonts w:hint="cs"/>
          <w:rtl/>
        </w:rPr>
        <w:t xml:space="preserve"> می‌</w:t>
      </w:r>
      <w:r>
        <w:rPr>
          <w:rFonts w:hint="cs"/>
          <w:rtl/>
        </w:rPr>
        <w:t>شود تعلق</w:t>
      </w:r>
      <w:r w:rsidR="007B6069">
        <w:rPr>
          <w:rFonts w:hint="cs"/>
          <w:rtl/>
        </w:rPr>
        <w:t xml:space="preserve"> می‌</w:t>
      </w:r>
      <w:r>
        <w:rPr>
          <w:rFonts w:hint="cs"/>
          <w:rtl/>
        </w:rPr>
        <w:t xml:space="preserve">گیرد. و آن محذوف همان است که گفته شد که مقصود از بیّنات هم آیات مبیّن </w:t>
      </w:r>
      <w:r>
        <w:rPr>
          <w:rFonts w:hint="cs"/>
          <w:rtl/>
        </w:rPr>
        <w:lastRenderedPageBreak/>
        <w:t>خداوند متعال است</w:t>
      </w:r>
      <w:r w:rsidR="00FF278A">
        <w:rPr>
          <w:rFonts w:hint="cs"/>
          <w:rtl/>
        </w:rPr>
        <w:t>؛</w:t>
      </w:r>
      <w:r>
        <w:rPr>
          <w:rFonts w:hint="cs"/>
          <w:rtl/>
        </w:rPr>
        <w:t xml:space="preserve"> مانند توحید و نبوت و امثال اینها. به عبارت دیگر بیّنات به معنای حجج و ادله و براهین بوده و زبر هم به معنای کتب آسمانی</w:t>
      </w:r>
      <w:r w:rsidR="007B6069">
        <w:rPr>
          <w:rFonts w:hint="cs"/>
          <w:rtl/>
        </w:rPr>
        <w:t xml:space="preserve"> می‌</w:t>
      </w:r>
      <w:r>
        <w:rPr>
          <w:rFonts w:hint="cs"/>
          <w:rtl/>
        </w:rPr>
        <w:t>باشد. به این معنا که ما آنها را با معجزات و دلایل و کتابهای آسمانی مبعوث کردیم.</w:t>
      </w:r>
    </w:p>
    <w:p w:rsidR="00ED7EDF" w:rsidRDefault="00ED7EDF" w:rsidP="00ED7EDF">
      <w:pPr>
        <w:rPr>
          <w:rtl/>
        </w:rPr>
      </w:pPr>
      <w:r>
        <w:rPr>
          <w:rFonts w:hint="cs"/>
          <w:rtl/>
        </w:rPr>
        <w:t>این دو وجهی است که مرحوم علامه در تفسیر المیزان آورده و وجه دوم را ترجیح</w:t>
      </w:r>
      <w:r w:rsidR="007B6069">
        <w:rPr>
          <w:rFonts w:hint="cs"/>
          <w:rtl/>
        </w:rPr>
        <w:t xml:space="preserve"> می‌</w:t>
      </w:r>
      <w:r>
        <w:rPr>
          <w:rFonts w:hint="cs"/>
          <w:rtl/>
        </w:rPr>
        <w:t>دهند که البته معلوم نیست که این وجه هم تام باشد، ضمن اینکه تعلق به محذوف همراه با خلاف اصل است.</w:t>
      </w:r>
    </w:p>
    <w:p w:rsidR="00ED7EDF" w:rsidRDefault="00ED7EDF" w:rsidP="00ED7EDF">
      <w:pPr>
        <w:rPr>
          <w:rtl/>
        </w:rPr>
      </w:pPr>
      <w:r>
        <w:rPr>
          <w:rFonts w:hint="cs"/>
          <w:rtl/>
        </w:rPr>
        <w:t>این دو احتمال هر کدام جهات مبعّده</w:t>
      </w:r>
      <w:r w:rsidR="007B6069">
        <w:rPr>
          <w:rFonts w:hint="cs"/>
          <w:rtl/>
        </w:rPr>
        <w:t xml:space="preserve">‌ای </w:t>
      </w:r>
      <w:r>
        <w:rPr>
          <w:rFonts w:hint="cs"/>
          <w:rtl/>
        </w:rPr>
        <w:t>دارند که اگر ما ناچار باشیم باید آنها را بپذیریم.</w:t>
      </w:r>
    </w:p>
    <w:p w:rsidR="00ED7EDF" w:rsidRDefault="00ED7EDF" w:rsidP="00ED7EDF">
      <w:pPr>
        <w:pStyle w:val="4"/>
        <w:rPr>
          <w:rtl/>
        </w:rPr>
      </w:pPr>
      <w:r>
        <w:rPr>
          <w:rFonts w:hint="cs"/>
          <w:rtl/>
        </w:rPr>
        <w:t>نقد دو احتمال</w:t>
      </w:r>
    </w:p>
    <w:p w:rsidR="00ED7EDF" w:rsidRDefault="00ED7EDF" w:rsidP="00ED7EDF">
      <w:pPr>
        <w:rPr>
          <w:rtl/>
        </w:rPr>
      </w:pPr>
      <w:r>
        <w:rPr>
          <w:rFonts w:hint="cs"/>
          <w:rtl/>
        </w:rPr>
        <w:t>در احتمال اول تعلق به جار و مجرور به ما أرسلنایی است که با فاصله از عبارت</w:t>
      </w:r>
      <w:r w:rsidR="007B6069">
        <w:rPr>
          <w:rFonts w:hint="cs"/>
          <w:rtl/>
        </w:rPr>
        <w:t xml:space="preserve"> می‌</w:t>
      </w:r>
      <w:r>
        <w:rPr>
          <w:rFonts w:hint="cs"/>
          <w:rtl/>
        </w:rPr>
        <w:t>باشد که این خلاف ظاهر است و اگر ناچار باشیم باید آن را به جمله</w:t>
      </w:r>
      <w:r w:rsidR="007B6069">
        <w:rPr>
          <w:rFonts w:hint="cs"/>
          <w:rtl/>
        </w:rPr>
        <w:t xml:space="preserve">‌ای </w:t>
      </w:r>
      <w:r>
        <w:rPr>
          <w:rFonts w:hint="cs"/>
          <w:rtl/>
        </w:rPr>
        <w:t>با فاصله جمله دیگر برگردانیم.</w:t>
      </w:r>
    </w:p>
    <w:p w:rsidR="00523858" w:rsidRDefault="00ED7EDF" w:rsidP="00ED7EDF">
      <w:pPr>
        <w:rPr>
          <w:rtl/>
        </w:rPr>
      </w:pPr>
      <w:r>
        <w:rPr>
          <w:rFonts w:hint="cs"/>
          <w:rtl/>
        </w:rPr>
        <w:t>احتمال دوم نیز از این جهت خلاف ظاهر است که همانطور که گفته شد حذف</w:t>
      </w:r>
      <w:r w:rsidR="00FF278A">
        <w:rPr>
          <w:rFonts w:hint="cs"/>
          <w:rtl/>
        </w:rPr>
        <w:t>،</w:t>
      </w:r>
      <w:r>
        <w:rPr>
          <w:rFonts w:hint="cs"/>
          <w:rtl/>
        </w:rPr>
        <w:t xml:space="preserve"> خلاف اصل است و در واقع دو امر خلاف اصل وجود دارد: یکی اینکه اصلاً اینکه چیزی مقدر باشد نیاز به قرینه خاصّه دارد و ثانیاً اینکه جار و مجرور به امر محذوفی تعلق بگیرد </w:t>
      </w:r>
      <w:r w:rsidR="00523858">
        <w:rPr>
          <w:rFonts w:hint="cs"/>
          <w:rtl/>
        </w:rPr>
        <w:t>هم خلاف اصل است</w:t>
      </w:r>
      <w:r w:rsidR="00FF278A">
        <w:rPr>
          <w:rFonts w:hint="cs"/>
          <w:rtl/>
        </w:rPr>
        <w:t>،</w:t>
      </w:r>
      <w:r w:rsidR="00523858">
        <w:rPr>
          <w:rFonts w:hint="cs"/>
          <w:rtl/>
        </w:rPr>
        <w:t xml:space="preserve"> مگر اینکه قراین واضحی داشته باشد.</w:t>
      </w:r>
    </w:p>
    <w:p w:rsidR="00523858" w:rsidRDefault="00523858" w:rsidP="00ED7EDF">
      <w:pPr>
        <w:rPr>
          <w:rtl/>
        </w:rPr>
      </w:pPr>
      <w:r>
        <w:rPr>
          <w:rFonts w:hint="cs"/>
          <w:rtl/>
        </w:rPr>
        <w:t>3- احتمال دیگری که</w:t>
      </w:r>
      <w:r w:rsidR="007B6069">
        <w:rPr>
          <w:rFonts w:hint="cs"/>
          <w:rtl/>
        </w:rPr>
        <w:t xml:space="preserve"> می‌</w:t>
      </w:r>
      <w:r>
        <w:rPr>
          <w:rFonts w:hint="cs"/>
          <w:rtl/>
        </w:rPr>
        <w:t>توان در نظر گرفت این است که «بالبیّنات و الزّبر» به همین «إن کنتم لا تعلمون» تعلق بگیرد به این معنا که اگر شما آشنای به آن معجزات و دلایل پیشین و یا کتابهای قبل نیستید از کسانی که مطلع هستند سؤال کنید.</w:t>
      </w:r>
    </w:p>
    <w:p w:rsidR="00FF278A" w:rsidRDefault="00FF278A" w:rsidP="00FF278A">
      <w:pPr>
        <w:pStyle w:val="4"/>
        <w:rPr>
          <w:rtl/>
        </w:rPr>
      </w:pPr>
      <w:r>
        <w:rPr>
          <w:rFonts w:hint="cs"/>
          <w:rtl/>
        </w:rPr>
        <w:t>اشکال</w:t>
      </w:r>
    </w:p>
    <w:p w:rsidR="00FF278A" w:rsidRDefault="00FF278A" w:rsidP="00FF278A">
      <w:pPr>
        <w:rPr>
          <w:rtl/>
        </w:rPr>
      </w:pPr>
      <w:r>
        <w:rPr>
          <w:rFonts w:hint="cs"/>
          <w:rtl/>
        </w:rPr>
        <w:t xml:space="preserve"> </w:t>
      </w:r>
      <w:r w:rsidR="00523858">
        <w:rPr>
          <w:rFonts w:hint="cs"/>
          <w:rtl/>
        </w:rPr>
        <w:t>ممکن است کسی اینگونه به ذهنش بیاید که «عَلِم</w:t>
      </w:r>
      <w:r>
        <w:rPr>
          <w:rFonts w:hint="cs"/>
          <w:rtl/>
        </w:rPr>
        <w:t>َ</w:t>
      </w:r>
      <w:r w:rsidR="00523858">
        <w:rPr>
          <w:rFonts w:hint="cs"/>
          <w:rtl/>
        </w:rPr>
        <w:t>» متعدی بوده و «علمه» استعمال</w:t>
      </w:r>
      <w:r w:rsidR="007B6069">
        <w:rPr>
          <w:rFonts w:hint="cs"/>
          <w:rtl/>
        </w:rPr>
        <w:t xml:space="preserve"> می‌</w:t>
      </w:r>
      <w:r w:rsidR="00523858">
        <w:rPr>
          <w:rFonts w:hint="cs"/>
          <w:rtl/>
        </w:rPr>
        <w:t>شود و متعدی به مفعول</w:t>
      </w:r>
      <w:r w:rsidR="007B6069">
        <w:rPr>
          <w:rFonts w:hint="cs"/>
          <w:rtl/>
        </w:rPr>
        <w:t xml:space="preserve"> می‌</w:t>
      </w:r>
      <w:r w:rsidR="00523858">
        <w:rPr>
          <w:rFonts w:hint="cs"/>
          <w:rtl/>
        </w:rPr>
        <w:t xml:space="preserve">شود به طور مستقیم. </w:t>
      </w:r>
    </w:p>
    <w:p w:rsidR="00FF278A" w:rsidRDefault="00FF278A" w:rsidP="00FF278A">
      <w:pPr>
        <w:pStyle w:val="4"/>
        <w:rPr>
          <w:rtl/>
        </w:rPr>
      </w:pPr>
      <w:r>
        <w:rPr>
          <w:rFonts w:hint="cs"/>
          <w:rtl/>
        </w:rPr>
        <w:t>جواب</w:t>
      </w:r>
    </w:p>
    <w:p w:rsidR="00ED7EDF" w:rsidRDefault="00FF278A" w:rsidP="002F2743">
      <w:pPr>
        <w:rPr>
          <w:rtl/>
        </w:rPr>
      </w:pPr>
      <w:r>
        <w:rPr>
          <w:rFonts w:hint="cs"/>
          <w:rtl/>
        </w:rPr>
        <w:t xml:space="preserve"> </w:t>
      </w:r>
      <w:r w:rsidR="00523858">
        <w:rPr>
          <w:rFonts w:hint="cs"/>
          <w:rtl/>
        </w:rPr>
        <w:t xml:space="preserve">جواب این اشکال این است که عَلِمَ گاهی متعدی است و گاهی مفعولش با «باء» </w:t>
      </w:r>
      <w:r w:rsidR="00ED7EDF">
        <w:rPr>
          <w:rFonts w:hint="cs"/>
          <w:rtl/>
        </w:rPr>
        <w:t xml:space="preserve"> </w:t>
      </w:r>
      <w:r w:rsidR="00523858">
        <w:rPr>
          <w:rFonts w:hint="cs"/>
          <w:rtl/>
        </w:rPr>
        <w:t>ارائه</w:t>
      </w:r>
      <w:r w:rsidR="007B6069">
        <w:rPr>
          <w:rFonts w:hint="cs"/>
          <w:rtl/>
        </w:rPr>
        <w:t xml:space="preserve"> می‌</w:t>
      </w:r>
      <w:r w:rsidR="00523858">
        <w:rPr>
          <w:rFonts w:hint="cs"/>
          <w:rtl/>
        </w:rPr>
        <w:t>شود و اینگونه نیست که مستعمل نباشد. همانطور که ما «یعلم علماء بنی اسرائیل» داریم و «عَلِم به»</w:t>
      </w:r>
      <w:r w:rsidR="002F2743">
        <w:rPr>
          <w:rFonts w:hint="cs"/>
          <w:rtl/>
        </w:rPr>
        <w:t xml:space="preserve"> هم</w:t>
      </w:r>
      <w:r w:rsidR="00523858">
        <w:rPr>
          <w:rFonts w:hint="cs"/>
          <w:rtl/>
        </w:rPr>
        <w:t xml:space="preserve"> داریم و</w:t>
      </w:r>
      <w:r w:rsidR="002F2743">
        <w:rPr>
          <w:rFonts w:hint="cs"/>
          <w:rtl/>
        </w:rPr>
        <w:t xml:space="preserve"> در خودِ قرآن نیز ممکن است باشد، </w:t>
      </w:r>
      <w:r w:rsidR="00523858">
        <w:rPr>
          <w:rFonts w:hint="cs"/>
          <w:rtl/>
        </w:rPr>
        <w:t xml:space="preserve">ولی قطعاً در استعمال هم غیر صحیح نیست. </w:t>
      </w:r>
    </w:p>
    <w:p w:rsidR="00523858" w:rsidRDefault="00523858" w:rsidP="002F2743">
      <w:pPr>
        <w:rPr>
          <w:rtl/>
        </w:rPr>
      </w:pPr>
      <w:r>
        <w:rPr>
          <w:rFonts w:hint="cs"/>
          <w:rtl/>
        </w:rPr>
        <w:lastRenderedPageBreak/>
        <w:t>پس اگر این مسأله از لحاظ ادبی مواجه با مشکلی نباشد که ظاهراً نیست</w:t>
      </w:r>
      <w:r w:rsidR="002F2743">
        <w:rPr>
          <w:rFonts w:hint="cs"/>
          <w:rtl/>
        </w:rPr>
        <w:t>،</w:t>
      </w:r>
      <w:r>
        <w:rPr>
          <w:rFonts w:hint="cs"/>
          <w:rtl/>
        </w:rPr>
        <w:t xml:space="preserve"> دیگر این احتمال هیچ یک از آن موارد خلاف ظاهری که در احتمال اول وجود داشت </w:t>
      </w:r>
      <w:r w:rsidR="002F2743">
        <w:rPr>
          <w:rFonts w:hint="cs"/>
          <w:rtl/>
        </w:rPr>
        <w:t xml:space="preserve">را </w:t>
      </w:r>
      <w:r>
        <w:rPr>
          <w:rFonts w:hint="cs"/>
          <w:rtl/>
        </w:rPr>
        <w:t xml:space="preserve"> ندارد. «إن کنتم لا تعلمون بالبیّنات و الزّبر»</w:t>
      </w:r>
    </w:p>
    <w:p w:rsidR="00523858" w:rsidRDefault="00523858" w:rsidP="00ED7EDF">
      <w:pPr>
        <w:rPr>
          <w:rtl/>
        </w:rPr>
      </w:pPr>
      <w:r>
        <w:rPr>
          <w:rFonts w:hint="cs"/>
          <w:rtl/>
        </w:rPr>
        <w:t>به نظر</w:t>
      </w:r>
      <w:r w:rsidR="007B6069">
        <w:rPr>
          <w:rFonts w:hint="cs"/>
          <w:rtl/>
        </w:rPr>
        <w:t xml:space="preserve"> می‌</w:t>
      </w:r>
      <w:r>
        <w:rPr>
          <w:rFonts w:hint="cs"/>
          <w:rtl/>
        </w:rPr>
        <w:t>آید که این احتمال هیچ مشکلی نداشته باشد.</w:t>
      </w:r>
    </w:p>
    <w:p w:rsidR="00523858" w:rsidRDefault="00523858" w:rsidP="002F2743">
      <w:pPr>
        <w:pStyle w:val="4"/>
        <w:rPr>
          <w:rtl/>
        </w:rPr>
      </w:pPr>
      <w:r>
        <w:rPr>
          <w:rFonts w:hint="cs"/>
          <w:rtl/>
        </w:rPr>
        <w:t>نکته دوم</w:t>
      </w:r>
      <w:r w:rsidR="002F2743">
        <w:rPr>
          <w:rFonts w:hint="cs"/>
          <w:rtl/>
        </w:rPr>
        <w:t>: بررسی شرطیت «</w:t>
      </w:r>
      <w:r w:rsidR="002F2743">
        <w:rPr>
          <w:rFonts w:hint="cs"/>
          <w:rtl/>
        </w:rPr>
        <w:t>إن کنتم لاتعلمون»</w:t>
      </w:r>
    </w:p>
    <w:p w:rsidR="002F2743" w:rsidRDefault="00523858" w:rsidP="00523858">
      <w:pPr>
        <w:rPr>
          <w:rtl/>
        </w:rPr>
      </w:pPr>
      <w:r>
        <w:rPr>
          <w:rFonts w:hint="cs"/>
          <w:rtl/>
        </w:rPr>
        <w:t>مسأله دیگری که در این آیه مورد اشاره قرار دا</w:t>
      </w:r>
      <w:r w:rsidR="002F2743">
        <w:rPr>
          <w:rFonts w:hint="cs"/>
          <w:rtl/>
        </w:rPr>
        <w:t>ر</w:t>
      </w:r>
      <w:r>
        <w:rPr>
          <w:rFonts w:hint="cs"/>
          <w:rtl/>
        </w:rPr>
        <w:t>د، شرط در «إن کنتم لا تعلمون» است. این عب</w:t>
      </w:r>
      <w:r w:rsidR="002F2743">
        <w:rPr>
          <w:rFonts w:hint="cs"/>
          <w:rtl/>
        </w:rPr>
        <w:t>ارت«فسألوا أهل الذکر إن کنتم لا</w:t>
      </w:r>
      <w:r>
        <w:rPr>
          <w:rFonts w:hint="cs"/>
          <w:rtl/>
        </w:rPr>
        <w:t xml:space="preserve">تعلمون» یک جمله شرطیه است که البته جزاء در اینجا مقدم شده است. </w:t>
      </w:r>
    </w:p>
    <w:p w:rsidR="002F2743" w:rsidRDefault="002F2743" w:rsidP="00523858">
      <w:pPr>
        <w:rPr>
          <w:rtl/>
        </w:rPr>
      </w:pPr>
      <w:r>
        <w:rPr>
          <w:rFonts w:hint="cs"/>
          <w:rtl/>
        </w:rPr>
        <w:t>نسبت به این شرطیت دو احتمال مطرح است:</w:t>
      </w:r>
    </w:p>
    <w:p w:rsidR="00523858" w:rsidRPr="00523858" w:rsidRDefault="002F2743" w:rsidP="002F2743">
      <w:pPr>
        <w:rPr>
          <w:rtl/>
        </w:rPr>
      </w:pPr>
      <w:r>
        <w:rPr>
          <w:rFonts w:hint="cs"/>
          <w:rtl/>
        </w:rPr>
        <w:t xml:space="preserve">1. </w:t>
      </w:r>
      <w:r w:rsidR="00523858">
        <w:rPr>
          <w:rFonts w:hint="cs"/>
          <w:rtl/>
        </w:rPr>
        <w:t>این شرط بنا بر آنچه که قبلاً اشاره شد محقق موضوع است و لذا دارای مفهوم نیست</w:t>
      </w:r>
      <w:r>
        <w:rPr>
          <w:rFonts w:hint="cs"/>
          <w:rtl/>
        </w:rPr>
        <w:t>،</w:t>
      </w:r>
      <w:r w:rsidR="00523858">
        <w:rPr>
          <w:rFonts w:hint="cs"/>
          <w:rtl/>
        </w:rPr>
        <w:t xml:space="preserve"> چرا که اصلاً سؤال حقیقی جایی است که کسی</w:t>
      </w:r>
      <w:r w:rsidR="007B6069">
        <w:rPr>
          <w:rFonts w:hint="cs"/>
          <w:rtl/>
        </w:rPr>
        <w:t xml:space="preserve"> نمی‌</w:t>
      </w:r>
      <w:r w:rsidR="00523858">
        <w:rPr>
          <w:rFonts w:hint="cs"/>
          <w:rtl/>
        </w:rPr>
        <w:t>داند</w:t>
      </w:r>
      <w:r w:rsidR="000F230A">
        <w:rPr>
          <w:rFonts w:hint="cs"/>
          <w:rtl/>
        </w:rPr>
        <w:t>،</w:t>
      </w:r>
      <w:r w:rsidR="00523858">
        <w:rPr>
          <w:rFonts w:hint="cs"/>
          <w:rtl/>
        </w:rPr>
        <w:t xml:space="preserve"> پس اینکه</w:t>
      </w:r>
      <w:r w:rsidR="007B6069">
        <w:rPr>
          <w:rFonts w:hint="cs"/>
          <w:rtl/>
        </w:rPr>
        <w:t xml:space="preserve"> می‌</w:t>
      </w:r>
      <w:r w:rsidR="00523858">
        <w:rPr>
          <w:rFonts w:hint="cs"/>
          <w:rtl/>
        </w:rPr>
        <w:t>گوید اگر</w:t>
      </w:r>
      <w:r w:rsidR="007B6069">
        <w:rPr>
          <w:rFonts w:hint="cs"/>
          <w:rtl/>
        </w:rPr>
        <w:t xml:space="preserve"> نمی‌</w:t>
      </w:r>
      <w:r w:rsidR="00523858">
        <w:rPr>
          <w:rFonts w:hint="cs"/>
          <w:rtl/>
        </w:rPr>
        <w:t>دانید سؤال کنید</w:t>
      </w:r>
      <w:r>
        <w:rPr>
          <w:rFonts w:hint="cs"/>
          <w:rtl/>
        </w:rPr>
        <w:t>،</w:t>
      </w:r>
      <w:r w:rsidR="00523858">
        <w:rPr>
          <w:rFonts w:hint="cs"/>
          <w:rtl/>
        </w:rPr>
        <w:t xml:space="preserve"> شرط محقق موضوع است به این معنا که بدون آن موضوع</w:t>
      </w:r>
      <w:r>
        <w:rPr>
          <w:rFonts w:hint="cs"/>
          <w:rtl/>
        </w:rPr>
        <w:t>،</w:t>
      </w:r>
      <w:r w:rsidR="00523858">
        <w:rPr>
          <w:rFonts w:hint="cs"/>
          <w:rtl/>
        </w:rPr>
        <w:t xml:space="preserve"> اصلاً جزاء معقول نیست و اینجا نیز بدون جهل و عدم علم</w:t>
      </w:r>
      <w:r>
        <w:rPr>
          <w:rFonts w:hint="cs"/>
          <w:rtl/>
        </w:rPr>
        <w:t>،</w:t>
      </w:r>
      <w:r w:rsidR="00523858">
        <w:rPr>
          <w:rFonts w:hint="cs"/>
          <w:rtl/>
        </w:rPr>
        <w:t xml:space="preserve"> اصلاً سؤال معنا ندارد</w:t>
      </w:r>
      <w:r>
        <w:rPr>
          <w:rFonts w:hint="cs"/>
          <w:rtl/>
        </w:rPr>
        <w:t>،</w:t>
      </w:r>
      <w:r w:rsidR="00523858">
        <w:rPr>
          <w:rFonts w:hint="cs"/>
          <w:rtl/>
        </w:rPr>
        <w:t xml:space="preserve"> </w:t>
      </w:r>
      <w:r>
        <w:rPr>
          <w:rFonts w:hint="cs"/>
          <w:rtl/>
        </w:rPr>
        <w:t xml:space="preserve">پس </w:t>
      </w:r>
      <w:r w:rsidR="00523858">
        <w:rPr>
          <w:rFonts w:hint="cs"/>
          <w:rtl/>
        </w:rPr>
        <w:t xml:space="preserve">در اینجا جهل یا عدم علم </w:t>
      </w:r>
      <w:r w:rsidR="000F230A">
        <w:rPr>
          <w:rFonts w:hint="cs"/>
          <w:rtl/>
        </w:rPr>
        <w:t>محقق جزاء و موضوع جزاء</w:t>
      </w:r>
      <w:r w:rsidR="007B6069">
        <w:rPr>
          <w:rFonts w:hint="cs"/>
          <w:rtl/>
        </w:rPr>
        <w:t xml:space="preserve"> می‌</w:t>
      </w:r>
      <w:r w:rsidR="000F230A">
        <w:rPr>
          <w:rFonts w:hint="cs"/>
          <w:rtl/>
        </w:rPr>
        <w:t xml:space="preserve">باشد. </w:t>
      </w:r>
    </w:p>
    <w:p w:rsidR="00EA0484" w:rsidRDefault="002F2743" w:rsidP="002F2743">
      <w:pPr>
        <w:rPr>
          <w:rtl/>
        </w:rPr>
      </w:pPr>
      <w:r w:rsidRPr="002F2743">
        <w:rPr>
          <w:rFonts w:hint="cs"/>
          <w:rtl/>
        </w:rPr>
        <w:t>2.</w:t>
      </w:r>
      <w:r>
        <w:rPr>
          <w:rFonts w:hint="cs"/>
          <w:b/>
          <w:bCs/>
          <w:rtl/>
        </w:rPr>
        <w:t xml:space="preserve"> </w:t>
      </w:r>
      <w:r w:rsidR="000F230A">
        <w:rPr>
          <w:rFonts w:hint="cs"/>
          <w:rtl/>
        </w:rPr>
        <w:t>احتمال دومی نیز</w:t>
      </w:r>
      <w:r w:rsidR="007B6069">
        <w:rPr>
          <w:rFonts w:hint="cs"/>
          <w:rtl/>
        </w:rPr>
        <w:t xml:space="preserve"> می‌</w:t>
      </w:r>
      <w:r w:rsidR="000F230A">
        <w:rPr>
          <w:rFonts w:hint="cs"/>
          <w:rtl/>
        </w:rPr>
        <w:t>شود در اینجا مطرح کرد و آن اینکه «فسألوا» را در اینجا حمل بر «عن استفهامٍ حقیقی» نکنیم بلکه بگوییم سؤال در اینجا مطلق سؤال است ولو اینکه چیزی را</w:t>
      </w:r>
      <w:r w:rsidR="007B6069">
        <w:rPr>
          <w:rFonts w:hint="cs"/>
          <w:rtl/>
        </w:rPr>
        <w:t xml:space="preserve"> می‌</w:t>
      </w:r>
      <w:r w:rsidR="000F230A">
        <w:rPr>
          <w:rFonts w:hint="cs"/>
          <w:rtl/>
        </w:rPr>
        <w:t>داند باز هم بپرسد. خواه برای اطمینان باشد و یا برقراری ارتباط با سائل و مسئول عنه باشد. اگر کسی قائل به این احتمال باشد و اصل سؤال به ما هو هو مقصود باشد و لو سؤال حقیقی نباشد</w:t>
      </w:r>
      <w:r w:rsidR="00C86A88">
        <w:rPr>
          <w:rFonts w:hint="cs"/>
          <w:rtl/>
        </w:rPr>
        <w:t>،</w:t>
      </w:r>
      <w:r w:rsidR="000F230A">
        <w:rPr>
          <w:rFonts w:hint="cs"/>
          <w:rtl/>
        </w:rPr>
        <w:t xml:space="preserve"> آن وقت «إن کنتم لا تعلمون» محقق موضوع نبوده و یک قید اضافه است و در واقع</w:t>
      </w:r>
      <w:r w:rsidR="007B6069">
        <w:rPr>
          <w:rFonts w:hint="cs"/>
          <w:rtl/>
        </w:rPr>
        <w:t xml:space="preserve"> می‌</w:t>
      </w:r>
      <w:r w:rsidR="000F230A">
        <w:rPr>
          <w:rFonts w:hint="cs"/>
          <w:rtl/>
        </w:rPr>
        <w:t>گوید که در اینجا عبارت مفهوم پیدا</w:t>
      </w:r>
      <w:r w:rsidR="007B6069">
        <w:rPr>
          <w:rFonts w:hint="cs"/>
          <w:rtl/>
        </w:rPr>
        <w:t xml:space="preserve"> می‌</w:t>
      </w:r>
      <w:r w:rsidR="000F230A">
        <w:rPr>
          <w:rFonts w:hint="cs"/>
          <w:rtl/>
        </w:rPr>
        <w:t>کند.</w:t>
      </w:r>
    </w:p>
    <w:p w:rsidR="00523858" w:rsidRDefault="000F230A" w:rsidP="00C86A88">
      <w:pPr>
        <w:rPr>
          <w:rtl/>
        </w:rPr>
      </w:pPr>
      <w:r>
        <w:rPr>
          <w:rFonts w:hint="cs"/>
          <w:rtl/>
        </w:rPr>
        <w:t xml:space="preserve"> </w:t>
      </w:r>
      <w:r w:rsidR="00EA0484">
        <w:rPr>
          <w:rFonts w:hint="cs"/>
          <w:rtl/>
        </w:rPr>
        <w:t xml:space="preserve">این دو احتمالی </w:t>
      </w:r>
      <w:r w:rsidR="00C86A88">
        <w:rPr>
          <w:rFonts w:hint="cs"/>
          <w:rtl/>
        </w:rPr>
        <w:t xml:space="preserve">است </w:t>
      </w:r>
      <w:r w:rsidR="00EA0484">
        <w:rPr>
          <w:rFonts w:hint="cs"/>
          <w:rtl/>
        </w:rPr>
        <w:t>که اینجا وجود داشت، اما این مورد کاملاً معلوم بود و به ذهن</w:t>
      </w:r>
      <w:r w:rsidR="007B6069">
        <w:rPr>
          <w:rFonts w:hint="cs"/>
          <w:rtl/>
        </w:rPr>
        <w:t xml:space="preserve"> می‌</w:t>
      </w:r>
      <w:r w:rsidR="00EA0484">
        <w:rPr>
          <w:rFonts w:hint="cs"/>
          <w:rtl/>
        </w:rPr>
        <w:t>رسد و الاّ ظاهر امر این است که «فسألوا»ای که بیانگر این مطلب باشد که سؤال کن و جستجو کن اینها همه</w:t>
      </w:r>
      <w:r w:rsidR="00C86A88">
        <w:rPr>
          <w:rFonts w:hint="cs"/>
          <w:rtl/>
        </w:rPr>
        <w:t>،</w:t>
      </w:r>
      <w:r w:rsidR="00EA0484">
        <w:rPr>
          <w:rFonts w:hint="cs"/>
          <w:rtl/>
        </w:rPr>
        <w:t xml:space="preserve"> ظهور در سؤال عن داعٍ حقیقی و سؤال عن استفهامٍ حقیقی است. لذا </w:t>
      </w:r>
      <w:r w:rsidR="0058224E">
        <w:rPr>
          <w:rFonts w:hint="cs"/>
          <w:rtl/>
        </w:rPr>
        <w:t>همان احتمال اول مرجح بوده و بنابر احتمال اول</w:t>
      </w:r>
      <w:r w:rsidR="00C86A88">
        <w:rPr>
          <w:rFonts w:hint="cs"/>
          <w:rtl/>
        </w:rPr>
        <w:t>،</w:t>
      </w:r>
      <w:r w:rsidR="0058224E">
        <w:rPr>
          <w:rFonts w:hint="cs"/>
          <w:rtl/>
        </w:rPr>
        <w:t xml:space="preserve"> این جمله شرطیه در اینجا شرطیه دارای مفهوم</w:t>
      </w:r>
      <w:r w:rsidR="007B6069">
        <w:rPr>
          <w:rFonts w:hint="cs"/>
          <w:rtl/>
        </w:rPr>
        <w:t xml:space="preserve"> نمی‌</w:t>
      </w:r>
      <w:r w:rsidR="0058224E">
        <w:rPr>
          <w:rFonts w:hint="cs"/>
          <w:rtl/>
        </w:rPr>
        <w:t>باشد «که اگر شما</w:t>
      </w:r>
      <w:r w:rsidR="007B6069">
        <w:rPr>
          <w:rFonts w:hint="cs"/>
          <w:rtl/>
        </w:rPr>
        <w:t xml:space="preserve"> می‌</w:t>
      </w:r>
      <w:r w:rsidR="0058224E">
        <w:rPr>
          <w:rFonts w:hint="cs"/>
          <w:rtl/>
        </w:rPr>
        <w:t>دانید پس سؤال نکنید».</w:t>
      </w:r>
    </w:p>
    <w:p w:rsidR="0058224E" w:rsidRDefault="0058224E" w:rsidP="00C86A88">
      <w:pPr>
        <w:rPr>
          <w:rtl/>
        </w:rPr>
      </w:pPr>
      <w:r>
        <w:rPr>
          <w:rFonts w:hint="cs"/>
          <w:rtl/>
        </w:rPr>
        <w:t>البته اینکه آیا سؤال لغ</w:t>
      </w:r>
      <w:r w:rsidR="00C86A88">
        <w:rPr>
          <w:rFonts w:hint="cs"/>
          <w:rtl/>
        </w:rPr>
        <w:t>ت</w:t>
      </w:r>
      <w:r>
        <w:rPr>
          <w:rFonts w:hint="cs"/>
          <w:rtl/>
        </w:rPr>
        <w:t>اً برای پرسش عن استفهامٍ حقیقی وضع شده است؟ و در جایی است که شخص جهل دارد به حیثی که اگر سؤال در پرسش</w:t>
      </w:r>
      <w:r w:rsidR="007B6069">
        <w:rPr>
          <w:rFonts w:hint="cs"/>
          <w:rtl/>
        </w:rPr>
        <w:t>‌ها</w:t>
      </w:r>
      <w:r>
        <w:rPr>
          <w:rFonts w:hint="cs"/>
          <w:rtl/>
        </w:rPr>
        <w:t>یی که روی داعی حقیقی نیست و روی دواعی دیگر است به کار برود مجاز باشد، آیا اینگونه است؟ یا اینکه معنای حقیقی سؤال اعم از این است که عن الجهلٍ باشد یا اینکه با انگیزه دیگری پرسیده</w:t>
      </w:r>
      <w:r w:rsidR="007B6069">
        <w:rPr>
          <w:rFonts w:hint="cs"/>
          <w:rtl/>
        </w:rPr>
        <w:t xml:space="preserve"> می‌</w:t>
      </w:r>
      <w:r>
        <w:rPr>
          <w:rFonts w:hint="cs"/>
          <w:rtl/>
        </w:rPr>
        <w:t>شود و برای این است که طرف مقابل را متوجه کند که من به این مطالب توجه دارم یا انگیزه</w:t>
      </w:r>
      <w:r w:rsidR="007B6069">
        <w:rPr>
          <w:rFonts w:hint="cs"/>
          <w:rtl/>
        </w:rPr>
        <w:t>‌ها</w:t>
      </w:r>
      <w:r>
        <w:rPr>
          <w:rFonts w:hint="cs"/>
          <w:rtl/>
        </w:rPr>
        <w:t xml:space="preserve">ی دیگری مانند </w:t>
      </w:r>
      <w:r>
        <w:rPr>
          <w:rFonts w:hint="cs"/>
          <w:rtl/>
        </w:rPr>
        <w:lastRenderedPageBreak/>
        <w:t>استفهام انکاری و ...</w:t>
      </w:r>
      <w:r w:rsidR="00C86A88">
        <w:rPr>
          <w:rFonts w:hint="cs"/>
          <w:rtl/>
        </w:rPr>
        <w:t xml:space="preserve"> می‌توان گفت که </w:t>
      </w:r>
      <w:r>
        <w:rPr>
          <w:rFonts w:hint="cs"/>
          <w:rtl/>
        </w:rPr>
        <w:t>سؤال در اینجا معنای عامی دارد که تمام پرسش</w:t>
      </w:r>
      <w:r w:rsidR="007B6069">
        <w:rPr>
          <w:rFonts w:hint="cs"/>
          <w:rtl/>
        </w:rPr>
        <w:t>‌ها</w:t>
      </w:r>
      <w:r>
        <w:rPr>
          <w:rFonts w:hint="cs"/>
          <w:rtl/>
        </w:rPr>
        <w:t>ی مختلف را با هر دواعی در بر</w:t>
      </w:r>
      <w:r w:rsidR="007B6069">
        <w:rPr>
          <w:rFonts w:hint="cs"/>
          <w:rtl/>
        </w:rPr>
        <w:t xml:space="preserve"> می‌</w:t>
      </w:r>
      <w:r>
        <w:rPr>
          <w:rFonts w:hint="cs"/>
          <w:rtl/>
        </w:rPr>
        <w:t>گیرد و موضوع له آن عام است</w:t>
      </w:r>
      <w:r w:rsidR="00C86A88">
        <w:rPr>
          <w:rFonts w:hint="cs"/>
          <w:rtl/>
        </w:rPr>
        <w:t>،</w:t>
      </w:r>
      <w:r>
        <w:rPr>
          <w:rFonts w:hint="cs"/>
          <w:rtl/>
        </w:rPr>
        <w:t xml:space="preserve"> اما در مقام کاربرد عرفی</w:t>
      </w:r>
      <w:r w:rsidR="00C86A88">
        <w:rPr>
          <w:rFonts w:hint="cs"/>
          <w:rtl/>
        </w:rPr>
        <w:t>،</w:t>
      </w:r>
      <w:r>
        <w:rPr>
          <w:rFonts w:hint="cs"/>
          <w:rtl/>
        </w:rPr>
        <w:t xml:space="preserve"> حمل بر آن داعی حقیقی</w:t>
      </w:r>
      <w:r w:rsidR="007B6069">
        <w:rPr>
          <w:rFonts w:hint="cs"/>
          <w:rtl/>
        </w:rPr>
        <w:t xml:space="preserve"> می‌</w:t>
      </w:r>
      <w:r>
        <w:rPr>
          <w:rFonts w:hint="cs"/>
          <w:rtl/>
        </w:rPr>
        <w:t>شود.</w:t>
      </w:r>
    </w:p>
    <w:p w:rsidR="0058224E" w:rsidRDefault="0058224E" w:rsidP="00EA0484">
      <w:pPr>
        <w:rPr>
          <w:rtl/>
        </w:rPr>
      </w:pPr>
      <w:r>
        <w:rPr>
          <w:rFonts w:hint="cs"/>
          <w:rtl/>
        </w:rPr>
        <w:t>این شقوق مختلف احتمال اول بود.</w:t>
      </w:r>
    </w:p>
    <w:p w:rsidR="0058224E" w:rsidRDefault="0058224E" w:rsidP="00EA0484">
      <w:pPr>
        <w:rPr>
          <w:rtl/>
        </w:rPr>
      </w:pPr>
      <w:r>
        <w:rPr>
          <w:rFonts w:hint="cs"/>
          <w:rtl/>
        </w:rPr>
        <w:t>پس بنابر احتمال اول معنای استفهام حقیقی جزء موضوع له</w:t>
      </w:r>
      <w:r w:rsidR="007B6069">
        <w:rPr>
          <w:rFonts w:hint="cs"/>
          <w:rtl/>
        </w:rPr>
        <w:t xml:space="preserve"> می‌</w:t>
      </w:r>
      <w:r>
        <w:rPr>
          <w:rFonts w:hint="cs"/>
          <w:rtl/>
        </w:rPr>
        <w:t>باشد و بنا بر احتمال دوم جزء موضوع له نیست.</w:t>
      </w:r>
    </w:p>
    <w:p w:rsidR="0058224E" w:rsidRDefault="0058224E" w:rsidP="00EA0484">
      <w:pPr>
        <w:rPr>
          <w:rtl/>
        </w:rPr>
      </w:pPr>
      <w:r>
        <w:rPr>
          <w:rFonts w:hint="cs"/>
          <w:rtl/>
        </w:rPr>
        <w:t>به عبارت دیگر در احتمال اول ما از خودِ لفظ استفاده</w:t>
      </w:r>
      <w:r w:rsidR="007B6069">
        <w:rPr>
          <w:rFonts w:hint="cs"/>
          <w:rtl/>
        </w:rPr>
        <w:t xml:space="preserve"> می‌</w:t>
      </w:r>
      <w:r>
        <w:rPr>
          <w:rFonts w:hint="cs"/>
          <w:rtl/>
        </w:rPr>
        <w:t>کنیم و بنابر احتمال دوم از قرینه حالیه و عرفیه استفاده</w:t>
      </w:r>
      <w:r w:rsidR="007B6069">
        <w:rPr>
          <w:rFonts w:hint="cs"/>
          <w:rtl/>
        </w:rPr>
        <w:t xml:space="preserve"> می‌</w:t>
      </w:r>
      <w:r>
        <w:rPr>
          <w:rFonts w:hint="cs"/>
          <w:rtl/>
        </w:rPr>
        <w:t>شود.</w:t>
      </w:r>
    </w:p>
    <w:p w:rsidR="0058224E" w:rsidRPr="00FF005D" w:rsidRDefault="004F2945" w:rsidP="00FF005D">
      <w:pPr>
        <w:rPr>
          <w:rtl/>
        </w:rPr>
      </w:pPr>
      <w:r w:rsidRPr="00FF005D">
        <w:rPr>
          <w:rFonts w:hint="cs"/>
          <w:rtl/>
        </w:rPr>
        <w:t>البته احتمال دوم هم دور از ذهن نبوده و کسانی مانند صاحب کفایه و امثالهم نیز این احتمال را پذیرفته</w:t>
      </w:r>
      <w:r w:rsidR="00FF005D" w:rsidRPr="00FF005D">
        <w:rPr>
          <w:rFonts w:hint="cs"/>
          <w:rtl/>
        </w:rPr>
        <w:t>‌</w:t>
      </w:r>
      <w:r w:rsidRPr="00FF005D">
        <w:rPr>
          <w:rFonts w:hint="cs"/>
          <w:rtl/>
        </w:rPr>
        <w:t>اند. این احتمال شبیه همان مسأله امر است که گفته</w:t>
      </w:r>
      <w:r w:rsidR="007B6069" w:rsidRPr="00FF005D">
        <w:rPr>
          <w:rFonts w:hint="cs"/>
          <w:rtl/>
        </w:rPr>
        <w:t xml:space="preserve"> می‌</w:t>
      </w:r>
      <w:r w:rsidRPr="00FF005D">
        <w:rPr>
          <w:rFonts w:hint="cs"/>
          <w:rtl/>
        </w:rPr>
        <w:t>شود امر صیغه</w:t>
      </w:r>
      <w:r w:rsidR="007B6069" w:rsidRPr="00FF005D">
        <w:rPr>
          <w:rFonts w:hint="cs"/>
          <w:rtl/>
        </w:rPr>
        <w:t xml:space="preserve">‌ای </w:t>
      </w:r>
      <w:r w:rsidRPr="00FF005D">
        <w:rPr>
          <w:rFonts w:hint="cs"/>
          <w:rtl/>
        </w:rPr>
        <w:t>دارد که گاهی به داعی بعث حقیقی است و گاهی امر</w:t>
      </w:r>
      <w:r w:rsidR="007B6069" w:rsidRPr="00FF005D">
        <w:rPr>
          <w:rFonts w:hint="cs"/>
          <w:rtl/>
        </w:rPr>
        <w:t xml:space="preserve"> می‌</w:t>
      </w:r>
      <w:r w:rsidRPr="00FF005D">
        <w:rPr>
          <w:rFonts w:hint="cs"/>
          <w:rtl/>
        </w:rPr>
        <w:t xml:space="preserve">کند به داعی تعجیز: </w:t>
      </w:r>
      <w:r w:rsidRPr="00FF005D">
        <w:rPr>
          <w:rStyle w:val="a9"/>
          <w:rFonts w:hint="cs"/>
          <w:rtl/>
        </w:rPr>
        <w:t>«</w:t>
      </w:r>
      <w:r w:rsidR="00FF005D" w:rsidRPr="00FF005D">
        <w:rPr>
          <w:rStyle w:val="a9"/>
          <w:rFonts w:hint="cs"/>
          <w:rtl/>
        </w:rPr>
        <w:t>فَأْتُوا بِسُورَةٍ مِنْ‏ مِثْلِهِ‏ ... إِنْ‏ كُنْتُمْ‏ صادِقِين‏»</w:t>
      </w:r>
      <w:r w:rsidR="00FF005D">
        <w:rPr>
          <w:rStyle w:val="aff0"/>
          <w:rFonts w:eastAsia="2  Lotus"/>
          <w:bCs/>
          <w:sz w:val="72"/>
          <w:rtl/>
        </w:rPr>
        <w:footnoteReference w:id="1"/>
      </w:r>
      <w:r w:rsidRPr="00FF005D">
        <w:rPr>
          <w:rFonts w:hint="cs"/>
          <w:rtl/>
        </w:rPr>
        <w:t xml:space="preserve"> در آنجا هم همین دو احتمال است و کفایه به ما آموخته است. ممکن است بگوییم که امر یعنی همین کاربرد این صیغه که عن داعٍ حقیقی است و موضوع له آن حقیقی است که در این صورت استعمالش در </w:t>
      </w:r>
      <w:r w:rsidRPr="00FF005D">
        <w:rPr>
          <w:rStyle w:val="a9"/>
          <w:rFonts w:hint="cs"/>
          <w:rtl/>
        </w:rPr>
        <w:t>«</w:t>
      </w:r>
      <w:r w:rsidR="00FF005D" w:rsidRPr="00FF005D">
        <w:rPr>
          <w:rStyle w:val="a9"/>
          <w:rFonts w:hint="cs"/>
          <w:rtl/>
        </w:rPr>
        <w:t xml:space="preserve"> َ</w:t>
      </w:r>
      <w:r w:rsidR="00FF005D">
        <w:rPr>
          <w:rStyle w:val="a9"/>
          <w:rFonts w:hint="cs"/>
          <w:rtl/>
        </w:rPr>
        <w:t>ف</w:t>
      </w:r>
      <w:r w:rsidR="00FF005D" w:rsidRPr="00FF005D">
        <w:rPr>
          <w:rStyle w:val="a9"/>
          <w:rFonts w:hint="cs"/>
          <w:rtl/>
        </w:rPr>
        <w:t>أْتُوا بِسُورَةٍ مِنْ‏ مِثْلِهِ</w:t>
      </w:r>
      <w:r w:rsidRPr="00FF005D">
        <w:rPr>
          <w:rStyle w:val="a9"/>
          <w:rFonts w:hint="cs"/>
          <w:rtl/>
        </w:rPr>
        <w:t>»</w:t>
      </w:r>
      <w:r w:rsidRPr="00FF005D">
        <w:rPr>
          <w:rFonts w:hint="cs"/>
          <w:rtl/>
        </w:rPr>
        <w:t xml:space="preserve"> مجاز</w:t>
      </w:r>
      <w:r w:rsidR="007B6069" w:rsidRPr="00FF005D">
        <w:rPr>
          <w:rFonts w:hint="cs"/>
          <w:rtl/>
        </w:rPr>
        <w:t xml:space="preserve"> می‌</w:t>
      </w:r>
      <w:r w:rsidRPr="00FF005D">
        <w:rPr>
          <w:rFonts w:hint="cs"/>
          <w:rtl/>
        </w:rPr>
        <w:t>باشد. و ممکن است بگوییم که خیر امر همین صیغه إفعل است اما دواعی خارج از موضوع له</w:t>
      </w:r>
      <w:r w:rsidR="007B6069" w:rsidRPr="00FF005D">
        <w:rPr>
          <w:rFonts w:hint="cs"/>
          <w:rtl/>
        </w:rPr>
        <w:t xml:space="preserve"> می‌</w:t>
      </w:r>
      <w:r w:rsidRPr="00FF005D">
        <w:rPr>
          <w:rFonts w:hint="cs"/>
          <w:rtl/>
        </w:rPr>
        <w:t>باشد.</w:t>
      </w:r>
    </w:p>
    <w:p w:rsidR="004F2945" w:rsidRDefault="004F2945" w:rsidP="00EA0484">
      <w:pPr>
        <w:rPr>
          <w:rtl/>
        </w:rPr>
      </w:pPr>
      <w:r>
        <w:rPr>
          <w:rFonts w:hint="cs"/>
          <w:rtl/>
        </w:rPr>
        <w:t>البته در شرایط عادی و طبیعی عرف از کاربرد صیغ بعثیه همان داعی بعث حقیقی را استفاده</w:t>
      </w:r>
      <w:r w:rsidR="007B6069">
        <w:rPr>
          <w:rFonts w:hint="cs"/>
          <w:rtl/>
        </w:rPr>
        <w:t xml:space="preserve"> می‌</w:t>
      </w:r>
      <w:r>
        <w:rPr>
          <w:rFonts w:hint="cs"/>
          <w:rtl/>
        </w:rPr>
        <w:t>کند و</w:t>
      </w:r>
      <w:r w:rsidR="007B6069">
        <w:rPr>
          <w:rFonts w:hint="cs"/>
          <w:rtl/>
        </w:rPr>
        <w:t xml:space="preserve"> می‌</w:t>
      </w:r>
      <w:r>
        <w:rPr>
          <w:rFonts w:hint="cs"/>
          <w:rtl/>
        </w:rPr>
        <w:t>گوید این برای جایی است که واقعاً</w:t>
      </w:r>
      <w:r w:rsidR="007B6069">
        <w:rPr>
          <w:rFonts w:hint="cs"/>
          <w:rtl/>
        </w:rPr>
        <w:t xml:space="preserve"> می‌</w:t>
      </w:r>
      <w:r>
        <w:rPr>
          <w:rFonts w:hint="cs"/>
          <w:rtl/>
        </w:rPr>
        <w:t>خواهد شخص را برای این کار برانگیزاند. و حمل آن بر تعجیز و امتحان و ... نیازمند به قراین است ولی در عین حال مجاز است. مانند همین بحث امر در اینجا نیز وجود دارد.</w:t>
      </w:r>
    </w:p>
    <w:p w:rsidR="004F2945" w:rsidRDefault="004F2945" w:rsidP="004F2945">
      <w:pPr>
        <w:pStyle w:val="4"/>
        <w:rPr>
          <w:rtl/>
        </w:rPr>
      </w:pPr>
      <w:r>
        <w:rPr>
          <w:rFonts w:hint="cs"/>
          <w:rtl/>
        </w:rPr>
        <w:t>نتیجه</w:t>
      </w:r>
    </w:p>
    <w:p w:rsidR="004F2945" w:rsidRDefault="004F2945" w:rsidP="00FF005D">
      <w:pPr>
        <w:rPr>
          <w:rtl/>
        </w:rPr>
      </w:pPr>
      <w:r>
        <w:rPr>
          <w:rFonts w:hint="cs"/>
          <w:rtl/>
        </w:rPr>
        <w:t>پس این جمله شرطیه در اینجا بنابر ترجیح احتمال اول به هر شقی از این دو شق گفته شود</w:t>
      </w:r>
      <w:r w:rsidR="00FF005D">
        <w:rPr>
          <w:rFonts w:hint="cs"/>
          <w:rtl/>
        </w:rPr>
        <w:t>،</w:t>
      </w:r>
      <w:r w:rsidR="007B6069">
        <w:rPr>
          <w:rFonts w:hint="cs"/>
          <w:rtl/>
        </w:rPr>
        <w:t xml:space="preserve"> می‌</w:t>
      </w:r>
      <w:r>
        <w:rPr>
          <w:rFonts w:hint="cs"/>
          <w:rtl/>
        </w:rPr>
        <w:t>شود شرط محقق موضوع و بلا مفهوم است و به همین دلیل است که این جمله «إن کنتم لا تعلمون» اگر در آیه هم نبود</w:t>
      </w:r>
      <w:r w:rsidR="00FF005D">
        <w:rPr>
          <w:rFonts w:hint="cs"/>
          <w:rtl/>
        </w:rPr>
        <w:t>،</w:t>
      </w:r>
      <w:r>
        <w:rPr>
          <w:rFonts w:hint="cs"/>
          <w:rtl/>
        </w:rPr>
        <w:t xml:space="preserve"> از خودِ جمله</w:t>
      </w:r>
      <w:r w:rsidR="007B6069">
        <w:rPr>
          <w:rFonts w:hint="cs"/>
          <w:rtl/>
        </w:rPr>
        <w:t xml:space="preserve">‌ی </w:t>
      </w:r>
      <w:r>
        <w:rPr>
          <w:rFonts w:hint="cs"/>
          <w:rtl/>
        </w:rPr>
        <w:t>فسألوا فهمیده</w:t>
      </w:r>
      <w:r w:rsidR="007B6069">
        <w:rPr>
          <w:rFonts w:hint="cs"/>
          <w:rtl/>
        </w:rPr>
        <w:t xml:space="preserve"> می‌</w:t>
      </w:r>
      <w:r>
        <w:rPr>
          <w:rFonts w:hint="cs"/>
          <w:rtl/>
        </w:rPr>
        <w:t>شد. اگر آیه فقط</w:t>
      </w:r>
      <w:r w:rsidR="007B6069">
        <w:rPr>
          <w:rFonts w:hint="cs"/>
          <w:rtl/>
        </w:rPr>
        <w:t xml:space="preserve"> می‌</w:t>
      </w:r>
      <w:r>
        <w:rPr>
          <w:rFonts w:hint="cs"/>
          <w:rtl/>
        </w:rPr>
        <w:t>فرمود «فسألوا أهل الذکر»</w:t>
      </w:r>
      <w:r w:rsidR="007B6069">
        <w:rPr>
          <w:rFonts w:hint="cs"/>
          <w:rtl/>
        </w:rPr>
        <w:t xml:space="preserve"> می‌</w:t>
      </w:r>
      <w:r>
        <w:rPr>
          <w:rFonts w:hint="cs"/>
          <w:rtl/>
        </w:rPr>
        <w:t>گوییم اینکه گفته شده سؤال کنید برای جایی است که انسان</w:t>
      </w:r>
      <w:r w:rsidR="007B6069">
        <w:rPr>
          <w:rFonts w:hint="cs"/>
          <w:rtl/>
        </w:rPr>
        <w:t xml:space="preserve"> نمی‌</w:t>
      </w:r>
      <w:r>
        <w:rPr>
          <w:rFonts w:hint="cs"/>
          <w:rtl/>
        </w:rPr>
        <w:t>داند</w:t>
      </w:r>
      <w:r w:rsidR="00FF005D">
        <w:rPr>
          <w:rFonts w:hint="cs"/>
          <w:rtl/>
        </w:rPr>
        <w:t>،</w:t>
      </w:r>
      <w:r>
        <w:rPr>
          <w:rFonts w:hint="cs"/>
          <w:rtl/>
        </w:rPr>
        <w:t xml:space="preserve"> چرا که شرط محقق موضوع عملاً خودش </w:t>
      </w:r>
      <w:r w:rsidR="00FF005D">
        <w:rPr>
          <w:rFonts w:hint="cs"/>
          <w:rtl/>
        </w:rPr>
        <w:t>در کلام</w:t>
      </w:r>
      <w:r w:rsidR="00FF005D">
        <w:rPr>
          <w:rFonts w:hint="cs"/>
          <w:rtl/>
        </w:rPr>
        <w:t xml:space="preserve"> </w:t>
      </w:r>
      <w:r>
        <w:rPr>
          <w:rFonts w:hint="cs"/>
          <w:rtl/>
        </w:rPr>
        <w:t>مفروض است.</w:t>
      </w:r>
    </w:p>
    <w:p w:rsidR="004F2945" w:rsidRDefault="004F2945" w:rsidP="00FF005D">
      <w:pPr>
        <w:rPr>
          <w:rtl/>
        </w:rPr>
      </w:pPr>
      <w:r>
        <w:rPr>
          <w:rFonts w:hint="cs"/>
          <w:rtl/>
        </w:rPr>
        <w:t>اگر در همان جایی که گفته</w:t>
      </w:r>
      <w:r w:rsidR="007B6069">
        <w:rPr>
          <w:rFonts w:hint="cs"/>
          <w:rtl/>
        </w:rPr>
        <w:t xml:space="preserve"> می‌</w:t>
      </w:r>
      <w:r>
        <w:rPr>
          <w:rFonts w:hint="cs"/>
          <w:rtl/>
        </w:rPr>
        <w:t>شد «إن رزقت ولداً فاختنه» اگر فقط</w:t>
      </w:r>
      <w:r w:rsidR="007B6069">
        <w:rPr>
          <w:rFonts w:hint="cs"/>
          <w:rtl/>
        </w:rPr>
        <w:t xml:space="preserve"> می‌</w:t>
      </w:r>
      <w:r>
        <w:rPr>
          <w:rFonts w:hint="cs"/>
          <w:rtl/>
        </w:rPr>
        <w:t>گفت «فاختن ولدک» معلوم است که این در جایی است که بچه</w:t>
      </w:r>
      <w:r w:rsidR="007B6069">
        <w:rPr>
          <w:rFonts w:hint="cs"/>
          <w:rtl/>
        </w:rPr>
        <w:t xml:space="preserve">‌ای </w:t>
      </w:r>
      <w:r>
        <w:rPr>
          <w:rFonts w:hint="cs"/>
          <w:rtl/>
        </w:rPr>
        <w:t xml:space="preserve">متولد بشود. این مسأله مفروض است و بود و نبودش تأثیر مفهومی خاصی ندارد. البته </w:t>
      </w:r>
      <w:r>
        <w:rPr>
          <w:rFonts w:hint="cs"/>
          <w:rtl/>
        </w:rPr>
        <w:lastRenderedPageBreak/>
        <w:t>چیزهایی که اگر هم</w:t>
      </w:r>
      <w:r w:rsidR="007B6069">
        <w:rPr>
          <w:rFonts w:hint="cs"/>
          <w:rtl/>
        </w:rPr>
        <w:t xml:space="preserve"> </w:t>
      </w:r>
      <w:r w:rsidR="00FF005D">
        <w:rPr>
          <w:rFonts w:hint="cs"/>
          <w:rtl/>
        </w:rPr>
        <w:t>گفته نمی‌شد،</w:t>
      </w:r>
      <w:r>
        <w:rPr>
          <w:rFonts w:hint="cs"/>
          <w:rtl/>
        </w:rPr>
        <w:t xml:space="preserve"> معلوم و واضح بود</w:t>
      </w:r>
      <w:r w:rsidR="00FF005D">
        <w:rPr>
          <w:rFonts w:hint="cs"/>
          <w:rtl/>
        </w:rPr>
        <w:t>،</w:t>
      </w:r>
      <w:r>
        <w:rPr>
          <w:rFonts w:hint="cs"/>
          <w:rtl/>
        </w:rPr>
        <w:t xml:space="preserve"> اینکه گفته شده برای تأکید است و قطعاً جهات معانی بیانی هم در کار است</w:t>
      </w:r>
      <w:r w:rsidR="00530B3B">
        <w:rPr>
          <w:rFonts w:hint="cs"/>
          <w:rtl/>
        </w:rPr>
        <w:t>.</w:t>
      </w:r>
    </w:p>
    <w:p w:rsidR="000514E5" w:rsidRDefault="000514E5" w:rsidP="000514E5">
      <w:pPr>
        <w:pStyle w:val="3"/>
        <w:rPr>
          <w:rtl/>
        </w:rPr>
      </w:pPr>
      <w:r>
        <w:rPr>
          <w:rFonts w:hint="cs"/>
          <w:rtl/>
        </w:rPr>
        <w:t xml:space="preserve">دلیل سوم: آیاتی که پیامبر را بر تبلیغ و هدایت امر نموده </w:t>
      </w:r>
    </w:p>
    <w:p w:rsidR="00530B3B" w:rsidRDefault="00530B3B" w:rsidP="000514E5">
      <w:pPr>
        <w:rPr>
          <w:rtl/>
        </w:rPr>
      </w:pPr>
      <w:r>
        <w:rPr>
          <w:rFonts w:hint="cs"/>
          <w:rtl/>
        </w:rPr>
        <w:t xml:space="preserve">از میان آیاتی که برای فتوا قابل استدلال باشد و بتواند شامل فتوای مجتهد باشد این دو آیه انتخاب شده بود که بحث شد. البته گاهی دوستان آیاتی را مانند </w:t>
      </w:r>
      <w:r w:rsidRPr="000514E5">
        <w:rPr>
          <w:rStyle w:val="a9"/>
          <w:rFonts w:hint="cs"/>
          <w:rtl/>
        </w:rPr>
        <w:t>«یعلمهم الکتاب والحکمه»</w:t>
      </w:r>
      <w:r>
        <w:rPr>
          <w:rFonts w:hint="cs"/>
          <w:rtl/>
        </w:rPr>
        <w:t xml:space="preserve"> و یا آیاتی که از این قبیل یادآوری</w:t>
      </w:r>
      <w:r w:rsidR="007B6069">
        <w:rPr>
          <w:rFonts w:hint="cs"/>
          <w:rtl/>
        </w:rPr>
        <w:t xml:space="preserve"> می‌</w:t>
      </w:r>
      <w:r>
        <w:rPr>
          <w:rFonts w:hint="cs"/>
          <w:rtl/>
        </w:rPr>
        <w:t>کنند که ظاهراً آن آیات بیشتر به پیامبر (ص) و امام و آن مبلغین اصلی شریعت</w:t>
      </w:r>
      <w:r w:rsidR="000514E5">
        <w:rPr>
          <w:rFonts w:hint="cs"/>
          <w:rtl/>
        </w:rPr>
        <w:t>،</w:t>
      </w:r>
      <w:r>
        <w:rPr>
          <w:rFonts w:hint="cs"/>
          <w:rtl/>
        </w:rPr>
        <w:t xml:space="preserve"> </w:t>
      </w:r>
      <w:r w:rsidR="000514E5">
        <w:rPr>
          <w:rFonts w:hint="cs"/>
          <w:rtl/>
        </w:rPr>
        <w:t>اختصاص</w:t>
      </w:r>
      <w:r w:rsidR="000514E5">
        <w:rPr>
          <w:rFonts w:hint="cs"/>
          <w:rtl/>
        </w:rPr>
        <w:t xml:space="preserve"> </w:t>
      </w:r>
      <w:r>
        <w:rPr>
          <w:rFonts w:hint="cs"/>
          <w:rtl/>
        </w:rPr>
        <w:t>دارد. به عبارت دیگر ما مجموعه</w:t>
      </w:r>
      <w:r w:rsidR="007B6069">
        <w:rPr>
          <w:rFonts w:hint="cs"/>
          <w:rtl/>
        </w:rPr>
        <w:t xml:space="preserve">‌ای </w:t>
      </w:r>
      <w:r>
        <w:rPr>
          <w:rFonts w:hint="cs"/>
          <w:rtl/>
        </w:rPr>
        <w:t xml:space="preserve">از آیات شریفه در قرآن داریم که خطاب </w:t>
      </w:r>
      <w:r w:rsidR="000514E5">
        <w:rPr>
          <w:rFonts w:hint="cs"/>
          <w:rtl/>
        </w:rPr>
        <w:t xml:space="preserve">به پیامبر (ص) و یا ائمه (ع) بوده و </w:t>
      </w:r>
      <w:r>
        <w:rPr>
          <w:rFonts w:hint="cs"/>
          <w:rtl/>
        </w:rPr>
        <w:t xml:space="preserve">مربوط به آنها است که تبلیغ دین یا تعلیم و یا مسائلی از این قبیل </w:t>
      </w:r>
      <w:r w:rsidR="000514E5">
        <w:rPr>
          <w:rFonts w:hint="cs"/>
          <w:rtl/>
        </w:rPr>
        <w:t xml:space="preserve">را </w:t>
      </w:r>
      <w:r>
        <w:rPr>
          <w:rFonts w:hint="cs"/>
          <w:rtl/>
        </w:rPr>
        <w:t>بر عهده پیامبر (ص) و به تبع ائمه (ع) قرار داده است. بخشی از این ادله را در قاعده ارشاد بررسی کردیم.</w:t>
      </w:r>
    </w:p>
    <w:p w:rsidR="00530B3B" w:rsidRPr="00530B3B" w:rsidRDefault="00530B3B" w:rsidP="00EA0484">
      <w:pPr>
        <w:rPr>
          <w:b/>
          <w:bCs/>
          <w:rtl/>
        </w:rPr>
      </w:pPr>
      <w:r>
        <w:rPr>
          <w:rFonts w:hint="cs"/>
          <w:b/>
          <w:bCs/>
          <w:rtl/>
        </w:rPr>
        <w:t>سؤال مقدر</w:t>
      </w:r>
    </w:p>
    <w:p w:rsidR="00530B3B" w:rsidRDefault="00530B3B" w:rsidP="00EA0484">
      <w:pPr>
        <w:rPr>
          <w:rtl/>
        </w:rPr>
      </w:pPr>
      <w:r>
        <w:rPr>
          <w:rFonts w:hint="cs"/>
          <w:rtl/>
        </w:rPr>
        <w:t>اگر سؤال شود که آن ادله با بحث ما چه ارتباط و نسبتی برقرار</w:t>
      </w:r>
      <w:r w:rsidR="007B6069">
        <w:rPr>
          <w:rFonts w:hint="cs"/>
          <w:rtl/>
        </w:rPr>
        <w:t xml:space="preserve"> می‌</w:t>
      </w:r>
      <w:r>
        <w:rPr>
          <w:rFonts w:hint="cs"/>
          <w:rtl/>
        </w:rPr>
        <w:t>کند. به عبارت دیگر مجموعه ادله</w:t>
      </w:r>
      <w:r w:rsidR="007B6069">
        <w:rPr>
          <w:rFonts w:hint="cs"/>
          <w:rtl/>
        </w:rPr>
        <w:t xml:space="preserve">‌ای </w:t>
      </w:r>
      <w:r>
        <w:rPr>
          <w:rFonts w:hint="cs"/>
          <w:rtl/>
        </w:rPr>
        <w:t>که وظیفه ارشاد و تبلیغ و دعوت و هدایت دیگران را بیان</w:t>
      </w:r>
      <w:r w:rsidR="007B6069">
        <w:rPr>
          <w:rFonts w:hint="cs"/>
          <w:rtl/>
        </w:rPr>
        <w:t xml:space="preserve"> می‌</w:t>
      </w:r>
      <w:r>
        <w:rPr>
          <w:rFonts w:hint="cs"/>
          <w:rtl/>
        </w:rPr>
        <w:t>کند که عمدتاً وظیفه پیامبر (ص) و ائمه (ع) است</w:t>
      </w:r>
      <w:r w:rsidR="000514E5">
        <w:rPr>
          <w:rFonts w:hint="cs"/>
          <w:rtl/>
        </w:rPr>
        <w:t>،</w:t>
      </w:r>
      <w:r>
        <w:rPr>
          <w:rFonts w:hint="cs"/>
          <w:rtl/>
        </w:rPr>
        <w:t xml:space="preserve"> اینها چطور است و آیا با بحث ما ربطی دارد یا خیر؟</w:t>
      </w:r>
    </w:p>
    <w:p w:rsidR="00530B3B" w:rsidRPr="00530B3B" w:rsidRDefault="00530B3B" w:rsidP="00EA0484">
      <w:pPr>
        <w:rPr>
          <w:rtl/>
        </w:rPr>
      </w:pPr>
      <w:r>
        <w:rPr>
          <w:rFonts w:hint="cs"/>
          <w:rtl/>
        </w:rPr>
        <w:t>می توان این مسأله را به عنوان سومین دلیل در نظر گرفت یعنی در واقع سومین دلیل ما</w:t>
      </w:r>
      <w:r w:rsidR="007B6069">
        <w:rPr>
          <w:rFonts w:hint="cs"/>
          <w:rtl/>
        </w:rPr>
        <w:t xml:space="preserve"> می‌</w:t>
      </w:r>
      <w:r>
        <w:rPr>
          <w:rFonts w:hint="cs"/>
          <w:rtl/>
        </w:rPr>
        <w:t>تواند مجموعه آیاتی که در مورد تبلیغ و دعوت و هدایت را بر عهده انبیاء و ائمه (ع) قرار داده است که مجموعه اینها را در ادله ارشاد بحث کردیم.</w:t>
      </w:r>
      <w:r w:rsidR="00984601">
        <w:rPr>
          <w:rFonts w:hint="cs"/>
          <w:rtl/>
        </w:rPr>
        <w:t xml:space="preserve"> حال </w:t>
      </w:r>
      <w:r w:rsidR="000514E5">
        <w:rPr>
          <w:rFonts w:hint="cs"/>
          <w:rtl/>
        </w:rPr>
        <w:t xml:space="preserve">سؤال این است که </w:t>
      </w:r>
      <w:r w:rsidR="00984601">
        <w:rPr>
          <w:rFonts w:hint="cs"/>
          <w:rtl/>
        </w:rPr>
        <w:t>آیا</w:t>
      </w:r>
      <w:r w:rsidR="007B6069">
        <w:rPr>
          <w:rFonts w:hint="cs"/>
          <w:rtl/>
        </w:rPr>
        <w:t xml:space="preserve"> می‌</w:t>
      </w:r>
      <w:r w:rsidR="00984601">
        <w:rPr>
          <w:rFonts w:hint="cs"/>
          <w:rtl/>
        </w:rPr>
        <w:t>شود به این ادله برای حجیت فتوا تمسک کرد یا خیر؟</w:t>
      </w:r>
    </w:p>
    <w:p w:rsidR="00530B3B" w:rsidRDefault="00530B3B" w:rsidP="00530B3B">
      <w:pPr>
        <w:rPr>
          <w:b/>
          <w:bCs/>
          <w:rtl/>
        </w:rPr>
      </w:pPr>
      <w:r>
        <w:rPr>
          <w:rFonts w:hint="cs"/>
          <w:b/>
          <w:bCs/>
          <w:rtl/>
        </w:rPr>
        <w:t>جواب:</w:t>
      </w:r>
      <w:r w:rsidR="000514E5">
        <w:rPr>
          <w:rFonts w:hint="cs"/>
          <w:b/>
          <w:bCs/>
          <w:rtl/>
        </w:rPr>
        <w:t xml:space="preserve"> </w:t>
      </w:r>
    </w:p>
    <w:p w:rsidR="00873379" w:rsidRDefault="00984601" w:rsidP="000514E5">
      <w:pPr>
        <w:rPr>
          <w:rtl/>
        </w:rPr>
      </w:pPr>
      <w:r>
        <w:rPr>
          <w:rFonts w:hint="cs"/>
          <w:rtl/>
        </w:rPr>
        <w:t xml:space="preserve">تقریر استدلال این است که بگوییم </w:t>
      </w:r>
      <w:r w:rsidR="000514E5">
        <w:rPr>
          <w:rFonts w:hint="cs"/>
          <w:rtl/>
        </w:rPr>
        <w:t>در اینجا</w:t>
      </w:r>
      <w:r>
        <w:rPr>
          <w:rFonts w:hint="cs"/>
          <w:rtl/>
        </w:rPr>
        <w:t xml:space="preserve"> القاء خصوصیت</w:t>
      </w:r>
      <w:r w:rsidR="007B6069">
        <w:rPr>
          <w:rFonts w:hint="cs"/>
          <w:rtl/>
        </w:rPr>
        <w:t xml:space="preserve"> می‌</w:t>
      </w:r>
      <w:r>
        <w:rPr>
          <w:rFonts w:hint="cs"/>
          <w:rtl/>
        </w:rPr>
        <w:t>شود و شامل مجتهد و مبلغانی که غیر از پیامبر(ص) و ائمه (ع)</w:t>
      </w:r>
      <w:r w:rsidR="000514E5">
        <w:rPr>
          <w:rFonts w:hint="cs"/>
          <w:rtl/>
        </w:rPr>
        <w:t xml:space="preserve"> هستند نیز </w:t>
      </w:r>
      <w:r w:rsidR="007B6069">
        <w:rPr>
          <w:rFonts w:hint="cs"/>
          <w:rtl/>
        </w:rPr>
        <w:t>می‌</w:t>
      </w:r>
      <w:r>
        <w:rPr>
          <w:rFonts w:hint="cs"/>
          <w:rtl/>
        </w:rPr>
        <w:t>شود و وقتی که شامل آنها بشود</w:t>
      </w:r>
      <w:r w:rsidR="000514E5">
        <w:rPr>
          <w:rFonts w:hint="cs"/>
          <w:rtl/>
        </w:rPr>
        <w:t>،</w:t>
      </w:r>
      <w:r>
        <w:rPr>
          <w:rFonts w:hint="cs"/>
          <w:rtl/>
        </w:rPr>
        <w:t xml:space="preserve"> امر به تبلیغ و هدایت به آنها نیز شده است و بعداً خواهیم گفت که این حرف</w:t>
      </w:r>
      <w:r w:rsidR="007B6069">
        <w:rPr>
          <w:rFonts w:hint="cs"/>
          <w:rtl/>
        </w:rPr>
        <w:t>‌ها</w:t>
      </w:r>
      <w:r>
        <w:rPr>
          <w:rFonts w:hint="cs"/>
          <w:rtl/>
        </w:rPr>
        <w:t xml:space="preserve"> برای دیگران نیز حجت باشد</w:t>
      </w:r>
      <w:r w:rsidR="000514E5">
        <w:rPr>
          <w:rFonts w:hint="cs"/>
          <w:rtl/>
        </w:rPr>
        <w:t>،</w:t>
      </w:r>
      <w:r>
        <w:rPr>
          <w:rFonts w:hint="cs"/>
          <w:rtl/>
        </w:rPr>
        <w:t xml:space="preserve"> چرا که اگر قائل به این شویم که این امر به تبلیغ و هدایتی که به انبیاء شده است</w:t>
      </w:r>
      <w:r w:rsidR="000514E5">
        <w:rPr>
          <w:rFonts w:hint="cs"/>
          <w:rtl/>
        </w:rPr>
        <w:t>،</w:t>
      </w:r>
      <w:r>
        <w:rPr>
          <w:rFonts w:hint="cs"/>
          <w:rtl/>
        </w:rPr>
        <w:t xml:space="preserve"> همانطور که شامل ائمه</w:t>
      </w:r>
      <w:r w:rsidR="007B6069">
        <w:rPr>
          <w:rFonts w:hint="cs"/>
          <w:rtl/>
        </w:rPr>
        <w:t xml:space="preserve"> می‌</w:t>
      </w:r>
      <w:r>
        <w:rPr>
          <w:rFonts w:hint="cs"/>
          <w:rtl/>
        </w:rPr>
        <w:t>شود و القاء خصوصیتش نسبت به خلفای پیامبر(ص) قطعی است</w:t>
      </w:r>
      <w:r w:rsidR="000514E5">
        <w:rPr>
          <w:rFonts w:hint="cs"/>
          <w:rtl/>
        </w:rPr>
        <w:t>،</w:t>
      </w:r>
      <w:r>
        <w:rPr>
          <w:rFonts w:hint="cs"/>
          <w:rtl/>
        </w:rPr>
        <w:t xml:space="preserve"> شامل فقها و سایر ناسی که شرایط تبلیغ را داشته باشند هم</w:t>
      </w:r>
      <w:r w:rsidR="007B6069">
        <w:rPr>
          <w:rFonts w:hint="cs"/>
          <w:rtl/>
        </w:rPr>
        <w:t xml:space="preserve"> می‌</w:t>
      </w:r>
      <w:r>
        <w:rPr>
          <w:rFonts w:hint="cs"/>
          <w:rtl/>
        </w:rPr>
        <w:t>شود</w:t>
      </w:r>
      <w:r w:rsidR="000514E5">
        <w:rPr>
          <w:rFonts w:hint="cs"/>
          <w:rtl/>
        </w:rPr>
        <w:t>.</w:t>
      </w:r>
      <w:r>
        <w:rPr>
          <w:rFonts w:hint="cs"/>
          <w:rtl/>
        </w:rPr>
        <w:t xml:space="preserve"> در این صورت معنای این امر به تبلیغ و ارشاد و هدایت این است که سخن شما برای مردم حجت است.</w:t>
      </w:r>
    </w:p>
    <w:p w:rsidR="00984601" w:rsidRDefault="00984601" w:rsidP="000514E5">
      <w:pPr>
        <w:pStyle w:val="3"/>
        <w:rPr>
          <w:rtl/>
        </w:rPr>
      </w:pPr>
      <w:r>
        <w:rPr>
          <w:rFonts w:hint="cs"/>
          <w:rtl/>
        </w:rPr>
        <w:lastRenderedPageBreak/>
        <w:t>دلیل چهارم</w:t>
      </w:r>
      <w:r w:rsidR="000514E5">
        <w:rPr>
          <w:rFonts w:hint="cs"/>
          <w:rtl/>
        </w:rPr>
        <w:t xml:space="preserve">: آیاتی که به طور عام بر تبلیغ و هدایت امر نموده </w:t>
      </w:r>
    </w:p>
    <w:p w:rsidR="001C7483" w:rsidRDefault="00163F17" w:rsidP="001C7483">
      <w:pPr>
        <w:spacing w:after="0"/>
        <w:ind w:firstLine="0"/>
        <w:contextualSpacing w:val="0"/>
        <w:rPr>
          <w:rFonts w:ascii="Times New Roman" w:eastAsia="Times New Roman" w:hAnsi="Times New Roman"/>
          <w:sz w:val="28"/>
          <w:rtl/>
          <w:lang w:bidi="ar-SA"/>
        </w:rPr>
      </w:pPr>
      <w:r>
        <w:rPr>
          <w:rFonts w:hint="cs"/>
          <w:rtl/>
        </w:rPr>
        <w:t>در حقیقت ما</w:t>
      </w:r>
      <w:r w:rsidR="007B6069">
        <w:rPr>
          <w:rFonts w:hint="cs"/>
          <w:rtl/>
        </w:rPr>
        <w:t xml:space="preserve"> می‌</w:t>
      </w:r>
      <w:r>
        <w:rPr>
          <w:rFonts w:hint="cs"/>
          <w:rtl/>
        </w:rPr>
        <w:t>توانیم بین ادله</w:t>
      </w:r>
      <w:r w:rsidR="007B6069">
        <w:rPr>
          <w:rFonts w:hint="cs"/>
          <w:rtl/>
        </w:rPr>
        <w:t xml:space="preserve">‌ای </w:t>
      </w:r>
      <w:r>
        <w:rPr>
          <w:rFonts w:hint="cs"/>
          <w:rtl/>
        </w:rPr>
        <w:t>که به تبلیغ و دعوت و هدایت امر کرده است حتی ادله</w:t>
      </w:r>
      <w:r w:rsidR="007B6069">
        <w:rPr>
          <w:rFonts w:hint="cs"/>
          <w:rtl/>
        </w:rPr>
        <w:t xml:space="preserve">‌ای </w:t>
      </w:r>
      <w:r>
        <w:rPr>
          <w:rFonts w:hint="cs"/>
          <w:rtl/>
        </w:rPr>
        <w:t>پیدا بکنیم که عا</w:t>
      </w:r>
      <w:r w:rsidRPr="00163F17">
        <w:rPr>
          <w:rFonts w:hint="cs"/>
          <w:rtl/>
        </w:rPr>
        <w:t xml:space="preserve">م است و اختصاص به انبیاء و  ائمه ندارد </w:t>
      </w:r>
      <w:r w:rsidRPr="000514E5">
        <w:rPr>
          <w:rStyle w:val="a9"/>
          <w:rFonts w:hint="cs"/>
          <w:rtl/>
        </w:rPr>
        <w:t>«</w:t>
      </w:r>
      <w:r w:rsidRPr="000514E5">
        <w:rPr>
          <w:rStyle w:val="a9"/>
          <w:rtl/>
        </w:rPr>
        <w:t>وَمَنْ أَحْسَنُ قَوْلًا مِّمَّن دَعَا إِلَى اللَّهِ وَعَمِلَ صَالِحًا وَقَالَ إِنَّنِي مِنَ الْمُسْلِمِينَ</w:t>
      </w:r>
      <w:r w:rsidRPr="000514E5">
        <w:rPr>
          <w:rStyle w:val="a9"/>
          <w:rFonts w:hint="cs"/>
          <w:rtl/>
        </w:rPr>
        <w:t>»</w:t>
      </w:r>
      <w:r>
        <w:rPr>
          <w:rStyle w:val="aff0"/>
          <w:rtl/>
        </w:rPr>
        <w:footnoteReference w:id="2"/>
      </w:r>
      <w:r>
        <w:rPr>
          <w:rFonts w:hint="cs"/>
          <w:rtl/>
        </w:rPr>
        <w:t xml:space="preserve"> یکی از آیاتی که مربوط به دعوت است این</w:t>
      </w:r>
      <w:r w:rsidR="007B6069">
        <w:rPr>
          <w:rFonts w:hint="cs"/>
          <w:rtl/>
        </w:rPr>
        <w:t xml:space="preserve"> می‌</w:t>
      </w:r>
      <w:r>
        <w:rPr>
          <w:rFonts w:hint="cs"/>
          <w:rtl/>
        </w:rPr>
        <w:t>باشد که قطعاً عام</w:t>
      </w:r>
      <w:r w:rsidR="007B6069">
        <w:rPr>
          <w:rFonts w:hint="cs"/>
          <w:rtl/>
        </w:rPr>
        <w:t xml:space="preserve"> می‌</w:t>
      </w:r>
      <w:r>
        <w:rPr>
          <w:rFonts w:hint="cs"/>
          <w:rtl/>
        </w:rPr>
        <w:t>باشد. که در این مورد امر به دعوت الی الله</w:t>
      </w:r>
      <w:r w:rsidR="007B6069">
        <w:rPr>
          <w:rFonts w:hint="cs"/>
          <w:rtl/>
        </w:rPr>
        <w:t xml:space="preserve"> می‌</w:t>
      </w:r>
      <w:r>
        <w:rPr>
          <w:rFonts w:hint="cs"/>
          <w:rtl/>
        </w:rPr>
        <w:t>کند و این اختصاص به پیامبر ندارد و دیگران هم</w:t>
      </w:r>
      <w:r w:rsidR="007B6069">
        <w:rPr>
          <w:rFonts w:hint="cs"/>
          <w:rtl/>
        </w:rPr>
        <w:t xml:space="preserve"> می‌</w:t>
      </w:r>
      <w:r>
        <w:rPr>
          <w:rFonts w:hint="cs"/>
          <w:rtl/>
        </w:rPr>
        <w:t xml:space="preserve">توانند دعوت الی الله بکنند که نقل بیان فتوا و احکام و معارف از سوی فقیه به نوعی دعوت الی الله است. و یا آیه شریفه </w:t>
      </w:r>
      <w:r w:rsidRPr="000514E5">
        <w:rPr>
          <w:rStyle w:val="a9"/>
          <w:rFonts w:hint="cs"/>
          <w:rtl/>
        </w:rPr>
        <w:t>«</w:t>
      </w:r>
      <w:r w:rsidRPr="000514E5">
        <w:rPr>
          <w:rStyle w:val="a9"/>
          <w:rtl/>
        </w:rPr>
        <w:t xml:space="preserve">وَلْتَكُن مِّنكُمْ أُمَّةٌ يَدْعُونَ إِلَى الْخَيْرِ </w:t>
      </w:r>
      <w:r w:rsidR="001C7483" w:rsidRPr="000514E5">
        <w:rPr>
          <w:rStyle w:val="a9"/>
          <w:rFonts w:hint="cs"/>
          <w:rtl/>
        </w:rPr>
        <w:t>...</w:t>
      </w:r>
      <w:r w:rsidRPr="000514E5">
        <w:rPr>
          <w:rStyle w:val="a9"/>
          <w:rFonts w:hint="cs"/>
          <w:rtl/>
        </w:rPr>
        <w:t>»</w:t>
      </w:r>
      <w:r>
        <w:rPr>
          <w:rStyle w:val="aff0"/>
          <w:rFonts w:ascii="Times New Roman" w:eastAsia="Times New Roman" w:hAnsi="Times New Roman"/>
          <w:sz w:val="28"/>
          <w:rtl/>
          <w:lang w:bidi="ar-SA"/>
        </w:rPr>
        <w:footnoteReference w:id="3"/>
      </w:r>
      <w:r w:rsidR="001C7483">
        <w:rPr>
          <w:rFonts w:ascii="Times New Roman" w:eastAsia="Times New Roman" w:hAnsi="Times New Roman" w:hint="cs"/>
          <w:sz w:val="28"/>
          <w:rtl/>
          <w:lang w:bidi="ar-SA"/>
        </w:rPr>
        <w:t xml:space="preserve"> که در اینجا امر به دعوت به خیر شده است، بیان فتوا و احکام و معارف الهی یک نوع دعوت</w:t>
      </w:r>
      <w:r w:rsidR="007B6069">
        <w:rPr>
          <w:rFonts w:ascii="Times New Roman" w:eastAsia="Times New Roman" w:hAnsi="Times New Roman" w:hint="cs"/>
          <w:sz w:val="28"/>
          <w:rtl/>
          <w:lang w:bidi="ar-SA"/>
        </w:rPr>
        <w:t xml:space="preserve"> می‌</w:t>
      </w:r>
      <w:r w:rsidR="001C7483">
        <w:rPr>
          <w:rFonts w:ascii="Times New Roman" w:eastAsia="Times New Roman" w:hAnsi="Times New Roman" w:hint="cs"/>
          <w:sz w:val="28"/>
          <w:rtl/>
          <w:lang w:bidi="ar-SA"/>
        </w:rPr>
        <w:t>باشد.</w:t>
      </w:r>
    </w:p>
    <w:p w:rsidR="001C7483" w:rsidRDefault="001C7483" w:rsidP="001C7483">
      <w:pPr>
        <w:rPr>
          <w:rtl/>
          <w:lang w:bidi="ar-SA"/>
        </w:rPr>
      </w:pPr>
      <w:r>
        <w:rPr>
          <w:rFonts w:hint="cs"/>
          <w:rtl/>
          <w:lang w:bidi="ar-SA"/>
        </w:rPr>
        <w:t>در این صورت امر به دعوت با حجیت کلام ایشان ملازمه دارد</w:t>
      </w:r>
      <w:r w:rsidR="000514E5">
        <w:rPr>
          <w:rFonts w:hint="cs"/>
          <w:rtl/>
          <w:lang w:bidi="ar-SA"/>
        </w:rPr>
        <w:t>؛</w:t>
      </w:r>
      <w:r>
        <w:rPr>
          <w:rFonts w:hint="cs"/>
          <w:rtl/>
          <w:lang w:bidi="ar-SA"/>
        </w:rPr>
        <w:t xml:space="preserve"> چرا که وقتی که به ایشان امر به دعوت</w:t>
      </w:r>
      <w:r w:rsidR="007B6069">
        <w:rPr>
          <w:rFonts w:hint="cs"/>
          <w:rtl/>
          <w:lang w:bidi="ar-SA"/>
        </w:rPr>
        <w:t xml:space="preserve"> می‌</w:t>
      </w:r>
      <w:r>
        <w:rPr>
          <w:rFonts w:hint="cs"/>
          <w:rtl/>
          <w:lang w:bidi="ar-SA"/>
        </w:rPr>
        <w:t>شود بیانگر این مطلب است که کلام آنها دارای اعتبار است.</w:t>
      </w:r>
    </w:p>
    <w:p w:rsidR="001C7483" w:rsidRDefault="001C7483" w:rsidP="001C7483">
      <w:pPr>
        <w:pStyle w:val="4"/>
        <w:rPr>
          <w:rtl/>
          <w:lang w:bidi="ar-SA"/>
        </w:rPr>
      </w:pPr>
      <w:r>
        <w:rPr>
          <w:rFonts w:hint="cs"/>
          <w:rtl/>
          <w:lang w:bidi="ar-SA"/>
        </w:rPr>
        <w:t>مقایسه دو دلیل</w:t>
      </w:r>
    </w:p>
    <w:p w:rsidR="001C7483" w:rsidRDefault="001C7483" w:rsidP="000514E5">
      <w:pPr>
        <w:rPr>
          <w:rtl/>
          <w:lang w:bidi="ar-SA"/>
        </w:rPr>
      </w:pPr>
      <w:r>
        <w:rPr>
          <w:rFonts w:hint="cs"/>
          <w:rtl/>
          <w:lang w:bidi="ar-SA"/>
        </w:rPr>
        <w:t>این دلیل اوضح از قبل</w:t>
      </w:r>
      <w:r w:rsidR="007B6069">
        <w:rPr>
          <w:rFonts w:hint="cs"/>
          <w:rtl/>
          <w:lang w:bidi="ar-SA"/>
        </w:rPr>
        <w:t xml:space="preserve"> می‌</w:t>
      </w:r>
      <w:r>
        <w:rPr>
          <w:rFonts w:hint="cs"/>
          <w:rtl/>
          <w:lang w:bidi="ar-SA"/>
        </w:rPr>
        <w:t>باشد</w:t>
      </w:r>
      <w:r w:rsidR="000514E5">
        <w:rPr>
          <w:rFonts w:hint="cs"/>
          <w:rtl/>
          <w:lang w:bidi="ar-SA"/>
        </w:rPr>
        <w:t>،</w:t>
      </w:r>
      <w:r>
        <w:rPr>
          <w:rFonts w:hint="cs"/>
          <w:rtl/>
          <w:lang w:bidi="ar-SA"/>
        </w:rPr>
        <w:t xml:space="preserve"> چرا که دلیل سوم در واقع مجموعه ادله</w:t>
      </w:r>
      <w:r w:rsidR="007B6069">
        <w:rPr>
          <w:rFonts w:hint="cs"/>
          <w:rtl/>
          <w:lang w:bidi="ar-SA"/>
        </w:rPr>
        <w:t xml:space="preserve">‌ای </w:t>
      </w:r>
      <w:r>
        <w:rPr>
          <w:rFonts w:hint="cs"/>
          <w:rtl/>
          <w:lang w:bidi="ar-SA"/>
        </w:rPr>
        <w:t>است که مربوط به پیامبر و معصوم است که</w:t>
      </w:r>
      <w:r w:rsidR="007B6069">
        <w:rPr>
          <w:rFonts w:hint="cs"/>
          <w:rtl/>
          <w:lang w:bidi="ar-SA"/>
        </w:rPr>
        <w:t xml:space="preserve"> می‌</w:t>
      </w:r>
      <w:r>
        <w:rPr>
          <w:rFonts w:hint="cs"/>
          <w:rtl/>
          <w:lang w:bidi="ar-SA"/>
        </w:rPr>
        <w:t>گوییم شاید بشود القاء خصوصیت کرد</w:t>
      </w:r>
      <w:r w:rsidR="000514E5">
        <w:rPr>
          <w:rFonts w:hint="cs"/>
          <w:rtl/>
          <w:lang w:bidi="ar-SA"/>
        </w:rPr>
        <w:t>،</w:t>
      </w:r>
      <w:r>
        <w:rPr>
          <w:rFonts w:hint="cs"/>
          <w:rtl/>
          <w:lang w:bidi="ar-SA"/>
        </w:rPr>
        <w:t xml:space="preserve"> اما </w:t>
      </w:r>
      <w:r w:rsidR="000514E5">
        <w:rPr>
          <w:rFonts w:hint="cs"/>
          <w:rtl/>
          <w:lang w:bidi="ar-SA"/>
        </w:rPr>
        <w:t>دلیل</w:t>
      </w:r>
      <w:r>
        <w:rPr>
          <w:rFonts w:hint="cs"/>
          <w:rtl/>
          <w:lang w:bidi="ar-SA"/>
        </w:rPr>
        <w:t xml:space="preserve"> چهارم ادله</w:t>
      </w:r>
      <w:r w:rsidR="007B6069">
        <w:rPr>
          <w:rFonts w:hint="cs"/>
          <w:rtl/>
          <w:lang w:bidi="ar-SA"/>
        </w:rPr>
        <w:t xml:space="preserve">‌ی </w:t>
      </w:r>
      <w:r>
        <w:rPr>
          <w:rFonts w:hint="cs"/>
          <w:rtl/>
          <w:lang w:bidi="ar-SA"/>
        </w:rPr>
        <w:t>عامه</w:t>
      </w:r>
      <w:r w:rsidR="007B6069">
        <w:rPr>
          <w:rFonts w:hint="cs"/>
          <w:rtl/>
          <w:lang w:bidi="ar-SA"/>
        </w:rPr>
        <w:t xml:space="preserve">‌ای </w:t>
      </w:r>
      <w:r>
        <w:rPr>
          <w:rFonts w:hint="cs"/>
          <w:rtl/>
          <w:lang w:bidi="ar-SA"/>
        </w:rPr>
        <w:t>است که شامل معصوم و غیر معصوم</w:t>
      </w:r>
      <w:r w:rsidR="007B6069">
        <w:rPr>
          <w:rFonts w:hint="cs"/>
          <w:rtl/>
          <w:lang w:bidi="ar-SA"/>
        </w:rPr>
        <w:t xml:space="preserve"> می‌</w:t>
      </w:r>
      <w:r>
        <w:rPr>
          <w:rFonts w:hint="cs"/>
          <w:rtl/>
          <w:lang w:bidi="ar-SA"/>
        </w:rPr>
        <w:t>شود و مفهوم آن هم یک مفهوم دعوت یا هدایتی است که مفهوم عام آن شامل افتاء و نقل فتوا و ...</w:t>
      </w:r>
      <w:r w:rsidR="007B6069">
        <w:rPr>
          <w:rFonts w:hint="cs"/>
          <w:rtl/>
          <w:lang w:bidi="ar-SA"/>
        </w:rPr>
        <w:t xml:space="preserve"> می‌</w:t>
      </w:r>
      <w:r>
        <w:rPr>
          <w:rFonts w:hint="cs"/>
          <w:rtl/>
          <w:lang w:bidi="ar-SA"/>
        </w:rPr>
        <w:t>شود.</w:t>
      </w:r>
    </w:p>
    <w:p w:rsidR="001C7483" w:rsidRDefault="001C7483" w:rsidP="00DC1599">
      <w:pPr>
        <w:rPr>
          <w:rtl/>
          <w:lang w:bidi="ar-SA"/>
        </w:rPr>
      </w:pPr>
      <w:r>
        <w:rPr>
          <w:rFonts w:hint="cs"/>
          <w:rtl/>
          <w:lang w:bidi="ar-SA"/>
        </w:rPr>
        <w:t>فعلاً این دو دلیل را در حد تقریر عرض کردیم تا بعد که به روایات برسیم</w:t>
      </w:r>
      <w:r w:rsidR="00DC1599">
        <w:rPr>
          <w:rFonts w:hint="cs"/>
          <w:rtl/>
          <w:lang w:bidi="ar-SA"/>
        </w:rPr>
        <w:t>،</w:t>
      </w:r>
      <w:r>
        <w:rPr>
          <w:rFonts w:hint="cs"/>
          <w:rtl/>
          <w:lang w:bidi="ar-SA"/>
        </w:rPr>
        <w:t xml:space="preserve"> دوباره بازگشتی به این دلایل خواهیم داشت و بررسی</w:t>
      </w:r>
      <w:r w:rsidR="007B6069">
        <w:rPr>
          <w:rFonts w:hint="cs"/>
          <w:rtl/>
          <w:lang w:bidi="ar-SA"/>
        </w:rPr>
        <w:t xml:space="preserve"> می‌</w:t>
      </w:r>
      <w:r>
        <w:rPr>
          <w:rFonts w:hint="cs"/>
          <w:rtl/>
          <w:lang w:bidi="ar-SA"/>
        </w:rPr>
        <w:t xml:space="preserve">کنیم که آیا این ملازمه صحیح </w:t>
      </w:r>
      <w:r w:rsidR="00DC1599">
        <w:rPr>
          <w:rFonts w:hint="cs"/>
          <w:rtl/>
          <w:lang w:bidi="ar-SA"/>
        </w:rPr>
        <w:t>ا</w:t>
      </w:r>
      <w:r>
        <w:rPr>
          <w:rFonts w:hint="cs"/>
          <w:rtl/>
          <w:lang w:bidi="ar-SA"/>
        </w:rPr>
        <w:t>ست یا خیر؟</w:t>
      </w:r>
    </w:p>
    <w:p w:rsidR="001C7483" w:rsidRDefault="001C7483" w:rsidP="001C7483">
      <w:pPr>
        <w:pStyle w:val="3"/>
        <w:rPr>
          <w:rtl/>
          <w:lang w:bidi="ar-SA"/>
        </w:rPr>
      </w:pPr>
      <w:r>
        <w:rPr>
          <w:rFonts w:hint="cs"/>
          <w:rtl/>
          <w:lang w:bidi="ar-SA"/>
        </w:rPr>
        <w:t>ادله روایی</w:t>
      </w:r>
    </w:p>
    <w:p w:rsidR="001C7483" w:rsidRDefault="001C7483" w:rsidP="00DC1599">
      <w:pPr>
        <w:rPr>
          <w:rtl/>
          <w:lang w:bidi="ar-SA"/>
        </w:rPr>
      </w:pPr>
      <w:r>
        <w:rPr>
          <w:rFonts w:hint="cs"/>
          <w:rtl/>
          <w:lang w:bidi="ar-SA"/>
        </w:rPr>
        <w:t xml:space="preserve">بخش دیگر از استدلالات نیز ادله روایی است. </w:t>
      </w:r>
      <w:r w:rsidR="00DC1599">
        <w:rPr>
          <w:rFonts w:hint="cs"/>
          <w:rtl/>
          <w:lang w:bidi="ar-SA"/>
        </w:rPr>
        <w:t>تا حال</w:t>
      </w:r>
      <w:r>
        <w:rPr>
          <w:rFonts w:hint="cs"/>
          <w:rtl/>
          <w:lang w:bidi="ar-SA"/>
        </w:rPr>
        <w:t xml:space="preserve"> آیات قرآنی مورد بحث قرار گرفت که دو آیه قرآنی در کلمات آمده بود و این دو استدلال قرآنی را نیز اضافه کردیم تا بعداً تکلیف آنها نهایی بشود. در این مرحله به سراغ روایات</w:t>
      </w:r>
      <w:r w:rsidR="007B6069">
        <w:rPr>
          <w:rFonts w:hint="cs"/>
          <w:rtl/>
          <w:lang w:bidi="ar-SA"/>
        </w:rPr>
        <w:t xml:space="preserve"> می‌</w:t>
      </w:r>
      <w:r>
        <w:rPr>
          <w:rFonts w:hint="cs"/>
          <w:rtl/>
          <w:lang w:bidi="ar-SA"/>
        </w:rPr>
        <w:t>رویم.</w:t>
      </w:r>
    </w:p>
    <w:p w:rsidR="001C7483" w:rsidRDefault="001C7483" w:rsidP="00ED77DB">
      <w:pPr>
        <w:pStyle w:val="4"/>
        <w:rPr>
          <w:rtl/>
          <w:lang w:bidi="ar-SA"/>
        </w:rPr>
      </w:pPr>
      <w:r>
        <w:rPr>
          <w:rFonts w:hint="cs"/>
          <w:rtl/>
          <w:lang w:bidi="ar-SA"/>
        </w:rPr>
        <w:lastRenderedPageBreak/>
        <w:t xml:space="preserve">دسته اول روایات: امر به فتوا دادن </w:t>
      </w:r>
    </w:p>
    <w:p w:rsidR="001C7483" w:rsidRDefault="001C7483" w:rsidP="00ED77DB">
      <w:pPr>
        <w:rPr>
          <w:rtl/>
          <w:lang w:bidi="ar-SA"/>
        </w:rPr>
      </w:pPr>
      <w:r>
        <w:rPr>
          <w:rFonts w:hint="cs"/>
          <w:rtl/>
          <w:lang w:bidi="ar-SA"/>
        </w:rPr>
        <w:t>در روایات چند گروه از روایات مورد استشهاد و استدلال برای حجیت فتوا قرار گرفته</w:t>
      </w:r>
      <w:r w:rsidR="00ED77DB">
        <w:rPr>
          <w:rFonts w:hint="cs"/>
          <w:rtl/>
          <w:lang w:bidi="ar-SA"/>
        </w:rPr>
        <w:t>‌</w:t>
      </w:r>
      <w:r>
        <w:rPr>
          <w:rFonts w:hint="cs"/>
          <w:rtl/>
          <w:lang w:bidi="ar-SA"/>
        </w:rPr>
        <w:t>اند. گروه اول و طائفه اولی (در کلام آقای خوئی و امثالهم گروه دوم</w:t>
      </w:r>
      <w:r w:rsidR="007B6069">
        <w:rPr>
          <w:rFonts w:hint="cs"/>
          <w:rtl/>
          <w:lang w:bidi="ar-SA"/>
        </w:rPr>
        <w:t xml:space="preserve"> می‌</w:t>
      </w:r>
      <w:r>
        <w:rPr>
          <w:rFonts w:hint="cs"/>
          <w:rtl/>
          <w:lang w:bidi="ar-SA"/>
        </w:rPr>
        <w:t>باشد</w:t>
      </w:r>
      <w:r w:rsidR="00ED77DB">
        <w:rPr>
          <w:rFonts w:hint="cs"/>
          <w:rtl/>
          <w:lang w:bidi="ar-SA"/>
        </w:rPr>
        <w:t>،</w:t>
      </w:r>
      <w:r>
        <w:rPr>
          <w:rFonts w:hint="cs"/>
          <w:rtl/>
          <w:lang w:bidi="ar-SA"/>
        </w:rPr>
        <w:t xml:space="preserve"> اما در موسوعه جزء طائفه اول قرار گرفته است) روایاتی هستند که ائمه در آن روایات به کسانی از اصحاب امر کرده</w:t>
      </w:r>
      <w:r w:rsidR="007B6069">
        <w:rPr>
          <w:rFonts w:hint="cs"/>
          <w:rtl/>
          <w:lang w:bidi="ar-SA"/>
        </w:rPr>
        <w:t xml:space="preserve">‌اند </w:t>
      </w:r>
      <w:r>
        <w:rPr>
          <w:rFonts w:hint="cs"/>
          <w:rtl/>
          <w:lang w:bidi="ar-SA"/>
        </w:rPr>
        <w:t>که شما بروید و فتوا بدهید. بعضی از این روایات را در اینجا مرور</w:t>
      </w:r>
      <w:r w:rsidR="007B6069">
        <w:rPr>
          <w:rFonts w:hint="cs"/>
          <w:rtl/>
          <w:lang w:bidi="ar-SA"/>
        </w:rPr>
        <w:t xml:space="preserve"> می‌</w:t>
      </w:r>
      <w:r>
        <w:rPr>
          <w:rFonts w:hint="cs"/>
          <w:rtl/>
          <w:lang w:bidi="ar-SA"/>
        </w:rPr>
        <w:t>کنیم</w:t>
      </w:r>
      <w:r w:rsidR="00D7353E">
        <w:rPr>
          <w:rFonts w:hint="cs"/>
          <w:rtl/>
          <w:lang w:bidi="ar-SA"/>
        </w:rPr>
        <w:t>.</w:t>
      </w:r>
    </w:p>
    <w:p w:rsidR="00D7353E" w:rsidRDefault="00D7353E" w:rsidP="00ED77DB">
      <w:pPr>
        <w:rPr>
          <w:rtl/>
          <w:lang w:bidi="ar-SA"/>
        </w:rPr>
      </w:pPr>
      <w:r>
        <w:rPr>
          <w:rFonts w:hint="cs"/>
          <w:rtl/>
          <w:lang w:bidi="ar-SA"/>
        </w:rPr>
        <w:t>در ابواب صفات قاضی آمده است که امام به کسانی دستور داده</w:t>
      </w:r>
      <w:r w:rsidR="007B6069">
        <w:rPr>
          <w:rFonts w:hint="cs"/>
          <w:rtl/>
          <w:lang w:bidi="ar-SA"/>
        </w:rPr>
        <w:t xml:space="preserve">‌اند </w:t>
      </w:r>
      <w:r>
        <w:rPr>
          <w:rFonts w:hint="cs"/>
          <w:rtl/>
          <w:lang w:bidi="ar-SA"/>
        </w:rPr>
        <w:t xml:space="preserve">که </w:t>
      </w:r>
      <w:r w:rsidRPr="00ED77DB">
        <w:rPr>
          <w:rStyle w:val="a9"/>
          <w:rFonts w:hint="cs"/>
          <w:rtl/>
        </w:rPr>
        <w:t>«إجلِس فِی المَسجِد و أفتِ النّاس»</w:t>
      </w:r>
      <w:r>
        <w:rPr>
          <w:rStyle w:val="aff0"/>
          <w:rtl/>
          <w:lang w:bidi="ar-SA"/>
        </w:rPr>
        <w:footnoteReference w:id="4"/>
      </w:r>
      <w:r>
        <w:rPr>
          <w:rFonts w:hint="cs"/>
          <w:rtl/>
          <w:lang w:bidi="ar-SA"/>
        </w:rPr>
        <w:t xml:space="preserve"> که مثلاً در مورد ابان ابن تغلب این مورد آمده است که </w:t>
      </w:r>
      <w:r w:rsidR="00ED77DB">
        <w:rPr>
          <w:rFonts w:hint="cs"/>
          <w:rtl/>
          <w:lang w:bidi="ar-SA"/>
        </w:rPr>
        <w:t>نجاشی و رجال کشی این را نقل کرده‌اند</w:t>
      </w:r>
      <w:r>
        <w:rPr>
          <w:rFonts w:hint="cs"/>
          <w:rtl/>
          <w:lang w:bidi="ar-SA"/>
        </w:rPr>
        <w:t>. روایت هم ظاهراً معتبر است که امام</w:t>
      </w:r>
      <w:r w:rsidR="007B6069">
        <w:rPr>
          <w:rFonts w:hint="cs"/>
          <w:rtl/>
          <w:lang w:bidi="ar-SA"/>
        </w:rPr>
        <w:t xml:space="preserve"> می‌</w:t>
      </w:r>
      <w:r>
        <w:rPr>
          <w:rFonts w:hint="cs"/>
          <w:rtl/>
          <w:lang w:bidi="ar-SA"/>
        </w:rPr>
        <w:t>فرمایند</w:t>
      </w:r>
      <w:r w:rsidR="00ED77DB">
        <w:rPr>
          <w:rFonts w:hint="cs"/>
          <w:rtl/>
          <w:lang w:bidi="ar-SA"/>
        </w:rPr>
        <w:t>:</w:t>
      </w:r>
      <w:r>
        <w:rPr>
          <w:rFonts w:hint="cs"/>
          <w:rtl/>
          <w:lang w:bidi="ar-SA"/>
        </w:rPr>
        <w:t xml:space="preserve"> «برو در مسجد بنشین و فتوا بده»</w:t>
      </w:r>
      <w:r w:rsidR="00ED77DB">
        <w:rPr>
          <w:rFonts w:hint="cs"/>
          <w:rtl/>
          <w:lang w:bidi="ar-SA"/>
        </w:rPr>
        <w:t>؛</w:t>
      </w:r>
      <w:r>
        <w:rPr>
          <w:rFonts w:hint="cs"/>
          <w:rtl/>
          <w:lang w:bidi="ar-SA"/>
        </w:rPr>
        <w:t xml:space="preserve"> البته روایات دیگری هم وجود دارد که معتبر نیست اما فی الجمله ما یک گروهی از روایات را داریم که خطاب به کسانی و گروهی از اصحاب است که آنها را امر به «أفتِ النّاس» کرده است.</w:t>
      </w:r>
    </w:p>
    <w:p w:rsidR="00D7353E" w:rsidRDefault="00D7353E" w:rsidP="00ED77DB">
      <w:pPr>
        <w:rPr>
          <w:rtl/>
          <w:lang w:bidi="ar-SA"/>
        </w:rPr>
      </w:pPr>
      <w:r>
        <w:rPr>
          <w:rFonts w:hint="cs"/>
          <w:rtl/>
          <w:lang w:bidi="ar-SA"/>
        </w:rPr>
        <w:t xml:space="preserve">و همچنین در مورد عهد مالک اشتر در نهج البلاغه آمده است که «بعد از نماز عصرین بنشین و به مردم فتوا بده». این </w:t>
      </w:r>
      <w:r w:rsidR="00ED77DB">
        <w:rPr>
          <w:rFonts w:hint="cs"/>
          <w:rtl/>
          <w:lang w:bidi="ar-SA"/>
        </w:rPr>
        <w:t xml:space="preserve">را </w:t>
      </w:r>
      <w:r>
        <w:rPr>
          <w:rFonts w:hint="cs"/>
          <w:rtl/>
          <w:lang w:bidi="ar-SA"/>
        </w:rPr>
        <w:t>یکی از وظایف مالک اشتر قرار دا</w:t>
      </w:r>
      <w:r w:rsidR="00ED77DB">
        <w:rPr>
          <w:rFonts w:hint="cs"/>
          <w:rtl/>
          <w:lang w:bidi="ar-SA"/>
        </w:rPr>
        <w:t>ده</w:t>
      </w:r>
      <w:r>
        <w:rPr>
          <w:rFonts w:hint="cs"/>
          <w:rtl/>
          <w:lang w:bidi="ar-SA"/>
        </w:rPr>
        <w:t xml:space="preserve"> که البته عصرین در اینجا یا مراد ظهر و عصر است با فرض اینکه اینها با فاصله خوانده</w:t>
      </w:r>
      <w:r w:rsidR="007B6069">
        <w:rPr>
          <w:rFonts w:hint="cs"/>
          <w:rtl/>
          <w:lang w:bidi="ar-SA"/>
        </w:rPr>
        <w:t xml:space="preserve"> می‌</w:t>
      </w:r>
      <w:r>
        <w:rPr>
          <w:rFonts w:hint="cs"/>
          <w:rtl/>
          <w:lang w:bidi="ar-SA"/>
        </w:rPr>
        <w:t>شود و یا اینکه عصرین در اینجا به معنای بعد از نماز صبح و نماز عصر است که نماز صبح در واقع پایان شب بوده و عصر پایان روز</w:t>
      </w:r>
      <w:r w:rsidR="007B6069">
        <w:rPr>
          <w:rFonts w:hint="cs"/>
          <w:rtl/>
          <w:lang w:bidi="ar-SA"/>
        </w:rPr>
        <w:t xml:space="preserve"> می‌</w:t>
      </w:r>
      <w:r>
        <w:rPr>
          <w:rFonts w:hint="cs"/>
          <w:rtl/>
          <w:lang w:bidi="ar-SA"/>
        </w:rPr>
        <w:t>باشد و از این جه</w:t>
      </w:r>
      <w:r w:rsidR="00ED77DB">
        <w:rPr>
          <w:rFonts w:hint="cs"/>
          <w:rtl/>
          <w:lang w:bidi="ar-SA"/>
        </w:rPr>
        <w:t>ت از باب تغلیب عصرین به آن گفته‌</w:t>
      </w:r>
      <w:r>
        <w:rPr>
          <w:rFonts w:hint="cs"/>
          <w:rtl/>
          <w:lang w:bidi="ar-SA"/>
        </w:rPr>
        <w:t>اند. البته این احتمال هم وجود دارد که عصرین در واقع نماز عصر و عشاء باشد</w:t>
      </w:r>
      <w:r w:rsidR="00E66EE8">
        <w:rPr>
          <w:rFonts w:hint="cs"/>
          <w:rtl/>
          <w:lang w:bidi="ar-SA"/>
        </w:rPr>
        <w:t>. احتمالات مختلفی است</w:t>
      </w:r>
      <w:r w:rsidR="00ED77DB">
        <w:rPr>
          <w:rFonts w:hint="cs"/>
          <w:rtl/>
          <w:lang w:bidi="ar-SA"/>
        </w:rPr>
        <w:t>،</w:t>
      </w:r>
      <w:r w:rsidR="00E66EE8">
        <w:rPr>
          <w:rFonts w:hint="cs"/>
          <w:rtl/>
          <w:lang w:bidi="ar-SA"/>
        </w:rPr>
        <w:t xml:space="preserve"> اما در لغت ظاهراً عصرین بعد صلاۀ الفجر و صلاۀ العصر</w:t>
      </w:r>
      <w:r w:rsidR="007B6069">
        <w:rPr>
          <w:rFonts w:hint="cs"/>
          <w:rtl/>
          <w:lang w:bidi="ar-SA"/>
        </w:rPr>
        <w:t xml:space="preserve"> می‌</w:t>
      </w:r>
      <w:r w:rsidR="00E66EE8">
        <w:rPr>
          <w:rFonts w:hint="cs"/>
          <w:rtl/>
          <w:lang w:bidi="ar-SA"/>
        </w:rPr>
        <w:t>باشد.</w:t>
      </w:r>
    </w:p>
    <w:p w:rsidR="00E66EE8" w:rsidRDefault="00E66EE8" w:rsidP="001C7483">
      <w:pPr>
        <w:rPr>
          <w:rtl/>
          <w:lang w:bidi="ar-SA"/>
        </w:rPr>
      </w:pPr>
      <w:r>
        <w:rPr>
          <w:rFonts w:hint="cs"/>
          <w:rtl/>
          <w:lang w:bidi="ar-SA"/>
        </w:rPr>
        <w:t>امام به مالک اشتر</w:t>
      </w:r>
      <w:r w:rsidR="007B6069">
        <w:rPr>
          <w:rFonts w:hint="cs"/>
          <w:rtl/>
          <w:lang w:bidi="ar-SA"/>
        </w:rPr>
        <w:t xml:space="preserve"> می‌</w:t>
      </w:r>
      <w:r>
        <w:rPr>
          <w:rFonts w:hint="cs"/>
          <w:rtl/>
          <w:lang w:bidi="ar-SA"/>
        </w:rPr>
        <w:t>فرمایند که برو بنشین نماز بخوان و بعد از دو نماز «أفتِ النّاس» هم در شرح حال ابان ابن تغلب این قضیه نقل شده است که سند آن معتبر</w:t>
      </w:r>
      <w:r w:rsidR="007B6069">
        <w:rPr>
          <w:rFonts w:hint="cs"/>
          <w:rtl/>
          <w:lang w:bidi="ar-SA"/>
        </w:rPr>
        <w:t xml:space="preserve"> می‌</w:t>
      </w:r>
      <w:r>
        <w:rPr>
          <w:rFonts w:hint="cs"/>
          <w:rtl/>
          <w:lang w:bidi="ar-SA"/>
        </w:rPr>
        <w:t>باشد و هم در این عهد مالک اشتر آمده است که سند این عهد مالک اشتر که قبلاً آن را بررسی و حل کردیم که البته بعدها مشکلی در آن باقی ماند. و هم در تعداد دیگری از روایات ما داریم و لو اینکه معتبر نیست.</w:t>
      </w:r>
    </w:p>
    <w:p w:rsidR="00873379" w:rsidRDefault="00E66EE8" w:rsidP="00ED77DB">
      <w:pPr>
        <w:rPr>
          <w:rtl/>
        </w:rPr>
      </w:pPr>
      <w:r>
        <w:rPr>
          <w:rFonts w:hint="cs"/>
          <w:rtl/>
          <w:lang w:bidi="ar-SA"/>
        </w:rPr>
        <w:t>این طائفه از روایات با این تقریر مورد استدلال قرار</w:t>
      </w:r>
      <w:r w:rsidR="007B6069">
        <w:rPr>
          <w:rFonts w:hint="cs"/>
          <w:rtl/>
          <w:lang w:bidi="ar-SA"/>
        </w:rPr>
        <w:t xml:space="preserve"> می‌</w:t>
      </w:r>
      <w:r>
        <w:rPr>
          <w:rFonts w:hint="cs"/>
          <w:rtl/>
          <w:lang w:bidi="ar-SA"/>
        </w:rPr>
        <w:t>گیرد که وقتی امام</w:t>
      </w:r>
      <w:r w:rsidR="007B6069">
        <w:rPr>
          <w:rFonts w:hint="cs"/>
          <w:rtl/>
          <w:lang w:bidi="ar-SA"/>
        </w:rPr>
        <w:t xml:space="preserve"> می‌</w:t>
      </w:r>
      <w:r>
        <w:rPr>
          <w:rFonts w:hint="cs"/>
          <w:rtl/>
          <w:lang w:bidi="ar-SA"/>
        </w:rPr>
        <w:t>فرمایند برو و فتوا بده، این فتوا دادن ملازمه دارد با اینکه برای مستفتین و مخاطبین حجت باشد.</w:t>
      </w:r>
      <w:bookmarkStart w:id="0" w:name="_GoBack"/>
      <w:bookmarkEnd w:id="0"/>
    </w:p>
    <w:p w:rsidR="00152670" w:rsidRPr="00873379" w:rsidRDefault="00873379" w:rsidP="00873379">
      <w:pPr>
        <w:tabs>
          <w:tab w:val="left" w:pos="5466"/>
        </w:tabs>
        <w:rPr>
          <w:rtl/>
        </w:rPr>
      </w:pPr>
      <w:r>
        <w:rPr>
          <w:rtl/>
        </w:rPr>
        <w:tab/>
      </w:r>
    </w:p>
    <w:sectPr w:rsidR="00152670" w:rsidRPr="00873379" w:rsidSect="00873379">
      <w:headerReference w:type="default" r:id="rId6"/>
      <w:footerReference w:type="default" r:id="rId7"/>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FC" w:rsidRDefault="006C1FFC" w:rsidP="000D5800">
      <w:pPr>
        <w:spacing w:after="0"/>
      </w:pPr>
      <w:r>
        <w:separator/>
      </w:r>
    </w:p>
  </w:endnote>
  <w:endnote w:type="continuationSeparator" w:id="0">
    <w:p w:rsidR="006C1FFC" w:rsidRDefault="006C1FF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ED77DB">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FC" w:rsidRDefault="006C1FFC" w:rsidP="000D5800">
      <w:pPr>
        <w:spacing w:after="0"/>
      </w:pPr>
      <w:r>
        <w:separator/>
      </w:r>
    </w:p>
  </w:footnote>
  <w:footnote w:type="continuationSeparator" w:id="0">
    <w:p w:rsidR="006C1FFC" w:rsidRDefault="006C1FFC" w:rsidP="000D5800">
      <w:pPr>
        <w:spacing w:after="0"/>
      </w:pPr>
      <w:r>
        <w:continuationSeparator/>
      </w:r>
    </w:p>
  </w:footnote>
  <w:footnote w:id="1">
    <w:p w:rsidR="00FF005D" w:rsidRDefault="00FF005D">
      <w:pPr>
        <w:pStyle w:val="a1"/>
        <w:rPr>
          <w:rFonts w:hint="cs"/>
        </w:rPr>
      </w:pPr>
      <w:r>
        <w:rPr>
          <w:rStyle w:val="aff0"/>
        </w:rPr>
        <w:footnoteRef/>
      </w:r>
      <w:r>
        <w:rPr>
          <w:rtl/>
        </w:rPr>
        <w:t xml:space="preserve"> </w:t>
      </w:r>
      <w:r>
        <w:rPr>
          <w:rFonts w:hint="cs"/>
          <w:rtl/>
        </w:rPr>
        <w:t>. بقره / 23</w:t>
      </w:r>
    </w:p>
  </w:footnote>
  <w:footnote w:id="2">
    <w:p w:rsidR="00163F17" w:rsidRDefault="00163F17">
      <w:pPr>
        <w:pStyle w:val="a1"/>
      </w:pPr>
      <w:r>
        <w:rPr>
          <w:rStyle w:val="aff0"/>
        </w:rPr>
        <w:footnoteRef/>
      </w:r>
      <w:r>
        <w:rPr>
          <w:rtl/>
        </w:rPr>
        <w:t xml:space="preserve"> </w:t>
      </w:r>
      <w:r>
        <w:rPr>
          <w:rFonts w:hint="cs"/>
          <w:rtl/>
        </w:rPr>
        <w:t xml:space="preserve"> فصلت،</w:t>
      </w:r>
      <w:r w:rsidR="001C7483">
        <w:rPr>
          <w:rFonts w:hint="cs"/>
          <w:rtl/>
        </w:rPr>
        <w:t xml:space="preserve"> 33</w:t>
      </w:r>
    </w:p>
  </w:footnote>
  <w:footnote w:id="3">
    <w:p w:rsidR="00163F17" w:rsidRDefault="00163F17">
      <w:pPr>
        <w:pStyle w:val="a1"/>
      </w:pPr>
      <w:r>
        <w:rPr>
          <w:rStyle w:val="aff0"/>
        </w:rPr>
        <w:footnoteRef/>
      </w:r>
      <w:r>
        <w:rPr>
          <w:rtl/>
        </w:rPr>
        <w:t xml:space="preserve"> </w:t>
      </w:r>
      <w:r>
        <w:rPr>
          <w:rFonts w:hint="cs"/>
          <w:rtl/>
        </w:rPr>
        <w:t>آل عمران، 104</w:t>
      </w:r>
    </w:p>
  </w:footnote>
  <w:footnote w:id="4">
    <w:p w:rsidR="00D7353E" w:rsidRDefault="00D7353E">
      <w:pPr>
        <w:pStyle w:val="a1"/>
        <w:rPr>
          <w:rtl/>
        </w:rPr>
      </w:pPr>
      <w:r>
        <w:rPr>
          <w:rStyle w:val="aff0"/>
        </w:rPr>
        <w:footnoteRef/>
      </w:r>
      <w:r>
        <w:rPr>
          <w:rtl/>
        </w:rPr>
        <w:t xml:space="preserve"> </w:t>
      </w:r>
      <w:r>
        <w:rPr>
          <w:rFonts w:hint="cs"/>
          <w:rtl/>
        </w:rPr>
        <w:t>شرح اصول کافی، ج2، ص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330914">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858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sidR="00330914">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30914">
      <w:rPr>
        <w:rFonts w:ascii="Adobe Arabic" w:hAnsi="Adobe Arabic" w:cs="Adobe Arabic" w:hint="cs"/>
        <w:b/>
        <w:bCs/>
        <w:sz w:val="24"/>
        <w:szCs w:val="24"/>
        <w:rtl/>
      </w:rPr>
      <w:t xml:space="preserve"> اجتهاد و تقلید </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30914">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330914">
      <w:rPr>
        <w:rFonts w:ascii="Adobe Arabic" w:hAnsi="Adobe Arabic" w:cs="Adobe Arabic" w:hint="cs"/>
        <w:b/>
        <w:bCs/>
        <w:sz w:val="24"/>
        <w:szCs w:val="24"/>
        <w:rtl/>
      </w:rPr>
      <w:t xml:space="preserve"> 22/02/1394</w:t>
    </w:r>
  </w:p>
  <w:p w:rsidR="00873379" w:rsidRDefault="00873379" w:rsidP="00330914">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33091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330914">
      <w:rPr>
        <w:rFonts w:ascii="Adobe Arabic" w:hAnsi="Adobe Arabic" w:cs="Adobe Arabic" w:hint="cs"/>
        <w:b/>
        <w:bCs/>
        <w:sz w:val="24"/>
        <w:szCs w:val="24"/>
        <w:rtl/>
      </w:rPr>
      <w:t>ی: مسأله تقلید ـ آیه ذکر</w:t>
    </w:r>
    <w:r>
      <w:rPr>
        <w:rFonts w:ascii="Adobe Arabic" w:hAnsi="Adobe Arabic" w:cs="Adobe Arabic" w:hint="cs"/>
        <w:b/>
        <w:bCs/>
        <w:sz w:val="24"/>
        <w:szCs w:val="24"/>
        <w:rtl/>
      </w:rPr>
      <w:t xml:space="preserve">                   </w:t>
    </w:r>
    <w:r w:rsidR="0033091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330914">
      <w:rPr>
        <w:rFonts w:ascii="Adobe Arabic" w:hAnsi="Adobe Arabic" w:cs="Adobe Arabic" w:hint="cs"/>
        <w:b/>
        <w:bCs/>
        <w:sz w:val="24"/>
        <w:szCs w:val="24"/>
        <w:rtl/>
      </w:rPr>
      <w:t xml:space="preserve"> 112</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7216"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47593"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F6"/>
    <w:rsid w:val="000228A2"/>
    <w:rsid w:val="000324F1"/>
    <w:rsid w:val="00041FE0"/>
    <w:rsid w:val="000514E5"/>
    <w:rsid w:val="00052BA3"/>
    <w:rsid w:val="0006363E"/>
    <w:rsid w:val="00080DFF"/>
    <w:rsid w:val="00085ED5"/>
    <w:rsid w:val="000A1A51"/>
    <w:rsid w:val="000D2D0D"/>
    <w:rsid w:val="000D5800"/>
    <w:rsid w:val="000F1897"/>
    <w:rsid w:val="000F230A"/>
    <w:rsid w:val="000F7E72"/>
    <w:rsid w:val="00101E2D"/>
    <w:rsid w:val="00102405"/>
    <w:rsid w:val="00102CEB"/>
    <w:rsid w:val="00117955"/>
    <w:rsid w:val="00133E1D"/>
    <w:rsid w:val="0013617D"/>
    <w:rsid w:val="00136442"/>
    <w:rsid w:val="00150D4B"/>
    <w:rsid w:val="00152670"/>
    <w:rsid w:val="00163F17"/>
    <w:rsid w:val="00166DD8"/>
    <w:rsid w:val="001712D6"/>
    <w:rsid w:val="001757C8"/>
    <w:rsid w:val="00177934"/>
    <w:rsid w:val="00192A6A"/>
    <w:rsid w:val="00197CDD"/>
    <w:rsid w:val="001C367D"/>
    <w:rsid w:val="001C3CCA"/>
    <w:rsid w:val="001C7483"/>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2F2743"/>
    <w:rsid w:val="00330914"/>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2945"/>
    <w:rsid w:val="004F3596"/>
    <w:rsid w:val="00523858"/>
    <w:rsid w:val="00530B3B"/>
    <w:rsid w:val="00530FD7"/>
    <w:rsid w:val="00572E2D"/>
    <w:rsid w:val="0058224E"/>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C1FFC"/>
    <w:rsid w:val="006D3A87"/>
    <w:rsid w:val="006F01B4"/>
    <w:rsid w:val="00734D59"/>
    <w:rsid w:val="0073609B"/>
    <w:rsid w:val="007423F6"/>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069"/>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84601"/>
    <w:rsid w:val="009A42EF"/>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86A88"/>
    <w:rsid w:val="00C9244A"/>
    <w:rsid w:val="00CB0E5D"/>
    <w:rsid w:val="00CB5DA3"/>
    <w:rsid w:val="00CC3976"/>
    <w:rsid w:val="00CE09B7"/>
    <w:rsid w:val="00CE1DF5"/>
    <w:rsid w:val="00CE31E6"/>
    <w:rsid w:val="00CE3B74"/>
    <w:rsid w:val="00CF42E2"/>
    <w:rsid w:val="00CF7916"/>
    <w:rsid w:val="00D158F3"/>
    <w:rsid w:val="00D3665C"/>
    <w:rsid w:val="00D508CC"/>
    <w:rsid w:val="00D50F4B"/>
    <w:rsid w:val="00D60547"/>
    <w:rsid w:val="00D66444"/>
    <w:rsid w:val="00D7353E"/>
    <w:rsid w:val="00D76353"/>
    <w:rsid w:val="00DB28BB"/>
    <w:rsid w:val="00DC1599"/>
    <w:rsid w:val="00DC603F"/>
    <w:rsid w:val="00DD3C0D"/>
    <w:rsid w:val="00DD4864"/>
    <w:rsid w:val="00DD71A2"/>
    <w:rsid w:val="00DE1DC4"/>
    <w:rsid w:val="00E0639C"/>
    <w:rsid w:val="00E067E6"/>
    <w:rsid w:val="00E12531"/>
    <w:rsid w:val="00E143B0"/>
    <w:rsid w:val="00E55891"/>
    <w:rsid w:val="00E6283A"/>
    <w:rsid w:val="00E66EE8"/>
    <w:rsid w:val="00E732A3"/>
    <w:rsid w:val="00E83A85"/>
    <w:rsid w:val="00E9026B"/>
    <w:rsid w:val="00E90FC4"/>
    <w:rsid w:val="00EA01EC"/>
    <w:rsid w:val="00EA0484"/>
    <w:rsid w:val="00EA15B0"/>
    <w:rsid w:val="00EA5D97"/>
    <w:rsid w:val="00EC4393"/>
    <w:rsid w:val="00ED77DB"/>
    <w:rsid w:val="00ED7EDF"/>
    <w:rsid w:val="00EE1C07"/>
    <w:rsid w:val="00EE2C91"/>
    <w:rsid w:val="00EE3979"/>
    <w:rsid w:val="00EF138C"/>
    <w:rsid w:val="00F034CE"/>
    <w:rsid w:val="00F10A0F"/>
    <w:rsid w:val="00F40284"/>
    <w:rsid w:val="00F67976"/>
    <w:rsid w:val="00F70BE1"/>
    <w:rsid w:val="00F85929"/>
    <w:rsid w:val="00FC0862"/>
    <w:rsid w:val="00FC70FB"/>
    <w:rsid w:val="00FD143D"/>
    <w:rsid w:val="00FF005D"/>
    <w:rsid w:val="00FF27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6CB1E-D6E9-4D37-A581-72385700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63F17"/>
    <w:rPr>
      <w:vertAlign w:val="superscript"/>
    </w:rPr>
  </w:style>
  <w:style w:type="paragraph" w:styleId="aff1">
    <w:name w:val="Normal (Web)"/>
    <w:basedOn w:val="a"/>
    <w:uiPriority w:val="99"/>
    <w:unhideWhenUsed/>
    <w:rsid w:val="00FF005D"/>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94905">
      <w:bodyDiv w:val="1"/>
      <w:marLeft w:val="0"/>
      <w:marRight w:val="0"/>
      <w:marTop w:val="0"/>
      <w:marBottom w:val="0"/>
      <w:divBdr>
        <w:top w:val="none" w:sz="0" w:space="0" w:color="auto"/>
        <w:left w:val="none" w:sz="0" w:space="0" w:color="auto"/>
        <w:bottom w:val="none" w:sz="0" w:space="0" w:color="auto"/>
        <w:right w:val="none" w:sz="0" w:space="0" w:color="auto"/>
      </w:divBdr>
      <w:divsChild>
        <w:div w:id="1887641276">
          <w:marLeft w:val="0"/>
          <w:marRight w:val="0"/>
          <w:marTop w:val="0"/>
          <w:marBottom w:val="0"/>
          <w:divBdr>
            <w:top w:val="none" w:sz="0" w:space="0" w:color="auto"/>
            <w:left w:val="none" w:sz="0" w:space="0" w:color="auto"/>
            <w:bottom w:val="none" w:sz="0" w:space="0" w:color="auto"/>
            <w:right w:val="none" w:sz="0" w:space="0" w:color="auto"/>
          </w:divBdr>
        </w:div>
        <w:div w:id="1981811778">
          <w:marLeft w:val="0"/>
          <w:marRight w:val="0"/>
          <w:marTop w:val="0"/>
          <w:marBottom w:val="0"/>
          <w:divBdr>
            <w:top w:val="none" w:sz="0" w:space="0" w:color="auto"/>
            <w:left w:val="none" w:sz="0" w:space="0" w:color="auto"/>
            <w:bottom w:val="none" w:sz="0" w:space="0" w:color="auto"/>
            <w:right w:val="none" w:sz="0" w:space="0" w:color="auto"/>
          </w:divBdr>
          <w:divsChild>
            <w:div w:id="1032539695">
              <w:marLeft w:val="0"/>
              <w:marRight w:val="0"/>
              <w:marTop w:val="0"/>
              <w:marBottom w:val="0"/>
              <w:divBdr>
                <w:top w:val="none" w:sz="0" w:space="0" w:color="auto"/>
                <w:left w:val="none" w:sz="0" w:space="0" w:color="auto"/>
                <w:bottom w:val="none" w:sz="0" w:space="0" w:color="auto"/>
                <w:right w:val="none" w:sz="0" w:space="0" w:color="auto"/>
              </w:divBdr>
              <w:divsChild>
                <w:div w:id="394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1570;&#1602;&#1575;&#1740;%20&#1593;&#1604;&#1608;&#1740;\&#1606;&#1605;&#1608;&#1606;&#1607;%20&#1606;&#1605;&#1575;&#1740;&#1607;%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نمایه فقه.dotx</Template>
  <TotalTime>200</TotalTime>
  <Pages>1</Pages>
  <Words>1883</Words>
  <Characters>10739</Characters>
  <Application>Microsoft Office Word</Application>
  <DocSecurity>0</DocSecurity>
  <Lines>89</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Markaze Asnad</dc:creator>
  <cp:lastModifiedBy>Markaze Asnad</cp:lastModifiedBy>
  <cp:revision>6</cp:revision>
  <dcterms:created xsi:type="dcterms:W3CDTF">2015-05-12T13:20:00Z</dcterms:created>
  <dcterms:modified xsi:type="dcterms:W3CDTF">2015-05-13T13:23:00Z</dcterms:modified>
</cp:coreProperties>
</file>