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6D" w:rsidRPr="008D426D" w:rsidRDefault="0082238F" w:rsidP="008D426D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8D426D" w:rsidRPr="008D426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8D426D" w:rsidRPr="008D426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D426D" w:rsidRPr="008D426D">
        <w:rPr>
          <w:rFonts w:ascii="IRBadr" w:hAnsi="IRBadr" w:cs="IRBadr"/>
          <w:sz w:val="28"/>
          <w:szCs w:val="28"/>
          <w:lang w:bidi="fa-IR"/>
        </w:rPr>
        <w:instrText>TOC</w:instrText>
      </w:r>
      <w:r w:rsidR="008D426D" w:rsidRPr="008D426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8D426D" w:rsidRPr="008D426D">
        <w:rPr>
          <w:rFonts w:ascii="IRBadr" w:hAnsi="IRBadr" w:cs="IRBadr"/>
          <w:sz w:val="28"/>
          <w:szCs w:val="28"/>
          <w:lang w:bidi="fa-IR"/>
        </w:rPr>
        <w:instrText>o \h \z \u</w:instrText>
      </w:r>
      <w:r w:rsidR="008D426D" w:rsidRPr="008D426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8D426D" w:rsidRPr="008D426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8D426D" w:rsidRPr="008D426D" w:rsidRDefault="008D426D" w:rsidP="008D426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498" w:history="1">
        <w:r w:rsidRPr="008D426D">
          <w:rPr>
            <w:rStyle w:val="Hyperlink"/>
            <w:rFonts w:ascii="IRBadr" w:hAnsi="IRBadr" w:cs="IRBadr"/>
            <w:noProof/>
            <w:rtl/>
          </w:rPr>
          <w:t>ادله حجیت فتوا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_Toc434478498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2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499" w:history="1">
        <w:r w:rsidRPr="008D426D">
          <w:rPr>
            <w:rStyle w:val="Hyperlink"/>
            <w:rFonts w:ascii="IRBadr" w:hAnsi="IRBadr" w:cs="IRBadr"/>
            <w:noProof/>
            <w:rtl/>
          </w:rPr>
          <w:t>طایفه سوم از اخبار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_Toc434478499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2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0" w:history="1">
        <w:r w:rsidRPr="008D426D">
          <w:rPr>
            <w:rStyle w:val="Hyperlink"/>
            <w:rFonts w:ascii="IRBadr" w:hAnsi="IRBadr" w:cs="IRBadr"/>
            <w:noProof/>
            <w:rtl/>
          </w:rPr>
          <w:t>گروه هایی از این اخبار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_Toc434478500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2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1" w:history="1">
        <w:r w:rsidRPr="008D426D">
          <w:rPr>
            <w:rStyle w:val="Hyperlink"/>
            <w:rFonts w:ascii="IRBadr" w:hAnsi="IRBadr" w:cs="IRBadr"/>
            <w:noProof/>
            <w:rtl/>
          </w:rPr>
          <w:t>مستندات بحث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_Toc434478501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2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2" w:history="1">
        <w:r w:rsidRPr="008D426D">
          <w:rPr>
            <w:rStyle w:val="Hyperlink"/>
            <w:rFonts w:ascii="IRBadr" w:hAnsi="IRBadr" w:cs="IRBadr"/>
            <w:noProof/>
            <w:rtl/>
          </w:rPr>
          <w:t>روایت اول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_Toc434478502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3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3" w:history="1">
        <w:r w:rsidRPr="008D426D">
          <w:rPr>
            <w:rStyle w:val="Hyperlink"/>
            <w:rFonts w:ascii="IRBadr" w:hAnsi="IRBadr" w:cs="IRBadr"/>
            <w:noProof/>
            <w:rtl/>
          </w:rPr>
          <w:t>روایت دوم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_Toc434478503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3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4" w:history="1">
        <w:r w:rsidRPr="008D426D">
          <w:rPr>
            <w:rStyle w:val="Hyperlink"/>
            <w:rFonts w:ascii="IRBadr" w:hAnsi="IRBadr" w:cs="IRBadr"/>
            <w:noProof/>
            <w:rtl/>
          </w:rPr>
          <w:t>روایت سوم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_Toc434478504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4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5" w:history="1">
        <w:r w:rsidRPr="008D426D">
          <w:rPr>
            <w:rStyle w:val="Hyperlink"/>
            <w:rFonts w:ascii="IRBadr" w:hAnsi="IRBadr" w:cs="IRBadr"/>
            <w:noProof/>
            <w:rtl/>
          </w:rPr>
          <w:t>روایت چهارم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_Toc434478505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5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6" w:history="1">
        <w:r w:rsidRPr="008D426D">
          <w:rPr>
            <w:rStyle w:val="Hyperlink"/>
            <w:rFonts w:ascii="IRBadr" w:hAnsi="IRBadr" w:cs="IRBadr"/>
            <w:noProof/>
            <w:rtl/>
          </w:rPr>
          <w:t>روایت پنجم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_Toc434478506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5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7" w:history="1">
        <w:r w:rsidRPr="008D426D">
          <w:rPr>
            <w:rStyle w:val="Hyperlink"/>
            <w:rFonts w:ascii="IRBadr" w:hAnsi="IRBadr" w:cs="IRBadr"/>
            <w:noProof/>
            <w:rtl/>
          </w:rPr>
          <w:t>روایت ششم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_Toc434478507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6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8" w:history="1">
        <w:r w:rsidRPr="008D426D">
          <w:rPr>
            <w:rStyle w:val="Hyperlink"/>
            <w:rFonts w:ascii="IRBadr" w:hAnsi="IRBadr" w:cs="IRBadr"/>
            <w:noProof/>
            <w:rtl/>
          </w:rPr>
          <w:t>روایت هفتم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_Toc434478508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6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09" w:history="1">
        <w:r w:rsidRPr="008D426D">
          <w:rPr>
            <w:rStyle w:val="Hyperlink"/>
            <w:rFonts w:ascii="IRBadr" w:hAnsi="IRBadr" w:cs="IRBadr"/>
            <w:noProof/>
            <w:rtl/>
          </w:rPr>
          <w:t>روایت هشتم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_Toc434478509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7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10" w:history="1">
        <w:r w:rsidRPr="008D426D">
          <w:rPr>
            <w:rStyle w:val="Hyperlink"/>
            <w:rFonts w:ascii="IRBadr" w:hAnsi="IRBadr" w:cs="IRBadr"/>
            <w:noProof/>
            <w:rtl/>
          </w:rPr>
          <w:t>روایت نهم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_Toc434478510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7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11" w:history="1">
        <w:r w:rsidRPr="008D426D">
          <w:rPr>
            <w:rStyle w:val="Hyperlink"/>
            <w:rFonts w:ascii="IRBadr" w:hAnsi="IRBadr" w:cs="IRBadr"/>
            <w:noProof/>
            <w:rtl/>
          </w:rPr>
          <w:t>روایت دهم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_Toc434478511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7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12" w:history="1">
        <w:r w:rsidRPr="008D426D">
          <w:rPr>
            <w:rStyle w:val="Hyperlink"/>
            <w:rFonts w:ascii="IRBadr" w:hAnsi="IRBadr" w:cs="IRBadr"/>
            <w:noProof/>
            <w:rtl/>
          </w:rPr>
          <w:t>روایت یازدهم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_Toc434478512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8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4478513" w:history="1">
        <w:r w:rsidRPr="008D426D">
          <w:rPr>
            <w:rStyle w:val="Hyperlink"/>
            <w:rFonts w:ascii="IRBadr" w:hAnsi="IRBadr" w:cs="IRBadr"/>
            <w:noProof/>
            <w:rtl/>
          </w:rPr>
          <w:t>روایت دوازدهم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_Toc434478513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8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8514" w:history="1">
        <w:r w:rsidRPr="008D426D">
          <w:rPr>
            <w:rStyle w:val="Hyperlink"/>
            <w:rFonts w:ascii="IRBadr" w:hAnsi="IRBadr" w:cs="IRBadr"/>
            <w:noProof/>
            <w:rtl/>
          </w:rPr>
          <w:t>اسأله بحث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_Toc434478514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8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8515" w:history="1">
        <w:r w:rsidRPr="008D426D">
          <w:rPr>
            <w:rStyle w:val="Hyperlink"/>
            <w:rFonts w:ascii="IRBadr" w:hAnsi="IRBadr" w:cs="IRBadr"/>
            <w:noProof/>
            <w:rtl/>
          </w:rPr>
          <w:t>سؤال اول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_Toc434478515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9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8516" w:history="1">
        <w:r w:rsidRPr="008D426D">
          <w:rPr>
            <w:rStyle w:val="Hyperlink"/>
            <w:rFonts w:ascii="IRBadr" w:hAnsi="IRBadr" w:cs="IRBadr"/>
            <w:noProof/>
            <w:rtl/>
          </w:rPr>
          <w:t>سؤال دوم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_Toc434478516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9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Pr="008D426D" w:rsidRDefault="008D426D" w:rsidP="008D426D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4478517" w:history="1">
        <w:r w:rsidRPr="008D426D">
          <w:rPr>
            <w:rStyle w:val="Hyperlink"/>
            <w:rFonts w:ascii="IRBadr" w:hAnsi="IRBadr" w:cs="IRBadr"/>
            <w:noProof/>
            <w:rtl/>
          </w:rPr>
          <w:t>سؤال سوم</w:t>
        </w:r>
        <w:r w:rsidRPr="008D426D">
          <w:rPr>
            <w:rFonts w:ascii="IRBadr" w:hAnsi="IRBadr" w:cs="IRBadr"/>
            <w:noProof/>
            <w:webHidden/>
          </w:rPr>
          <w:tab/>
        </w:r>
        <w:r w:rsidRPr="008D426D">
          <w:rPr>
            <w:rFonts w:ascii="IRBadr" w:hAnsi="IRBadr" w:cs="IRBadr"/>
            <w:noProof/>
            <w:webHidden/>
          </w:rPr>
          <w:fldChar w:fldCharType="begin"/>
        </w:r>
        <w:r w:rsidRPr="008D426D">
          <w:rPr>
            <w:rFonts w:ascii="IRBadr" w:hAnsi="IRBadr" w:cs="IRBadr"/>
            <w:noProof/>
            <w:webHidden/>
          </w:rPr>
          <w:instrText xml:space="preserve"> PAGEREF _Toc434478517 \h </w:instrText>
        </w:r>
        <w:r w:rsidRPr="008D426D">
          <w:rPr>
            <w:rFonts w:ascii="IRBadr" w:hAnsi="IRBadr" w:cs="IRBadr"/>
            <w:noProof/>
            <w:webHidden/>
          </w:rPr>
        </w:r>
        <w:r w:rsidRPr="008D426D">
          <w:rPr>
            <w:rFonts w:ascii="IRBadr" w:hAnsi="IRBadr" w:cs="IRBadr"/>
            <w:noProof/>
            <w:webHidden/>
          </w:rPr>
          <w:fldChar w:fldCharType="separate"/>
        </w:r>
        <w:r w:rsidRPr="008D426D">
          <w:rPr>
            <w:rFonts w:ascii="IRBadr" w:hAnsi="IRBadr" w:cs="IRBadr"/>
            <w:noProof/>
            <w:webHidden/>
          </w:rPr>
          <w:t>9</w:t>
        </w:r>
        <w:r w:rsidRPr="008D426D">
          <w:rPr>
            <w:rFonts w:ascii="IRBadr" w:hAnsi="IRBadr" w:cs="IRBadr"/>
            <w:noProof/>
            <w:webHidden/>
          </w:rPr>
          <w:fldChar w:fldCharType="end"/>
        </w:r>
      </w:hyperlink>
    </w:p>
    <w:p w:rsidR="008D426D" w:rsidRDefault="008D426D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D426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D426D" w:rsidRDefault="008D426D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B390E" w:rsidRDefault="00DB390E" w:rsidP="008D426D">
      <w:pPr>
        <w:pStyle w:val="Heading1"/>
        <w:rPr>
          <w:rtl/>
        </w:rPr>
      </w:pPr>
      <w:bookmarkStart w:id="0" w:name="_Toc434478498"/>
      <w:r>
        <w:rPr>
          <w:rFonts w:hint="cs"/>
          <w:rtl/>
        </w:rPr>
        <w:lastRenderedPageBreak/>
        <w:t>ادله حجیت فتوا</w:t>
      </w:r>
      <w:bookmarkEnd w:id="0"/>
    </w:p>
    <w:p w:rsidR="00DB390E" w:rsidRDefault="00DB390E" w:rsidP="008D426D">
      <w:pPr>
        <w:pStyle w:val="Heading1"/>
        <w:rPr>
          <w:rtl/>
        </w:rPr>
      </w:pPr>
      <w:bookmarkStart w:id="1" w:name="_Toc434478499"/>
      <w:r>
        <w:rPr>
          <w:rFonts w:hint="cs"/>
          <w:rtl/>
        </w:rPr>
        <w:t>طایفه سوم از اخبار</w:t>
      </w:r>
      <w:bookmarkEnd w:id="1"/>
    </w:p>
    <w:p w:rsidR="00DB390E" w:rsidRDefault="006C6E3D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بیان شد که سومین طایفه از اخبار حجیت فتوا،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یاتی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مردم و شیعیان را به اصحاب ارجاع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ی‌دادند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ادله سابق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به‌عکس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امر به افراد دیگری برای رجوع به مردم جهت فتوا بود.</w:t>
      </w:r>
    </w:p>
    <w:p w:rsidR="00DB390E" w:rsidRDefault="008D426D" w:rsidP="008D426D">
      <w:pPr>
        <w:pStyle w:val="Heading1"/>
        <w:rPr>
          <w:rtl/>
        </w:rPr>
      </w:pPr>
      <w:bookmarkStart w:id="2" w:name="_Toc434478500"/>
      <w:r>
        <w:rPr>
          <w:rFonts w:hint="eastAsia"/>
          <w:rtl/>
        </w:rPr>
        <w:t>گروه‌ها</w:t>
      </w:r>
      <w:r>
        <w:rPr>
          <w:rFonts w:hint="cs"/>
          <w:rtl/>
        </w:rPr>
        <w:t>یی</w:t>
      </w:r>
      <w:r w:rsidR="00DB390E">
        <w:rPr>
          <w:rFonts w:hint="cs"/>
          <w:rtl/>
        </w:rPr>
        <w:t xml:space="preserve"> از این اخبار</w:t>
      </w:r>
      <w:bookmarkEnd w:id="2"/>
    </w:p>
    <w:p w:rsidR="008905D2" w:rsidRDefault="006C6E3D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ذیل این طایفه چند گروه قرار دارد.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گروه از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اشخاص خاص ارجاع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دسته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نیز روایاتی است که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به‌طور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عام رجوع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8618F2" w:rsidRPr="008618F2" w:rsidRDefault="008618F2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وَ أَمَّا الْحَوَادِثُ الْوَاقِعَةُ فَارْجِعُوا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رُوَاةِ حَدِ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ثِنَا فَإِنَّهُمْ حُجَّتِ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أَنَا حُجَّةُ اللَّهِ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أَما مُحَمَّدُ بْنُ عُثْمَانَ الْعَمْرِ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رَضِ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اللَّهُ عَنْهُ وَ عَنْ 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مِنْ قَبْلُ فَإِنَّهُ ثِقَتِ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تَابُهُ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تَابِ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أَمَّا مُحَمَّدُ بْنُ عَلِ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مَهْزِ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ارَ الْأَهْوَازِ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فَسَ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صْلِحُ اللَّهُ قَلْبَهُ وَ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زِ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لُ عَنْهُ شَ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هُ وَ أَمَّا مَا وَصَلْتَنَا بِهِ فَلَا قَبُولَ عِنْدَنَا إِلَّا لِمَا طَابَ وَ طَهُرَ وَ ثَمَنُ الْمُغَنِّ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ةِ حَرَامٌ وَ أَمَّا مُحَمَّدُ بْنُ شَاذَانَ بْنِ نُعَ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مٍ فَإِنَّهُ رَجُلٌ مِنْ شِ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عَتِنَا أَهْلَ الْبَ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تِ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.»</w:t>
      </w:r>
      <w:r w:rsidRPr="008618F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6C6E3D" w:rsidRPr="008618F2" w:rsidRDefault="006C6E3D" w:rsidP="008D426D">
      <w:pPr>
        <w:pStyle w:val="NormalWeb"/>
        <w:bidi/>
        <w:spacing w:line="36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گروه سوم نیز طایفه ایست که در مقام اختلاف فقهاء را حکم قرار دهید.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مورد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مناطاً اطلاق داشته باشد و در بحث قضاء منحصر نشود.</w:t>
      </w:r>
    </w:p>
    <w:p w:rsidR="00DB390E" w:rsidRDefault="00DB390E" w:rsidP="008D426D">
      <w:pPr>
        <w:pStyle w:val="Heading2"/>
        <w:rPr>
          <w:rtl/>
        </w:rPr>
      </w:pPr>
      <w:bookmarkStart w:id="4" w:name="_Toc434478501"/>
      <w:r>
        <w:rPr>
          <w:rFonts w:hint="cs"/>
          <w:rtl/>
        </w:rPr>
        <w:t>مستندات بحث</w:t>
      </w:r>
      <w:bookmarkEnd w:id="4"/>
    </w:p>
    <w:p w:rsidR="006C6E3D" w:rsidRDefault="006C6E3D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وقتی به نحو اطلاق مردم را به ارجاع به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ی‌خوانند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مشخص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نظر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مردم حجت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در باب یازده از ابواب صفات قاضی است،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برخ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6C6E3D" w:rsidRDefault="006C6E3D" w:rsidP="008D426D">
      <w:pPr>
        <w:pStyle w:val="Heading2"/>
        <w:rPr>
          <w:rtl/>
        </w:rPr>
      </w:pPr>
      <w:bookmarkStart w:id="5" w:name="_Toc434478502"/>
      <w:r>
        <w:rPr>
          <w:rFonts w:hint="cs"/>
          <w:rtl/>
        </w:rPr>
        <w:lastRenderedPageBreak/>
        <w:t>روایت اول</w:t>
      </w:r>
      <w:bookmarkEnd w:id="5"/>
    </w:p>
    <w:p w:rsidR="008618F2" w:rsidRPr="008618F2" w:rsidRDefault="008618F2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مُحَمَّدُ بْنُ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مُحَمَّدِ بْنِ الْحُسَ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 عَنْ مُحَمَّدِ بْنِ عِ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صَفْوَانَ عَنْ دَاوُدَ بْنِ الْحُصَ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 عَنْ عُمَرَ بْنِ حَنْظَلَةَ قَالَ: سَأَلْتُ أَبَا عَبْدِ اللَّهِ ع عَنْ رَجُلَ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مِنْ أَصْحَابِنَا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ونُ بَ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نَهُمَا مُنَازَعَةٌ فِ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دَ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نٍ أَوْ مِ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رَاثٍ فَتَحَا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مَا إِلَ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السُّلْطَانِ أَوْ إِلَ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الْقُضَاةِ أَ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حِلُّ ذَلِ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فَقَالَ مَنْ تَحَا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 إِلَ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الطَّاغُوتِ فَحَ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 لَهُ فَإِنَّمَا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أْخُذُ سُحْتاً وَ إِنْ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حَقُّهُ ثَابِتاً لِأَنَّهُ أَخَذَ بِحُ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مِ الطَّاغُوتِ وَ قَدْ أَمَرَ اللَّهُ أَنْ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فَرَ بِهِ قُلْتُ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صْنَعَانِ قَالَ انْظُرُوا إِلَ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 مِنْ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قَدْ رَوَ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ثَنَا وَ نَظَرَ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فِ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حَلَالِنَا وَ حَرَامِنَا وَ عَرَفَ أَحْ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امَنَا فَارْضَوْا بِهِ حَ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ماً فَإِنِّ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قَدْ جَعَلْتُهُ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حَا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ماً فَإِذَا حَ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 بِحُ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مِنَا فَلَمْ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قْبَلْهُ مِنْهُ فَإِنَّمَا بِحُ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مِ اللَّهِ قَدِ اسْتَخَفَّ وَ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نَا رَدَّ وَ الرَّادُّ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نَا الرَّادُّ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اللَّهِ وَ هُوَ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حَدِّ الشِّرْ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بِاللَّهِ.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618F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2"/>
      </w:r>
    </w:p>
    <w:p w:rsidR="006C6E3D" w:rsidRDefault="006C6E3D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روایت مشهور عمر بن حنظلة است که بحث سندی آن در مباحث قضاء و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ولایت‌فقیه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بررسی شود و از قسم سوم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دسته‌ها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حدیث فوق به شمار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C6E3D" w:rsidRDefault="006C6E3D" w:rsidP="008D426D">
      <w:pPr>
        <w:pStyle w:val="Heading2"/>
        <w:rPr>
          <w:rtl/>
        </w:rPr>
      </w:pPr>
      <w:bookmarkStart w:id="6" w:name="_Toc434478503"/>
      <w:r>
        <w:rPr>
          <w:rFonts w:hint="cs"/>
          <w:rtl/>
        </w:rPr>
        <w:t>روایت دوم</w:t>
      </w:r>
      <w:bookmarkEnd w:id="6"/>
    </w:p>
    <w:p w:rsidR="006C6E3D" w:rsidRDefault="006C6E3D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از مورد اول است؛</w:t>
      </w:r>
    </w:p>
    <w:p w:rsidR="008618F2" w:rsidRPr="008618F2" w:rsidRDefault="008618F2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وَ عَنْهُ عَنْ مُحَمَّدِ بْنِ عَبْدِ اللَّهِ وَ مُحَمَّدِ بْنِ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جَمِ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عاً عَنْ عَبْدِ اللَّهِ بْنِ جَعْفَرٍ الْحِمْ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قَالَ: اجْتَمَعْتُ أَنَا وَ الشَّ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خُ أَبُو عَمْرٍو عِنْدَ أَحْمَدَ بْنِ إِسْحَاقَ أَنْ أَسْأَلَهُ عَنِ الْخَلَفِ فَقُلْتُ لَهُ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 أَبَا عَمْرٍو إِنِّ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أُرِ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دُ أَنْ أَسْأَلَ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شَ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ءٍ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مَا أَنَا بِشَا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مَا أُرِ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دُ أَنْ أَسْأَلَ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عَنْهُ فَإِنَّ اعْتِقَادِ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دِ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أَنَّ الْأَرْضَ لَا تَخْلُو عَنْ حُجَّةٍ إِلَّا إِذَا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قَبْلَ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وْمِ الْقِ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امَةِ بِأَرْبَعِ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وْماً انْقَطَعَتِ الْحُجَّةُ وَ أُغْلِقَ بَابُ التَّوْبَةِ فَلَمْ 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نْفَعْ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نَفْساً إِ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مانُها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لَمْ تَ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 آمَنَتْ مِنْ قَبْلُ أَوْ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سَبَتْ فِ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مَانِهَا خَ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راً فَأُولَئِ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أَشْرَارُ مَنْ خَلَقَ اللَّهُ وَ 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أَحْبَبْتُ أَنْ أَزْدَادَ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ناً فَإِنَّ إِبْرَاهِ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 سَأَلَ رَبَّهُ أَنْ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فَ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الْمَوْتَ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فَقَالَ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 وَ لَمْ تُؤْمِنْ قالَ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بَل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 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طْمَئِنَّ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قَلْبِ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قَدْ أَخْبَرَنِ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أَبُو عَلِ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أَحْمَدُ بْنُ إِسْحَاقَ عَنْ 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الْحَسَنِ ع قَالَ سَأَلْتُهُ وَ قُلْتُ عَمَّنْ آخُذُ وَ قَوْلَ مَنْ أَقْبَلُ فَقَالَ لَهُ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الْعَمْرِ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ثِقَتِ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فَمَا أَدَّ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فَعَنِّ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ؤَدِّ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مَا قَالَ 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فَعَنِّ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 فَاسْمَعْ لَهُ وَ أَطِعْ فَإِنَّهُ الثِّقَةُ الْمَأْمُونُ.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618F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3"/>
      </w:r>
    </w:p>
    <w:p w:rsidR="00D779CC" w:rsidRDefault="00D779CC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روایت </w:t>
      </w:r>
      <w:r w:rsidR="008618F2">
        <w:rPr>
          <w:rFonts w:ascii="IRBadr" w:hAnsi="IRBadr" w:cs="IRBadr" w:hint="cs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رای عثمان بن سعید است که اولین نائب امام بود و پیش از آن از اصحاب امام هادی (ع) و عسکری (ع) بوده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راو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را از هر دو امام نقل نموده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در کتاب غیبت مرحوم شیخ نیز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روایتی معتبر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اکثر روات از قمیون و مربوط به دوره اشعریون هستند.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علاوه بر این دارای اطلاق نیز هست که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فعل امر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D779CC" w:rsidRDefault="00D779CC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ممکن است کسی ادعا کند که این روایت مختص به این افراد است که در اینجا القاء خصوصیت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779CC" w:rsidRDefault="00D779CC" w:rsidP="008D426D">
      <w:pPr>
        <w:pStyle w:val="Heading2"/>
        <w:rPr>
          <w:rtl/>
        </w:rPr>
      </w:pPr>
      <w:bookmarkStart w:id="7" w:name="_Toc434478504"/>
      <w:r>
        <w:rPr>
          <w:rFonts w:hint="cs"/>
          <w:rtl/>
        </w:rPr>
        <w:t>روایت سوم</w:t>
      </w:r>
      <w:bookmarkEnd w:id="7"/>
    </w:p>
    <w:p w:rsidR="00D779CC" w:rsidRDefault="00D779CC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نیز معتبره است؛</w:t>
      </w:r>
    </w:p>
    <w:p w:rsidR="005F52BD" w:rsidRDefault="005F52B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ابْنِ 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عَنْ عُمَرَ بْنِ أُذَ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نَةَ عَنْ إِسْمَاعِ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لَ بْنِ الْفَضْلِ الْهَاشِمِ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قَالَ: سَأَلْتُ أَبَا عَبْدِ اللَّهِ ع عَنِ الْمُتْعَةِ فَقَالَ الْقَ عَبْدَ الْمَلِ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بْنَ جُرَ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جٍ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فَسَلْهُ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عَنْهَا فَإِنَّ عِنْدَهُ مِنْهَا عِلْماً فَلَقِ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تُهُ فَأَمْلَ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مِنْهَا شَ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ئاً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راً فِ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اسْتِحْلَالِهَا فَ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 فِ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مَا رَوَ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ابْنُ جُرَ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جٍ قَالَ 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سَ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وَقْتٌ وَ لَا عَدَدٌ إِنَّمَا هِ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بِمَنْزِلَةِ الْإِمَاءِ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تَزَوَّجُ مِنْهُنَّ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مْ شَاءَ وَ صَاحِبُ الْأَرْبَعِ نِسْوَةٍ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تَزَوَّجُ مِنْهُنَّ مَا شَاءَ بِغَ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 وَلِ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لَا شُهُودٍ فَإِذَا انْقَضَ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الْأَجَلُ بَانَتْ مِنْهُ بِغَ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رِ طَلَاقٍ وَ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عْطِ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هَا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الشَّ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ءَ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 وَ عِدَّتُهَا حَ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ضَتَانِ وَ إِنْ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انَتْ لَا تَحِ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ضُ فَخَمْسَةٌ وَ أَرْبَعُونَ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وْماً فَأَتَ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تُ بِالْ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تَابِ أَبَا عَبْدِ اللَّهِ ع فَعَرَضْتُ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هِ فَقَالَ 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>صَدَقَ وَ أَقَرَّ بِهِ قَالَ ابْنُ أُذَ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نَةَ وَ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 زُرَارَةُ بْنُ أَعْ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قُولُ هَذَا وَ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حْلِفُ أَنَّهُ الْحَقُّ إِلَّا أَنَّهُ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قُولُ إِنْ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انَتْ تَحِ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ضُ فَحَ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ضَةٌ وَ إِنْ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انَتْ لَا تَحِ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618F2"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ضُ فَشَهْرٌ وَ نِصْفٌ.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F52B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4"/>
      </w:r>
    </w:p>
    <w:p w:rsidR="00D779CC" w:rsidRPr="005F52BD" w:rsidRDefault="00D779CC" w:rsidP="008D426D">
      <w:pPr>
        <w:pStyle w:val="Heading2"/>
        <w:rPr>
          <w:rFonts w:ascii="IRBadr" w:hAnsi="IRBadr" w:cs="IRBadr"/>
          <w:b/>
          <w:color w:val="000000" w:themeColor="text1"/>
          <w:sz w:val="28"/>
          <w:szCs w:val="28"/>
          <w:rtl/>
        </w:rPr>
      </w:pPr>
      <w:bookmarkStart w:id="8" w:name="_Toc434478505"/>
      <w:r>
        <w:rPr>
          <w:rFonts w:hint="cs"/>
          <w:rtl/>
        </w:rPr>
        <w:t>روایت چهارم</w:t>
      </w:r>
      <w:bookmarkEnd w:id="8"/>
    </w:p>
    <w:p w:rsidR="005F52BD" w:rsidRPr="005F52BD" w:rsidRDefault="005F52BD" w:rsidP="008D426D">
      <w:pPr>
        <w:pStyle w:val="NormalWeb"/>
        <w:bidi/>
        <w:jc w:val="both"/>
        <w:rPr>
          <w:rFonts w:ascii="Aldhabi" w:hAnsi="Aldhabi" w:cs="Aldhabi" w:hint="cs"/>
          <w:b/>
          <w:bCs/>
          <w:color w:val="552B2B"/>
          <w:sz w:val="30"/>
          <w:szCs w:val="30"/>
          <w:rtl/>
          <w:lang w:bidi="fa-IR"/>
        </w:rPr>
      </w:pP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وَ بِإِسْنَادِهِ عَنْ أَبَانِ بْنِ عُثْمَانَ أَنَّ أَبَا عَبْدِ اللَّهِ ع قَالَ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لَهُ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إِنَ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أَبَانَ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بْنَ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تَغْلِبَ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قَدْ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رَوَ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رِوَا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ةً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رَةً فَمَا رَوَاهُ 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فَارْوِهِ عَنِّ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.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» </w:t>
      </w:r>
      <w:r w:rsidRPr="005F52B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5"/>
      </w:r>
    </w:p>
    <w:p w:rsidR="00D779CC" w:rsidRDefault="00D779CC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استدلال به این روایت چندان قوی نیست چراکه تنها بحث در روایت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در اینجا گفته شود که روایت محضه در اینجا مراد نیست بلکه به همراه نوعی اجتهاد و نظر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روایت بیشتر با بحث خبر ثقه منطبق است.</w:t>
      </w:r>
    </w:p>
    <w:p w:rsidR="00D779CC" w:rsidRDefault="00D779CC" w:rsidP="008D426D">
      <w:pPr>
        <w:pStyle w:val="Heading2"/>
        <w:rPr>
          <w:rtl/>
        </w:rPr>
      </w:pPr>
      <w:bookmarkStart w:id="9" w:name="_Toc434478506"/>
      <w:r>
        <w:rPr>
          <w:rFonts w:hint="cs"/>
          <w:rtl/>
        </w:rPr>
        <w:t>روایت پنجم</w:t>
      </w:r>
      <w:bookmarkEnd w:id="9"/>
    </w:p>
    <w:p w:rsidR="00D779CC" w:rsidRDefault="00D779CC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روایت مشهوری است که صدوق در اکمال الدین نقل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توقیعی از امام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</w:t>
      </w:r>
    </w:p>
    <w:p w:rsidR="005F52BD" w:rsidRPr="008618F2" w:rsidRDefault="005F52B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«وَ أَمَّا الْحَوَادِثُ الْوَاقِعَةُ فَارْجِعُوا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رُوَاةِ حَدِ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ثِنَا فَإِنَّهُمْ حُجَّتِ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أَنَا حُجَّةُ اللَّهِ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أَما مُحَمَّدُ بْنُ عُثْمَانَ الْعَمْرِ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رَضِ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اللَّهُ عَنْهُ وَ عَنْ 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مِنْ قَبْلُ فَإِنَّهُ ثِقَتِ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تَابُهُ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تَابِ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أَمَّا مُحَمَّدُ بْنُ عَلِ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مَهْزِ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ارَ الْأَهْوَازِ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فَسَ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صْلِحُ اللَّهُ قَلْبَهُ وَ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زِ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لُ عَنْهُ شَ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هُ وَ أَمَّا مَا وَصَلْتَنَا بِهِ فَلَا قَبُولَ عِنْدَنَا إِلَّا لِمَا طَابَ وَ طَهُرَ وَ ثَمَنُ الْمُغَنِّ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ةِ حَرَامٌ وَ أَمَّا مُحَمَّدُ بْنُ شَاذَانَ بْنِ نُعَ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مٍ فَإِنَّهُ رَجُلٌ مِنْ شِ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عَتِنَا أَهْلَ الْبَ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618F2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تِ.»</w:t>
      </w:r>
      <w:r w:rsidRPr="008618F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6"/>
      </w:r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اگر حوادث واقعه اطلاق داشته باشد که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مربوط به باب اجتهاد خواهد بود که صدر آن ارجاع عمومی و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ذ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ارجاع به فرد خاص است.</w:t>
      </w:r>
    </w:p>
    <w:p w:rsidR="00CE7603" w:rsidRDefault="00CE7603" w:rsidP="008D426D">
      <w:pPr>
        <w:pStyle w:val="Heading2"/>
        <w:rPr>
          <w:rtl/>
        </w:rPr>
      </w:pPr>
      <w:bookmarkStart w:id="10" w:name="_Toc434478507"/>
      <w:r>
        <w:rPr>
          <w:rFonts w:hint="cs"/>
          <w:rtl/>
        </w:rPr>
        <w:t>روایت ششم</w:t>
      </w:r>
      <w:bookmarkEnd w:id="10"/>
    </w:p>
    <w:p w:rsidR="005F52BD" w:rsidRPr="005F52BD" w:rsidRDefault="005F52B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5F52B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مُحَمَّدُ بْنُ عُمَرَ الْ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شِّ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تَابِ الرِّجَالِ عَنْ حَمْدَوَ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بْنِ نُصَ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رٍ عَنْ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عْقُوبَ بْنِ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زِ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دَ عَنْ مُحَمَّدِ بْنِ 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عَنْ جَمِ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لِ بْنِ دَرَّاجٍ قَالَ سَمِعْتُ أَبَا عَبْدِ اللَّهِ ع 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قُولُ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بَشِّرِ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الْمُخْبِتِ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نَ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بِالْجَنَّةِ بُرَ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دُ بْنُ مُعَاوِ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ةَ الْعِجْلِ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- وَ أَبُو بَصِ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 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ثُ بْنُ الْبَخْتَرِ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الْمُرَادِ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مُحَمَّدُ بْنُ مُسْلِمٍ وَ زُرَارَةُ أَرْبَعَةٌ نُجَبَاءُ أُمَنَاءُ اللَّهِ عَلَ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حَلَالِهِ وَ حَرَامِهِ لَوْ لَا هَؤُلَاءِ انْقَطَعَتْ آثَارُ النُّبُوَّةِ وَ انْدَرَسَتْ.</w:t>
      </w:r>
      <w:r w:rsidRPr="005F52B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F52B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7"/>
      </w:r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روایت معتبره است و امام تعابیر عجیبی در قبال این اصحاب ذکر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را با مدلولی التزامی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زمره روایات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قرارداد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از منظری دیگر نیز به دو گروه تقسیم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روا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یاتی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به نحو مدلول مطابقی به اصحاب ارجاع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روایاتی که به نحو مدلول التزامی چنین دلالتی را دارند که دلالت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به‌مراتب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ضعیف‌تر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</w:p>
    <w:p w:rsidR="00CE7603" w:rsidRDefault="00CE7603" w:rsidP="008D426D">
      <w:pPr>
        <w:pStyle w:val="Heading2"/>
        <w:rPr>
          <w:rtl/>
        </w:rPr>
      </w:pPr>
      <w:bookmarkStart w:id="11" w:name="_Toc434478508"/>
      <w:r>
        <w:rPr>
          <w:rFonts w:hint="cs"/>
          <w:rtl/>
        </w:rPr>
        <w:t>روایت هفتم</w:t>
      </w:r>
      <w:bookmarkEnd w:id="11"/>
    </w:p>
    <w:p w:rsidR="005F52BD" w:rsidRPr="005F52BD" w:rsidRDefault="005F52B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وَ بِالْإِسْنَادِ عَنِ ابْنِ 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عَنْ شُعَ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بٍ الْعَقَرْقُوفِ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قَالَ: قُلْتُ لِأَبِ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رُبَّمَا احْتَجْنَا أَنْ نَسْأَلَ عَنِ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الشَّ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ءِ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فَمَنْ نَسْأَلُ قَالَ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D426D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بِالْأَسَدِ</w:t>
      </w:r>
      <w:r w:rsidR="008D426D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عْنِ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أَبَا بَصِ</w:t>
      </w:r>
      <w:r w:rsid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رٍ.</w:t>
      </w:r>
      <w:r w:rsidRPr="005F52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F52B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8"/>
      </w:r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به ابی بصیر ارجاع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چهار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نفر به ابو بصیر مسمی هستند که سه نفر از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معتبرند و در این زمینه به سبب اهمیت بحث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رساله‌ها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متعددی نگاشته شده است.</w:t>
      </w:r>
    </w:p>
    <w:p w:rsidR="00CE7603" w:rsidRDefault="00CE7603" w:rsidP="008D426D">
      <w:pPr>
        <w:pStyle w:val="Heading2"/>
        <w:rPr>
          <w:rtl/>
        </w:rPr>
      </w:pPr>
      <w:bookmarkStart w:id="12" w:name="_Toc434478509"/>
      <w:r>
        <w:rPr>
          <w:rFonts w:hint="cs"/>
          <w:rtl/>
        </w:rPr>
        <w:lastRenderedPageBreak/>
        <w:t>روایت هشتم</w:t>
      </w:r>
      <w:bookmarkEnd w:id="12"/>
    </w:p>
    <w:p w:rsidR="008D426D" w:rsidRPr="008D426D" w:rsidRDefault="008D426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وَ عَنْ جَعْفَرِ بْنِ مُحَمَّدِ بْنِ مَعْرُوفٍ، عَنْ مُحَمَّدِ بْنِ الْحُسَ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بْنِ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الْخَطَّابِ، عَنْ جَعْفَرِ بْنِ بَشِ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رٍ، عَنْ أَبَانِ بْنِ تَغْلِبَ، عَنْ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بَصِ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رٍ، أَنَّ أَبَا عَبْدِ اللَّهِ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السَّلَامُ قَالَ لَهُ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ثٍ: لَوْلَا زُرَارَةُ وَ نُظَرَاؤُهُ لَظَنَنْتُ أَنَّ أَحَادِ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ثَ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5F52BD"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السَّلَامُ سَتَذْهَبُ.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D42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9"/>
      </w:r>
    </w:p>
    <w:p w:rsidR="00CE7603" w:rsidRDefault="00CE7603" w:rsidP="008D426D">
      <w:pPr>
        <w:pStyle w:val="Heading2"/>
        <w:rPr>
          <w:rtl/>
        </w:rPr>
      </w:pPr>
      <w:bookmarkStart w:id="13" w:name="_Toc434478510"/>
      <w:r>
        <w:rPr>
          <w:rFonts w:hint="cs"/>
          <w:rtl/>
        </w:rPr>
        <w:t>روایت نهم</w:t>
      </w:r>
      <w:bookmarkEnd w:id="13"/>
    </w:p>
    <w:p w:rsidR="008D426D" w:rsidRPr="008D426D" w:rsidRDefault="008D426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وَ عَنْ حَمْدَوَ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بْنِ نُصَ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رٍ عَنْ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عْقُوبَ بْنِ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زِ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دَ عَنِ الْقَاسِمِ بْنِ عُرْوَةَ عَنْ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الْعَبَّاسِ الْفَضْلِ بْنِ عَبْدِ الْمَلِ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سَمِعْتُ أَبَا عَبْدِ اللَّهِ ع 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قُولُ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أَحَبُّ النَّاسِ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أَحْ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اءً وَ أَمْوَاتاً أَرْبَعَةٌ بُرَ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دُ بْنُ مُعَاوِ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ةَ الْعِجْلِ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زُرَارَةُ- وَ مُحَمَّدُ بْنُ مُسْلِمٍ وَ الْأَحْوَلُ- وَ هُمْ أَحَبُّ النَّاسِ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أَحْ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اءً وَ أَمْوَاتاً.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D42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0"/>
      </w:r>
    </w:p>
    <w:p w:rsidR="00CE7603" w:rsidRDefault="00CE7603" w:rsidP="008D426D">
      <w:pPr>
        <w:pStyle w:val="Heading2"/>
        <w:rPr>
          <w:rtl/>
        </w:rPr>
      </w:pPr>
      <w:bookmarkStart w:id="14" w:name="_Toc434478511"/>
      <w:r>
        <w:rPr>
          <w:rFonts w:hint="cs"/>
          <w:rtl/>
        </w:rPr>
        <w:t>روایت دهم</w:t>
      </w:r>
      <w:bookmarkEnd w:id="14"/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روایت معتبره نیست؛</w:t>
      </w:r>
    </w:p>
    <w:p w:rsidR="008D426D" w:rsidRPr="008D426D" w:rsidRDefault="008D426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وَ عَنْ مُحَمَّدِ بْنِ قُولَوَ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عَنْ سَعْدٍ عَنْ مُحَمَّدِ بْنِ الْحُسَ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 بْنِ أَبِ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الْخَطَّابِ عَنْ مُحَمَّدِ بْنِ سِنَانٍ عَنِ الْمُفَضَّلِ بْنِ عُمَرَ أَنَّ أَبَا عَبْدِ اللَّهِ ع قَالَ لِلْفَ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ضِ بْنِ الْمُخْتَارِ-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ثٍ فَإِذَا أَرَدْتَ حَدِ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ثَنَا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فَعَلَ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بِهَذَا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الْجَالِسِ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أَوْمَأَ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رَجُلٍ مِنْ أَصْحَابِهِ فَسَأَلْتُ أَصْحَابَنَا عَنْهُ فَقَالُوا زُرَارَةُ بْنُ أَعْ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نَ.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D42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1"/>
      </w:r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این جالس زراره بن اعین بوده است.</w:t>
      </w:r>
    </w:p>
    <w:p w:rsidR="00CE7603" w:rsidRDefault="00CE7603" w:rsidP="008D426D">
      <w:pPr>
        <w:pStyle w:val="Heading2"/>
        <w:rPr>
          <w:rtl/>
        </w:rPr>
      </w:pPr>
      <w:bookmarkStart w:id="15" w:name="_Toc434478512"/>
      <w:r>
        <w:rPr>
          <w:rFonts w:hint="cs"/>
          <w:rtl/>
        </w:rPr>
        <w:t>روایت یازدهم</w:t>
      </w:r>
      <w:bookmarkEnd w:id="15"/>
    </w:p>
    <w:p w:rsidR="008D426D" w:rsidRPr="008D426D" w:rsidRDefault="008D426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وَ عَنْهُ عَنْ سَعْدٍ عَنْ مُحَمَّدِ بْنِ عِ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الْوَلِ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دِ عَنْ عَلِ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الْمُسَ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 الْهَمْدَانِ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قَالَ: قُلْتُ لِلرِّضَا ع شُقَّتِ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بَعِ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دَةٌ وَ لَسْتُ أَصِلُ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لِّ وَقْتٍ فَمِمَّنْ آخُذُ مَعَالِمَ 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مِنْ زَ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 بْنِ آدَمَ الْقُمِّ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-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الْمَأْمُونِ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الدِّ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نِ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الدُّنْ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 قَالَ عَلِ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الْمُسَ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بِ- فَلَمَّا انْصَرَفْتُ قَدِمْنَا عَلَ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زَ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 بْنِ آدَمَ- فَسَأَلْتُهُ عَمَّا احْتَجْتُ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هِ.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8D42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2"/>
      </w:r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البته سند این روایت محل بحث است.</w:t>
      </w:r>
    </w:p>
    <w:p w:rsidR="00CE7603" w:rsidRDefault="00CE7603" w:rsidP="008D426D">
      <w:pPr>
        <w:pStyle w:val="Heading2"/>
        <w:rPr>
          <w:rtl/>
        </w:rPr>
      </w:pPr>
      <w:bookmarkStart w:id="16" w:name="_Toc434478513"/>
      <w:r>
        <w:rPr>
          <w:rFonts w:hint="cs"/>
          <w:rtl/>
        </w:rPr>
        <w:t>روایت دوازدهم</w:t>
      </w:r>
      <w:bookmarkEnd w:id="16"/>
    </w:p>
    <w:p w:rsidR="008D426D" w:rsidRPr="008D426D" w:rsidRDefault="008D426D" w:rsidP="008D426D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وَ عَنْهُ عَنْ مُحَمَّدِ بْنِ نُصَ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عَنْ مُحَمَّدِ بْنِ عِ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عَبْدِ الْعَزِ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زِ بْنِ الْمُهْتَدِ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الْحَسَنِ بْنِ عَلِ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قْطِ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نٍ جَمِ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عاً عَنِ الرِّضَا ع قَالَ: قُلْتُ لَا أَ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ادُ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أَصِلُ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أَسْأَلُ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لِّ مَا أَحْتَاجُ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مِنْ مَعَالِمِ 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 فَ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ونُسُ بْنُ عَبْدِ الرَّحْمَنِ ثِقَةٌ آخُذُ عَنْهُ مَا أَحْتَاجُ إِلَ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مِنْ مَعَالِمِ دِ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فَقَالَ نَعَمْ.</w:t>
      </w:r>
      <w:r w:rsidRPr="008D426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» </w:t>
      </w:r>
      <w:r w:rsidRPr="008D426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3"/>
      </w:r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روایات متعدد دیگری نیز در این باب وجود دارد که باید مراجعه گردد،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اصل این ارجاع نباید تردیدی نمود.</w:t>
      </w:r>
    </w:p>
    <w:p w:rsidR="00F43CDE" w:rsidRDefault="00F43CDE" w:rsidP="008D426D">
      <w:pPr>
        <w:pStyle w:val="Heading3"/>
        <w:rPr>
          <w:rtl/>
        </w:rPr>
      </w:pPr>
      <w:bookmarkStart w:id="17" w:name="_Toc434478514"/>
      <w:r>
        <w:rPr>
          <w:rFonts w:hint="cs"/>
          <w:rtl/>
        </w:rPr>
        <w:t>اسأله بحث</w:t>
      </w:r>
      <w:bookmarkEnd w:id="17"/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چند</w:t>
      </w:r>
      <w:r w:rsidR="00F43CDE">
        <w:rPr>
          <w:rFonts w:ascii="IRBadr" w:hAnsi="IRBadr" w:cs="IRBadr" w:hint="cs"/>
          <w:sz w:val="28"/>
          <w:szCs w:val="28"/>
          <w:rtl/>
          <w:lang w:bidi="fa-IR"/>
        </w:rPr>
        <w:t>ین سؤال در قبال این روایات است؛</w:t>
      </w:r>
    </w:p>
    <w:p w:rsidR="00F43CDE" w:rsidRDefault="00F43CDE" w:rsidP="008D426D">
      <w:pPr>
        <w:pStyle w:val="Heading3"/>
        <w:rPr>
          <w:rtl/>
        </w:rPr>
      </w:pPr>
      <w:bookmarkStart w:id="18" w:name="_Toc434478515"/>
      <w:r>
        <w:rPr>
          <w:rFonts w:hint="cs"/>
          <w:rtl/>
        </w:rPr>
        <w:lastRenderedPageBreak/>
        <w:t>سؤال اول</w:t>
      </w:r>
      <w:bookmarkEnd w:id="18"/>
    </w:p>
    <w:p w:rsidR="00CE7603" w:rsidRDefault="00CE7603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 سؤال تشخص روایات به آن روایات است که در پاسخ آن گفته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34579B">
        <w:rPr>
          <w:rFonts w:ascii="IRBadr" w:hAnsi="IRBadr" w:cs="IRBadr" w:hint="cs"/>
          <w:sz w:val="28"/>
          <w:szCs w:val="28"/>
          <w:rtl/>
          <w:lang w:bidi="fa-IR"/>
        </w:rPr>
        <w:t xml:space="preserve"> ذهن قوی است که در اینجا به دلیل روایات مطلق در این باب از وسائل و مستدرک،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34579B"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روایات القاء خصوصیت شود.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ضمن</w:t>
      </w:r>
      <w:r w:rsidR="0034579B">
        <w:rPr>
          <w:rFonts w:ascii="IRBadr" w:hAnsi="IRBadr" w:cs="IRBadr" w:hint="cs"/>
          <w:sz w:val="28"/>
          <w:szCs w:val="28"/>
          <w:rtl/>
          <w:lang w:bidi="fa-IR"/>
        </w:rPr>
        <w:t xml:space="preserve"> اینکه مقامات اصحاب متساوی نبوده است.</w:t>
      </w:r>
    </w:p>
    <w:p w:rsidR="00F43CDE" w:rsidRDefault="00F43CDE" w:rsidP="008D426D">
      <w:pPr>
        <w:pStyle w:val="Heading3"/>
        <w:rPr>
          <w:rtl/>
        </w:rPr>
      </w:pPr>
      <w:bookmarkStart w:id="19" w:name="_Toc434478516"/>
      <w:r>
        <w:rPr>
          <w:rFonts w:hint="cs"/>
          <w:rtl/>
        </w:rPr>
        <w:t>سؤال دوم</w:t>
      </w:r>
      <w:bookmarkEnd w:id="19"/>
    </w:p>
    <w:p w:rsidR="0034579B" w:rsidRDefault="0034579B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سؤال دوم این است که این روایات مربوط به نقل حدیث یعنی حجیت خبر واحد است،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مربوط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به‌جایی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راوی عن حس از امام نقل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در اجتهاد است؟</w:t>
      </w:r>
    </w:p>
    <w:p w:rsidR="0034579B" w:rsidRDefault="0034579B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جواب این سؤال نیز این است که این حالت در برخی از این روایات صحیح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بخشی از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حقیقتاً مربوط به راوی عادی نیست چراکه در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فرموده شده معالم دین و معارف و اسرار دینت را از او اخذ نما.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حوادث واقعه نیز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همیشه گفت خبر صریحی است بلکه طبق شواهد تاریخی همانند عصر ائمه اطهار اصحاب خاص 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اعمال‌نظر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ی‌نمودند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بهتر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شاهد آن نیز روایات باب تعارض است که اصحاب راه خروج از تعارض از امام را خواستار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ی‌شدند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43CDE" w:rsidRDefault="00F43CDE" w:rsidP="008D426D">
      <w:pPr>
        <w:pStyle w:val="Heading3"/>
        <w:rPr>
          <w:rtl/>
        </w:rPr>
      </w:pPr>
      <w:bookmarkStart w:id="20" w:name="_Toc434478517"/>
      <w:r>
        <w:rPr>
          <w:rFonts w:hint="cs"/>
          <w:rtl/>
        </w:rPr>
        <w:t>سؤال سوم</w:t>
      </w:r>
      <w:bookmarkEnd w:id="20"/>
    </w:p>
    <w:p w:rsidR="0034579B" w:rsidRDefault="0034579B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سؤال سوم این است که معنای ارجاع عمل دائی نیست بلکه عمل منوط به حصول علم است،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ما ارجاع مطلق مفید است؟</w:t>
      </w:r>
    </w:p>
    <w:p w:rsidR="0034579B" w:rsidRDefault="0034579B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این مناقشه خیلی راحت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عبور نمود.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روایات اطلاق دارد و در مواردی که فرد علم ندارد امام برای راحتی خیال فرد به او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 هرچه روایت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من 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>م</w:t>
      </w:r>
      <w:r w:rsidR="008D426D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سیره عقلائیه در این باب مؤید این روایات خواهد بود.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مضاف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اینکه فضای مراجعه به فقهاء که مرحوم محقق داماد داشتند،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میان عامه بوده است.</w:t>
      </w:r>
      <w:r w:rsidR="008D426D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روایات ممضی سیره است.</w:t>
      </w:r>
    </w:p>
    <w:p w:rsidR="00D779CC" w:rsidRDefault="00D779CC" w:rsidP="008D42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779CC" w:rsidRPr="00BC1C66" w:rsidRDefault="00D779CC" w:rsidP="00D779CC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D779CC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42" w:rsidRDefault="00AF6D42" w:rsidP="000D5800">
      <w:pPr>
        <w:spacing w:after="0" w:line="240" w:lineRule="auto"/>
      </w:pPr>
      <w:r>
        <w:separator/>
      </w:r>
    </w:p>
  </w:endnote>
  <w:end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6D" w:rsidRDefault="008D4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6D" w:rsidRDefault="008D4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6D" w:rsidRDefault="008D4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42" w:rsidRDefault="00AF6D42" w:rsidP="008D426D">
      <w:pPr>
        <w:spacing w:after="0" w:line="240" w:lineRule="auto"/>
        <w:jc w:val="right"/>
      </w:pPr>
      <w:r>
        <w:separator/>
      </w:r>
    </w:p>
  </w:footnote>
  <w:footnote w:type="continuationSeparator" w:id="0">
    <w:p w:rsidR="00AF6D42" w:rsidRDefault="00AF6D42" w:rsidP="000D5800">
      <w:pPr>
        <w:spacing w:after="0" w:line="240" w:lineRule="auto"/>
      </w:pPr>
      <w:r>
        <w:continuationSeparator/>
      </w:r>
    </w:p>
  </w:footnote>
  <w:footnote w:id="1">
    <w:p w:rsidR="008618F2" w:rsidRDefault="008618F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3" w:name="_GoBack"/>
      <w:r w:rsidRPr="008618F2">
        <w:rPr>
          <w:rFonts w:ascii="IRBadr" w:hAnsi="IRBadr" w:cs="IRBadr"/>
          <w:color w:val="000000" w:themeColor="text1"/>
          <w:rtl/>
        </w:rPr>
        <w:t>الغ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بة</w:t>
      </w:r>
      <w:bookmarkEnd w:id="3"/>
      <w:r w:rsidRPr="008618F2">
        <w:rPr>
          <w:rFonts w:ascii="IRBadr" w:hAnsi="IRBadr" w:cs="IRBadr"/>
          <w:color w:val="000000" w:themeColor="text1"/>
          <w:rtl/>
        </w:rPr>
        <w:t xml:space="preserve"> (للطوس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)/ 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8618F2">
        <w:rPr>
          <w:rFonts w:ascii="IRBadr" w:hAnsi="IRBadr" w:cs="IRBadr"/>
          <w:color w:val="000000" w:themeColor="text1"/>
          <w:rtl/>
        </w:rPr>
        <w:t>تاب الغ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بة للحجة / النص / 291 / 4 - فصل بعض معجزات الإمام المهد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ع و ما ظهر من جهته ع من التوق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عات عل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د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سفرائه</w:t>
      </w:r>
    </w:p>
  </w:footnote>
  <w:footnote w:id="2">
    <w:p w:rsidR="008618F2" w:rsidRDefault="008618F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18F2">
        <w:rPr>
          <w:rFonts w:ascii="IRBadr" w:hAnsi="IRBadr" w:cs="IRBadr"/>
          <w:color w:val="000000" w:themeColor="text1"/>
          <w:rtl/>
        </w:rPr>
        <w:t>ال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8618F2">
        <w:rPr>
          <w:rFonts w:ascii="IRBadr" w:hAnsi="IRBadr" w:cs="IRBadr"/>
          <w:color w:val="000000" w:themeColor="text1"/>
          <w:rtl/>
        </w:rPr>
        <w:t>اف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</w:t>
      </w:r>
      <w:r w:rsidRPr="008618F2">
        <w:rPr>
          <w:rFonts w:ascii="IRBadr" w:hAnsi="IRBadr" w:cs="IRBadr"/>
          <w:color w:val="000000" w:themeColor="text1"/>
          <w:rtl/>
        </w:rPr>
        <w:t>(ط - الإسلام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ة) / </w:t>
      </w:r>
      <w:r w:rsidR="008D426D">
        <w:rPr>
          <w:rFonts w:ascii="IRBadr" w:hAnsi="IRBadr" w:cs="IRBadr"/>
          <w:color w:val="000000" w:themeColor="text1"/>
          <w:rtl/>
        </w:rPr>
        <w:t>ج 7</w:t>
      </w:r>
      <w:r w:rsidRPr="008618F2">
        <w:rPr>
          <w:rFonts w:ascii="IRBadr" w:hAnsi="IRBadr" w:cs="IRBadr"/>
          <w:color w:val="000000" w:themeColor="text1"/>
          <w:rtl/>
        </w:rPr>
        <w:t xml:space="preserve"> / 412 / باب 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8618F2">
        <w:rPr>
          <w:rFonts w:ascii="IRBadr" w:hAnsi="IRBadr" w:cs="IRBadr"/>
          <w:color w:val="000000" w:themeColor="text1"/>
          <w:rtl/>
        </w:rPr>
        <w:t>راه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ة الارتفاع إل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قضاة الجور ..... ص: 411</w:t>
      </w:r>
    </w:p>
  </w:footnote>
  <w:footnote w:id="3">
    <w:p w:rsidR="008618F2" w:rsidRDefault="008618F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18F2">
        <w:rPr>
          <w:rFonts w:ascii="IRBadr" w:hAnsi="IRBadr" w:cs="IRBadr"/>
          <w:color w:val="000000" w:themeColor="text1"/>
          <w:rtl/>
        </w:rPr>
        <w:t>ال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8618F2">
        <w:rPr>
          <w:rFonts w:ascii="IRBadr" w:hAnsi="IRBadr" w:cs="IRBadr"/>
          <w:color w:val="000000" w:themeColor="text1"/>
          <w:rtl/>
        </w:rPr>
        <w:t>اف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</w:t>
      </w:r>
      <w:r w:rsidRPr="008618F2">
        <w:rPr>
          <w:rFonts w:ascii="IRBadr" w:hAnsi="IRBadr" w:cs="IRBadr"/>
          <w:color w:val="000000" w:themeColor="text1"/>
          <w:rtl/>
        </w:rPr>
        <w:t>(ط - الإسلام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ة) / </w:t>
      </w:r>
      <w:r w:rsidR="008D426D">
        <w:rPr>
          <w:rFonts w:ascii="IRBadr" w:hAnsi="IRBadr" w:cs="IRBadr"/>
          <w:color w:val="000000" w:themeColor="text1"/>
          <w:rtl/>
        </w:rPr>
        <w:t>ج 1</w:t>
      </w:r>
      <w:r w:rsidRPr="008618F2">
        <w:rPr>
          <w:rFonts w:ascii="IRBadr" w:hAnsi="IRBadr" w:cs="IRBadr"/>
          <w:color w:val="000000" w:themeColor="text1"/>
          <w:rtl/>
        </w:rPr>
        <w:t xml:space="preserve"> / 330 / باب 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تسم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ة من رآه ع ..... ص: 329</w:t>
      </w:r>
    </w:p>
  </w:footnote>
  <w:footnote w:id="4">
    <w:p w:rsidR="005F52BD" w:rsidRDefault="005F52BD" w:rsidP="005F52BD">
      <w:pPr>
        <w:pStyle w:val="FootnoteText"/>
        <w:ind w:firstLine="0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F52BD">
        <w:rPr>
          <w:rFonts w:ascii="IRBadr" w:hAnsi="IRBadr" w:cs="IRBadr"/>
          <w:color w:val="000000" w:themeColor="text1"/>
          <w:rtl/>
        </w:rPr>
        <w:t>ال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5F52BD">
        <w:rPr>
          <w:rFonts w:ascii="IRBadr" w:hAnsi="IRBadr" w:cs="IRBadr"/>
          <w:color w:val="000000" w:themeColor="text1"/>
          <w:rtl/>
        </w:rPr>
        <w:t>اف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 </w:t>
      </w:r>
      <w:r w:rsidRPr="005F52BD">
        <w:rPr>
          <w:rFonts w:ascii="IRBadr" w:hAnsi="IRBadr" w:cs="IRBadr"/>
          <w:color w:val="000000" w:themeColor="text1"/>
          <w:rtl/>
        </w:rPr>
        <w:t>(ط - الإسلام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ة) / </w:t>
      </w:r>
      <w:r w:rsidR="008D426D">
        <w:rPr>
          <w:rFonts w:ascii="IRBadr" w:hAnsi="IRBadr" w:cs="IRBadr"/>
          <w:color w:val="000000" w:themeColor="text1"/>
          <w:rtl/>
        </w:rPr>
        <w:t>ج 5</w:t>
      </w:r>
      <w:r w:rsidRPr="005F52BD">
        <w:rPr>
          <w:rFonts w:ascii="IRBadr" w:hAnsi="IRBadr" w:cs="IRBadr"/>
          <w:color w:val="000000" w:themeColor="text1"/>
          <w:rtl/>
        </w:rPr>
        <w:t xml:space="preserve"> / 451 / باب أنهن بمنزلة الإماء و ل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ست من الأربع ..... ص: 451</w:t>
      </w:r>
    </w:p>
  </w:footnote>
  <w:footnote w:id="5">
    <w:p w:rsidR="005F52BD" w:rsidRPr="005F52BD" w:rsidRDefault="005F52BD" w:rsidP="005F52BD">
      <w:pPr>
        <w:pStyle w:val="NormalWeb"/>
        <w:bidi/>
        <w:rPr>
          <w:rFonts w:ascii="IRBadr" w:hAnsi="IRBadr" w:cs="IRBadr"/>
          <w:color w:val="000000" w:themeColor="text1"/>
          <w:sz w:val="20"/>
          <w:szCs w:val="20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وسائل 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الش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عة / 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ج 27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 / 140 / 11 - باب وجوب الرجوع ف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 القضاء و الفتو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 إل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 رواة الحد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ث من الش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عة ف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ما رووه عن الأئمة ع من أح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ک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ام الشر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عة لا ف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 xml:space="preserve">ما 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قولونه برأ</w:t>
      </w:r>
      <w:r w:rsidR="008D426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ی</w:t>
      </w:r>
      <w:r w:rsidRPr="005F52BD">
        <w:rPr>
          <w:rFonts w:ascii="IRBadr" w:hAnsi="IRBadr" w:cs="IRBadr"/>
          <w:color w:val="000000" w:themeColor="text1"/>
          <w:sz w:val="20"/>
          <w:szCs w:val="20"/>
          <w:rtl/>
          <w:lang w:bidi="fa-IR"/>
        </w:rPr>
        <w:t>هم ..... ص: 136</w:t>
      </w:r>
    </w:p>
    <w:p w:rsidR="005F52BD" w:rsidRDefault="005F52BD">
      <w:pPr>
        <w:pStyle w:val="FootnoteText"/>
        <w:rPr>
          <w:rFonts w:hint="cs"/>
        </w:rPr>
      </w:pPr>
    </w:p>
  </w:footnote>
  <w:footnote w:id="6">
    <w:p w:rsidR="005F52BD" w:rsidRDefault="005F52BD" w:rsidP="005F52B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618F2">
        <w:rPr>
          <w:rFonts w:ascii="IRBadr" w:hAnsi="IRBadr" w:cs="IRBadr"/>
          <w:color w:val="000000" w:themeColor="text1"/>
          <w:rtl/>
        </w:rPr>
        <w:t>الغ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بة </w:t>
      </w:r>
      <w:r w:rsidRPr="008618F2">
        <w:rPr>
          <w:rFonts w:ascii="IRBadr" w:hAnsi="IRBadr" w:cs="IRBadr"/>
          <w:color w:val="000000" w:themeColor="text1"/>
          <w:rtl/>
        </w:rPr>
        <w:t>(للطوس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)/ 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8618F2">
        <w:rPr>
          <w:rFonts w:ascii="IRBadr" w:hAnsi="IRBadr" w:cs="IRBadr"/>
          <w:color w:val="000000" w:themeColor="text1"/>
          <w:rtl/>
        </w:rPr>
        <w:t>تاب الغ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بة للحجة / النص / 291 / 4 - فصل بعض معجزات الإمام المهد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ع و ما ظهر من جهته ع من التوق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عات عل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>د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8618F2">
        <w:rPr>
          <w:rFonts w:ascii="IRBadr" w:hAnsi="IRBadr" w:cs="IRBadr"/>
          <w:color w:val="000000" w:themeColor="text1"/>
          <w:rtl/>
        </w:rPr>
        <w:t xml:space="preserve"> سفرائه</w:t>
      </w:r>
    </w:p>
  </w:footnote>
  <w:footnote w:id="7">
    <w:p w:rsidR="005F52BD" w:rsidRDefault="005F52B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F52BD">
        <w:rPr>
          <w:rFonts w:ascii="IRBadr" w:hAnsi="IRBadr" w:cs="IRBadr"/>
          <w:color w:val="000000" w:themeColor="text1"/>
          <w:rtl/>
        </w:rPr>
        <w:t>وسائل الش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عة / </w:t>
      </w:r>
      <w:r w:rsidR="008D426D">
        <w:rPr>
          <w:rFonts w:ascii="IRBadr" w:hAnsi="IRBadr" w:cs="IRBadr"/>
          <w:color w:val="000000" w:themeColor="text1"/>
          <w:rtl/>
        </w:rPr>
        <w:t>ج 27</w:t>
      </w:r>
      <w:r w:rsidRPr="005F52BD">
        <w:rPr>
          <w:rFonts w:ascii="IRBadr" w:hAnsi="IRBadr" w:cs="IRBadr"/>
          <w:color w:val="000000" w:themeColor="text1"/>
          <w:rtl/>
        </w:rPr>
        <w:t xml:space="preserve"> / 142 / 11 - باب وجوب الرجوع 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 القضاء و الفتو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 إل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 رواة الحد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ث من الش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عة 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ما رووه عن الأئمة ع من أح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5F52BD">
        <w:rPr>
          <w:rFonts w:ascii="IRBadr" w:hAnsi="IRBadr" w:cs="IRBadr"/>
          <w:color w:val="000000" w:themeColor="text1"/>
          <w:rtl/>
        </w:rPr>
        <w:t>ام الشر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عة لا 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ما 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قولونه برأ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هم ..... ص: 136</w:t>
      </w:r>
    </w:p>
  </w:footnote>
  <w:footnote w:id="8">
    <w:p w:rsidR="005F52BD" w:rsidRDefault="005F52B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F52BD">
        <w:rPr>
          <w:rFonts w:ascii="IRBadr" w:hAnsi="IRBadr" w:cs="IRBadr"/>
          <w:color w:val="000000" w:themeColor="text1"/>
          <w:rtl/>
        </w:rPr>
        <w:t xml:space="preserve">وسائل </w:t>
      </w:r>
      <w:r w:rsidRPr="005F52BD">
        <w:rPr>
          <w:rFonts w:ascii="IRBadr" w:hAnsi="IRBadr" w:cs="IRBadr"/>
          <w:color w:val="000000" w:themeColor="text1"/>
          <w:rtl/>
        </w:rPr>
        <w:t>الش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عة / </w:t>
      </w:r>
      <w:r w:rsidR="008D426D">
        <w:rPr>
          <w:rFonts w:ascii="IRBadr" w:hAnsi="IRBadr" w:cs="IRBadr"/>
          <w:color w:val="000000" w:themeColor="text1"/>
          <w:rtl/>
        </w:rPr>
        <w:t>ج 27</w:t>
      </w:r>
      <w:r w:rsidRPr="005F52BD">
        <w:rPr>
          <w:rFonts w:ascii="IRBadr" w:hAnsi="IRBadr" w:cs="IRBadr"/>
          <w:color w:val="000000" w:themeColor="text1"/>
          <w:rtl/>
        </w:rPr>
        <w:t xml:space="preserve"> / 142 / 11 - باب وجوب الرجوع 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 القضاء و الفتو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 إل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 رواة الحد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ث من الش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عة 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ما رووه عن الأئمة ع من أح</w:t>
      </w:r>
      <w:r w:rsidR="008D426D">
        <w:rPr>
          <w:rFonts w:ascii="IRBadr" w:hAnsi="IRBadr" w:cs="IRBadr"/>
          <w:color w:val="000000" w:themeColor="text1"/>
          <w:rtl/>
        </w:rPr>
        <w:t>ک</w:t>
      </w:r>
      <w:r w:rsidRPr="005F52BD">
        <w:rPr>
          <w:rFonts w:ascii="IRBadr" w:hAnsi="IRBadr" w:cs="IRBadr"/>
          <w:color w:val="000000" w:themeColor="text1"/>
          <w:rtl/>
        </w:rPr>
        <w:t>ام الشر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عة لا ف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 xml:space="preserve">ما 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قولونه برأ</w:t>
      </w:r>
      <w:r w:rsidR="008D426D">
        <w:rPr>
          <w:rFonts w:ascii="IRBadr" w:hAnsi="IRBadr" w:cs="IRBadr"/>
          <w:color w:val="000000" w:themeColor="text1"/>
          <w:rtl/>
        </w:rPr>
        <w:t>ی</w:t>
      </w:r>
      <w:r w:rsidRPr="005F52BD">
        <w:rPr>
          <w:rFonts w:ascii="IRBadr" w:hAnsi="IRBadr" w:cs="IRBadr"/>
          <w:color w:val="000000" w:themeColor="text1"/>
          <w:rtl/>
        </w:rPr>
        <w:t>هم ..... ص: 136</w:t>
      </w:r>
    </w:p>
  </w:footnote>
  <w:footnote w:id="9">
    <w:p w:rsidR="008D426D" w:rsidRDefault="008D426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426D">
        <w:rPr>
          <w:rFonts w:ascii="IRBadr" w:hAnsi="IRBadr" w:cs="IRBadr"/>
          <w:color w:val="552B2B"/>
          <w:rtl/>
        </w:rPr>
        <w:t xml:space="preserve">الفصول </w:t>
      </w:r>
      <w:r w:rsidRPr="008D426D">
        <w:rPr>
          <w:rFonts w:ascii="IRBadr" w:hAnsi="IRBadr" w:cs="IRBadr"/>
          <w:color w:val="552B2B"/>
          <w:rtl/>
        </w:rPr>
        <w:t>المهمة ف</w:t>
      </w:r>
      <w:r>
        <w:rPr>
          <w:rFonts w:ascii="IRBadr" w:hAnsi="IRBadr" w:cs="IRBadr"/>
          <w:color w:val="552B2B"/>
          <w:rtl/>
        </w:rPr>
        <w:t>ی</w:t>
      </w:r>
      <w:r w:rsidRPr="008D426D">
        <w:rPr>
          <w:rFonts w:ascii="IRBadr" w:hAnsi="IRBadr" w:cs="IRBadr"/>
          <w:color w:val="552B2B"/>
          <w:rtl/>
        </w:rPr>
        <w:t xml:space="preserve"> أصول الأئمة (ت</w:t>
      </w:r>
      <w:r>
        <w:rPr>
          <w:rFonts w:ascii="IRBadr" w:hAnsi="IRBadr" w:cs="IRBadr"/>
          <w:color w:val="552B2B"/>
          <w:rtl/>
        </w:rPr>
        <w:t>ک</w:t>
      </w:r>
      <w:r w:rsidRPr="008D426D">
        <w:rPr>
          <w:rFonts w:ascii="IRBadr" w:hAnsi="IRBadr" w:cs="IRBadr"/>
          <w:color w:val="552B2B"/>
          <w:rtl/>
        </w:rPr>
        <w:t xml:space="preserve">ملة الوسائل) / </w:t>
      </w:r>
      <w:r>
        <w:rPr>
          <w:rFonts w:ascii="IRBadr" w:hAnsi="IRBadr" w:cs="IRBadr"/>
          <w:color w:val="552B2B"/>
          <w:rtl/>
        </w:rPr>
        <w:t>ج 1</w:t>
      </w:r>
      <w:r w:rsidRPr="008D426D">
        <w:rPr>
          <w:rFonts w:ascii="IRBadr" w:hAnsi="IRBadr" w:cs="IRBadr"/>
          <w:color w:val="552B2B"/>
          <w:rtl/>
        </w:rPr>
        <w:t xml:space="preserve"> / 588 / باب 32 - وجوب العمل بروا</w:t>
      </w:r>
      <w:r>
        <w:rPr>
          <w:rFonts w:ascii="IRBadr" w:hAnsi="IRBadr" w:cs="IRBadr"/>
          <w:color w:val="552B2B"/>
          <w:rtl/>
        </w:rPr>
        <w:t>ی</w:t>
      </w:r>
      <w:r w:rsidRPr="008D426D">
        <w:rPr>
          <w:rFonts w:ascii="IRBadr" w:hAnsi="IRBadr" w:cs="IRBadr"/>
          <w:color w:val="552B2B"/>
          <w:rtl/>
        </w:rPr>
        <w:t>ة الثقة ف</w:t>
      </w:r>
      <w:r>
        <w:rPr>
          <w:rFonts w:ascii="IRBadr" w:hAnsi="IRBadr" w:cs="IRBadr"/>
          <w:color w:val="552B2B"/>
          <w:rtl/>
        </w:rPr>
        <w:t>ی</w:t>
      </w:r>
      <w:r w:rsidRPr="008D426D">
        <w:rPr>
          <w:rFonts w:ascii="IRBadr" w:hAnsi="IRBadr" w:cs="IRBadr"/>
          <w:color w:val="552B2B"/>
          <w:rtl/>
        </w:rPr>
        <w:t xml:space="preserve"> الاح</w:t>
      </w:r>
      <w:r>
        <w:rPr>
          <w:rFonts w:ascii="IRBadr" w:hAnsi="IRBadr" w:cs="IRBadr"/>
          <w:color w:val="552B2B"/>
          <w:rtl/>
        </w:rPr>
        <w:t>ک</w:t>
      </w:r>
      <w:r w:rsidRPr="008D426D">
        <w:rPr>
          <w:rFonts w:ascii="IRBadr" w:hAnsi="IRBadr" w:cs="IRBadr"/>
          <w:color w:val="552B2B"/>
          <w:rtl/>
        </w:rPr>
        <w:t>ام الشرع</w:t>
      </w:r>
      <w:r>
        <w:rPr>
          <w:rFonts w:ascii="IRBadr" w:hAnsi="IRBadr" w:cs="IRBadr"/>
          <w:color w:val="552B2B"/>
          <w:rtl/>
        </w:rPr>
        <w:t>ی</w:t>
      </w:r>
      <w:r w:rsidRPr="008D426D">
        <w:rPr>
          <w:rFonts w:ascii="IRBadr" w:hAnsi="IRBadr" w:cs="IRBadr"/>
          <w:color w:val="552B2B"/>
          <w:rtl/>
        </w:rPr>
        <w:t>ة اذا رو</w:t>
      </w:r>
      <w:r>
        <w:rPr>
          <w:rFonts w:ascii="IRBadr" w:hAnsi="IRBadr" w:cs="IRBadr"/>
          <w:color w:val="552B2B"/>
          <w:rtl/>
        </w:rPr>
        <w:t>ی</w:t>
      </w:r>
      <w:r w:rsidRPr="008D426D">
        <w:rPr>
          <w:rFonts w:ascii="IRBadr" w:hAnsi="IRBadr" w:cs="IRBadr"/>
          <w:color w:val="552B2B"/>
          <w:rtl/>
        </w:rPr>
        <w:t xml:space="preserve"> عن الأئمة عل</w:t>
      </w:r>
      <w:r>
        <w:rPr>
          <w:rFonts w:ascii="IRBadr" w:hAnsi="IRBadr" w:cs="IRBadr"/>
          <w:color w:val="552B2B"/>
          <w:rtl/>
        </w:rPr>
        <w:t>ی</w:t>
      </w:r>
      <w:r w:rsidRPr="008D426D">
        <w:rPr>
          <w:rFonts w:ascii="IRBadr" w:hAnsi="IRBadr" w:cs="IRBadr"/>
          <w:color w:val="552B2B"/>
          <w:rtl/>
        </w:rPr>
        <w:t>هم السلام ..... ص: 584</w:t>
      </w:r>
    </w:p>
  </w:footnote>
  <w:footnote w:id="10">
    <w:p w:rsidR="008D426D" w:rsidRDefault="008D426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426D">
        <w:rPr>
          <w:rFonts w:ascii="IRBadr" w:hAnsi="IRBadr" w:cs="IRBadr"/>
          <w:color w:val="000000" w:themeColor="text1"/>
          <w:rtl/>
        </w:rPr>
        <w:t xml:space="preserve">وسائل </w:t>
      </w:r>
      <w:r w:rsidRPr="008D426D">
        <w:rPr>
          <w:rFonts w:ascii="IRBadr" w:hAnsi="IRBadr" w:cs="IRBadr"/>
          <w:color w:val="000000" w:themeColor="text1"/>
          <w:rtl/>
        </w:rPr>
        <w:t>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عة / </w:t>
      </w:r>
      <w:r>
        <w:rPr>
          <w:rFonts w:ascii="IRBadr" w:hAnsi="IRBadr" w:cs="IRBadr"/>
          <w:color w:val="000000" w:themeColor="text1"/>
          <w:rtl/>
        </w:rPr>
        <w:t>ج 27</w:t>
      </w:r>
      <w:r w:rsidRPr="008D426D">
        <w:rPr>
          <w:rFonts w:ascii="IRBadr" w:hAnsi="IRBadr" w:cs="IRBadr"/>
          <w:color w:val="000000" w:themeColor="text1"/>
          <w:rtl/>
        </w:rPr>
        <w:t xml:space="preserve"> / 143 / 11 - باب وجوب الرجوع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القضاء و الفتو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إل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رواة الحد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ث من 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ما رووه عن الأئمة ع من أح</w:t>
      </w:r>
      <w:r>
        <w:rPr>
          <w:rFonts w:ascii="IRBadr" w:hAnsi="IRBadr" w:cs="IRBadr"/>
          <w:color w:val="000000" w:themeColor="text1"/>
          <w:rtl/>
        </w:rPr>
        <w:t>ک</w:t>
      </w:r>
      <w:r w:rsidRPr="008D426D">
        <w:rPr>
          <w:rFonts w:ascii="IRBadr" w:hAnsi="IRBadr" w:cs="IRBadr"/>
          <w:color w:val="000000" w:themeColor="text1"/>
          <w:rtl/>
        </w:rPr>
        <w:t>ام الشر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لا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ما 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قولونه برأ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هم ..... ص: 136</w:t>
      </w:r>
    </w:p>
  </w:footnote>
  <w:footnote w:id="11">
    <w:p w:rsidR="008D426D" w:rsidRDefault="008D426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426D">
        <w:rPr>
          <w:rFonts w:ascii="IRBadr" w:hAnsi="IRBadr" w:cs="IRBadr"/>
          <w:color w:val="000000" w:themeColor="text1"/>
          <w:rtl/>
        </w:rPr>
        <w:t xml:space="preserve">وسائل </w:t>
      </w:r>
      <w:r w:rsidRPr="008D426D">
        <w:rPr>
          <w:rFonts w:ascii="IRBadr" w:hAnsi="IRBadr" w:cs="IRBadr"/>
          <w:color w:val="000000" w:themeColor="text1"/>
          <w:rtl/>
        </w:rPr>
        <w:t>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عة / </w:t>
      </w:r>
      <w:r>
        <w:rPr>
          <w:rFonts w:ascii="IRBadr" w:hAnsi="IRBadr" w:cs="IRBadr"/>
          <w:color w:val="000000" w:themeColor="text1"/>
          <w:rtl/>
        </w:rPr>
        <w:t>ج 27</w:t>
      </w:r>
      <w:r w:rsidRPr="008D426D">
        <w:rPr>
          <w:rFonts w:ascii="IRBadr" w:hAnsi="IRBadr" w:cs="IRBadr"/>
          <w:color w:val="000000" w:themeColor="text1"/>
          <w:rtl/>
        </w:rPr>
        <w:t xml:space="preserve"> / 143 / 11 - باب وجوب الرجوع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القضاء و الفتو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إل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رواة الحد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ث من 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ما رووه عن الأئمة ع من أح</w:t>
      </w:r>
      <w:r>
        <w:rPr>
          <w:rFonts w:ascii="IRBadr" w:hAnsi="IRBadr" w:cs="IRBadr"/>
          <w:color w:val="000000" w:themeColor="text1"/>
          <w:rtl/>
        </w:rPr>
        <w:t>ک</w:t>
      </w:r>
      <w:r w:rsidRPr="008D426D">
        <w:rPr>
          <w:rFonts w:ascii="IRBadr" w:hAnsi="IRBadr" w:cs="IRBadr"/>
          <w:color w:val="000000" w:themeColor="text1"/>
          <w:rtl/>
        </w:rPr>
        <w:t>ام الشر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لا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ما 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قولونه برأ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هم ..... ص: 136</w:t>
      </w:r>
    </w:p>
  </w:footnote>
  <w:footnote w:id="12">
    <w:p w:rsidR="008D426D" w:rsidRDefault="008D426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426D">
        <w:rPr>
          <w:rFonts w:ascii="IRBadr" w:hAnsi="IRBadr" w:cs="IRBadr"/>
          <w:color w:val="000000" w:themeColor="text1"/>
          <w:rtl/>
        </w:rPr>
        <w:t xml:space="preserve">وسائل </w:t>
      </w:r>
      <w:r w:rsidRPr="008D426D">
        <w:rPr>
          <w:rFonts w:ascii="IRBadr" w:hAnsi="IRBadr" w:cs="IRBadr"/>
          <w:color w:val="000000" w:themeColor="text1"/>
          <w:rtl/>
        </w:rPr>
        <w:t>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عة / </w:t>
      </w:r>
      <w:r>
        <w:rPr>
          <w:rFonts w:ascii="IRBadr" w:hAnsi="IRBadr" w:cs="IRBadr"/>
          <w:color w:val="000000" w:themeColor="text1"/>
          <w:rtl/>
        </w:rPr>
        <w:t>ج 27</w:t>
      </w:r>
      <w:r w:rsidRPr="008D426D">
        <w:rPr>
          <w:rFonts w:ascii="IRBadr" w:hAnsi="IRBadr" w:cs="IRBadr"/>
          <w:color w:val="000000" w:themeColor="text1"/>
          <w:rtl/>
        </w:rPr>
        <w:t xml:space="preserve"> / 146 / 11 - باب وجوب الرجوع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القضاء و الفتو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إل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رواة الحد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ث من 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ما رووه عن الأئمة ع من أح</w:t>
      </w:r>
      <w:r>
        <w:rPr>
          <w:rFonts w:ascii="IRBadr" w:hAnsi="IRBadr" w:cs="IRBadr"/>
          <w:color w:val="000000" w:themeColor="text1"/>
          <w:rtl/>
        </w:rPr>
        <w:t>ک</w:t>
      </w:r>
      <w:r w:rsidRPr="008D426D">
        <w:rPr>
          <w:rFonts w:ascii="IRBadr" w:hAnsi="IRBadr" w:cs="IRBadr"/>
          <w:color w:val="000000" w:themeColor="text1"/>
          <w:rtl/>
        </w:rPr>
        <w:t>ام الشر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لا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ما 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قولونه برأ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هم ..... ص: 136</w:t>
      </w:r>
    </w:p>
  </w:footnote>
  <w:footnote w:id="13">
    <w:p w:rsidR="008D426D" w:rsidRDefault="008D426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D426D">
        <w:rPr>
          <w:rFonts w:ascii="IRBadr" w:hAnsi="IRBadr" w:cs="IRBadr"/>
          <w:color w:val="000000" w:themeColor="text1"/>
          <w:rtl/>
        </w:rPr>
        <w:t xml:space="preserve">وسائل </w:t>
      </w:r>
      <w:r w:rsidRPr="008D426D">
        <w:rPr>
          <w:rFonts w:ascii="IRBadr" w:hAnsi="IRBadr" w:cs="IRBadr"/>
          <w:color w:val="000000" w:themeColor="text1"/>
          <w:rtl/>
        </w:rPr>
        <w:t>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عة / </w:t>
      </w:r>
      <w:r>
        <w:rPr>
          <w:rFonts w:ascii="IRBadr" w:hAnsi="IRBadr" w:cs="IRBadr"/>
          <w:color w:val="000000" w:themeColor="text1"/>
          <w:rtl/>
        </w:rPr>
        <w:t>ج 27</w:t>
      </w:r>
      <w:r w:rsidRPr="008D426D">
        <w:rPr>
          <w:rFonts w:ascii="IRBadr" w:hAnsi="IRBadr" w:cs="IRBadr"/>
          <w:color w:val="000000" w:themeColor="text1"/>
          <w:rtl/>
        </w:rPr>
        <w:t xml:space="preserve"> / 147 / 11 - باب وجوب الرجوع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القضاء و الفتو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إل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 رواة الحد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ث من الش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ما رووه عن الأئمة ع من أح</w:t>
      </w:r>
      <w:r>
        <w:rPr>
          <w:rFonts w:ascii="IRBadr" w:hAnsi="IRBadr" w:cs="IRBadr"/>
          <w:color w:val="000000" w:themeColor="text1"/>
          <w:rtl/>
        </w:rPr>
        <w:t>ک</w:t>
      </w:r>
      <w:r w:rsidRPr="008D426D">
        <w:rPr>
          <w:rFonts w:ascii="IRBadr" w:hAnsi="IRBadr" w:cs="IRBadr"/>
          <w:color w:val="000000" w:themeColor="text1"/>
          <w:rtl/>
        </w:rPr>
        <w:t>ام الشر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عة لا ف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 xml:space="preserve">ما 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قولونه برأ</w:t>
      </w:r>
      <w:r>
        <w:rPr>
          <w:rFonts w:ascii="IRBadr" w:hAnsi="IRBadr" w:cs="IRBadr"/>
          <w:color w:val="000000" w:themeColor="text1"/>
          <w:rtl/>
        </w:rPr>
        <w:t>ی</w:t>
      </w:r>
      <w:r w:rsidRPr="008D426D">
        <w:rPr>
          <w:rFonts w:ascii="IRBadr" w:hAnsi="IRBadr" w:cs="IRBadr"/>
          <w:color w:val="000000" w:themeColor="text1"/>
          <w:rtl/>
        </w:rPr>
        <w:t>هم ..... ص: 136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6D" w:rsidRDefault="008D4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EE1BE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8474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1" w:name="OLE_LINK1"/>
    <w:bookmarkStart w:id="22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EE1BEF">
      <w:rPr>
        <w:rFonts w:ascii="IranNastaliq" w:hAnsi="IranNastaliq" w:cs="IranNastaliq" w:hint="cs"/>
        <w:sz w:val="40"/>
        <w:szCs w:val="40"/>
        <w:rtl/>
        <w:lang w:bidi="fa-IR"/>
      </w:rPr>
      <w:t>725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6D" w:rsidRDefault="008D4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530F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4579B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C367A"/>
    <w:rsid w:val="004E7830"/>
    <w:rsid w:val="004F3596"/>
    <w:rsid w:val="00514B04"/>
    <w:rsid w:val="00567B30"/>
    <w:rsid w:val="00572680"/>
    <w:rsid w:val="00572E2D"/>
    <w:rsid w:val="00586F44"/>
    <w:rsid w:val="00592103"/>
    <w:rsid w:val="005A545E"/>
    <w:rsid w:val="005A5862"/>
    <w:rsid w:val="005B0852"/>
    <w:rsid w:val="005C06AE"/>
    <w:rsid w:val="005F52BD"/>
    <w:rsid w:val="00610C18"/>
    <w:rsid w:val="0061376C"/>
    <w:rsid w:val="00636EFA"/>
    <w:rsid w:val="0066229C"/>
    <w:rsid w:val="0069696C"/>
    <w:rsid w:val="006A085A"/>
    <w:rsid w:val="006B0BCE"/>
    <w:rsid w:val="006C6E3D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18F2"/>
    <w:rsid w:val="008644F4"/>
    <w:rsid w:val="00883733"/>
    <w:rsid w:val="008905D2"/>
    <w:rsid w:val="008965D2"/>
    <w:rsid w:val="008A236D"/>
    <w:rsid w:val="008A68BE"/>
    <w:rsid w:val="008B565A"/>
    <w:rsid w:val="008C3414"/>
    <w:rsid w:val="008D36D5"/>
    <w:rsid w:val="008D426D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AF6D42"/>
    <w:rsid w:val="00B06BB8"/>
    <w:rsid w:val="00B15027"/>
    <w:rsid w:val="00B15852"/>
    <w:rsid w:val="00B21CF4"/>
    <w:rsid w:val="00B22DF1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77339"/>
    <w:rsid w:val="00C84FC0"/>
    <w:rsid w:val="00C9244A"/>
    <w:rsid w:val="00CB5DA3"/>
    <w:rsid w:val="00CE31E6"/>
    <w:rsid w:val="00CE3B74"/>
    <w:rsid w:val="00CE7603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779CC"/>
    <w:rsid w:val="00DB28BB"/>
    <w:rsid w:val="00DB390E"/>
    <w:rsid w:val="00DC603F"/>
    <w:rsid w:val="00DD3C0D"/>
    <w:rsid w:val="00DD475D"/>
    <w:rsid w:val="00DD4864"/>
    <w:rsid w:val="00DD71A2"/>
    <w:rsid w:val="00DF5659"/>
    <w:rsid w:val="00E05AF0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BEF"/>
    <w:rsid w:val="00EE1C07"/>
    <w:rsid w:val="00EE254C"/>
    <w:rsid w:val="00EE2C91"/>
    <w:rsid w:val="00EE3979"/>
    <w:rsid w:val="00EF138C"/>
    <w:rsid w:val="00EF7B8B"/>
    <w:rsid w:val="00F034CE"/>
    <w:rsid w:val="00F06E6E"/>
    <w:rsid w:val="00F10A0F"/>
    <w:rsid w:val="00F40284"/>
    <w:rsid w:val="00F43CDE"/>
    <w:rsid w:val="00F67976"/>
    <w:rsid w:val="00F70BE1"/>
    <w:rsid w:val="00F74740"/>
    <w:rsid w:val="00FC0862"/>
    <w:rsid w:val="00FC70FB"/>
    <w:rsid w:val="00FD143D"/>
    <w:rsid w:val="00FE5C4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710C-119D-4007-B349-68F7532B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1439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82</cp:revision>
  <dcterms:created xsi:type="dcterms:W3CDTF">2014-11-18T06:47:00Z</dcterms:created>
  <dcterms:modified xsi:type="dcterms:W3CDTF">2015-11-05T17:23:00Z</dcterms:modified>
</cp:coreProperties>
</file>