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22" w:rsidRPr="00FA4D22" w:rsidRDefault="00B24B4C" w:rsidP="00FA4D22">
      <w:pPr>
        <w:bidi/>
        <w:spacing w:before="120" w:after="120"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 w:hint="cs"/>
          <w:sz w:val="28"/>
          <w:rtl/>
        </w:rPr>
        <w:t>بسم الله الرحمن الرحیم</w:t>
      </w:r>
      <w:r w:rsidR="00FA4D22" w:rsidRPr="00FA4D22">
        <w:rPr>
          <w:rFonts w:ascii="IRBadr" w:hAnsi="IRBadr" w:cs="IRBadr"/>
          <w:sz w:val="28"/>
          <w:rtl/>
        </w:rPr>
        <w:fldChar w:fldCharType="begin"/>
      </w:r>
      <w:r w:rsidR="00FA4D22" w:rsidRPr="00FA4D22">
        <w:rPr>
          <w:rFonts w:ascii="IRBadr" w:hAnsi="IRBadr" w:cs="IRBadr"/>
          <w:sz w:val="28"/>
          <w:rtl/>
        </w:rPr>
        <w:instrText xml:space="preserve"> </w:instrText>
      </w:r>
      <w:r w:rsidR="00FA4D22" w:rsidRPr="00FA4D22">
        <w:rPr>
          <w:rFonts w:ascii="IRBadr" w:hAnsi="IRBadr" w:cs="IRBadr"/>
          <w:sz w:val="28"/>
        </w:rPr>
        <w:instrText>TOC</w:instrText>
      </w:r>
      <w:r w:rsidR="00FA4D22" w:rsidRPr="00FA4D22">
        <w:rPr>
          <w:rFonts w:ascii="IRBadr" w:hAnsi="IRBadr" w:cs="IRBadr"/>
          <w:sz w:val="28"/>
          <w:rtl/>
        </w:rPr>
        <w:instrText xml:space="preserve"> \</w:instrText>
      </w:r>
      <w:r w:rsidR="00FA4D22" w:rsidRPr="00FA4D22">
        <w:rPr>
          <w:rFonts w:ascii="IRBadr" w:hAnsi="IRBadr" w:cs="IRBadr"/>
          <w:sz w:val="28"/>
        </w:rPr>
        <w:instrText>o "1-7" \h \z \u</w:instrText>
      </w:r>
      <w:r w:rsidR="00FA4D22" w:rsidRPr="00FA4D22">
        <w:rPr>
          <w:rFonts w:ascii="IRBadr" w:hAnsi="IRBadr" w:cs="IRBadr"/>
          <w:sz w:val="28"/>
          <w:rtl/>
        </w:rPr>
        <w:instrText xml:space="preserve"> </w:instrText>
      </w:r>
      <w:r w:rsidR="00FA4D22" w:rsidRPr="00FA4D22">
        <w:rPr>
          <w:rFonts w:ascii="IRBadr" w:hAnsi="IRBadr" w:cs="IRBadr"/>
          <w:sz w:val="28"/>
          <w:rtl/>
        </w:rPr>
        <w:fldChar w:fldCharType="separate"/>
      </w:r>
    </w:p>
    <w:p w:rsidR="00FA4D22" w:rsidRPr="00FA4D22" w:rsidRDefault="00FB3045" w:rsidP="00FA4D22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154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ادله جواز تقلید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_Toc438588154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2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155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قائلین به عدم جواز تقلید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_Toc438588155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2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88156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مستند نظریه عدم جواز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_Toc438588156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2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57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آیات ناهیه از عمل به ظن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_Toc438588157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3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58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احتمالات در معنای تقف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_Toc438588158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3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59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_Toc438588159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4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60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اجوبه از استدلال فوق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_Toc438588160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4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61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جواب اول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_Toc438588161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4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62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جواب دوم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_Toc438588162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5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B3045" w:rsidP="00FA4D22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88163" w:history="1">
        <w:r w:rsidR="00FA4D22" w:rsidRPr="00FA4D22">
          <w:rPr>
            <w:rStyle w:val="Hyperlink"/>
            <w:rFonts w:ascii="IRBadr" w:hAnsi="IRBadr" w:cs="IRBadr"/>
            <w:noProof/>
            <w:rtl/>
          </w:rPr>
          <w:t>پاسخ از مناقشه اخیر</w:t>
        </w:r>
        <w:r w:rsidR="00FA4D22" w:rsidRPr="00FA4D22">
          <w:rPr>
            <w:rFonts w:ascii="IRBadr" w:hAnsi="IRBadr" w:cs="IRBadr"/>
            <w:noProof/>
            <w:webHidden/>
          </w:rPr>
          <w:tab/>
        </w:r>
        <w:r w:rsidR="00FA4D22" w:rsidRPr="00FA4D22">
          <w:rPr>
            <w:rFonts w:ascii="IRBadr" w:hAnsi="IRBadr" w:cs="IRBadr"/>
            <w:noProof/>
            <w:webHidden/>
          </w:rPr>
          <w:fldChar w:fldCharType="begin"/>
        </w:r>
        <w:r w:rsidR="00FA4D22" w:rsidRPr="00FA4D22">
          <w:rPr>
            <w:rFonts w:ascii="IRBadr" w:hAnsi="IRBadr" w:cs="IRBadr"/>
            <w:noProof/>
            <w:webHidden/>
          </w:rPr>
          <w:instrText xml:space="preserve"> PAGEREF _Toc438588163 \h </w:instrText>
        </w:r>
        <w:r w:rsidR="00FA4D22" w:rsidRPr="00FA4D22">
          <w:rPr>
            <w:rFonts w:ascii="IRBadr" w:hAnsi="IRBadr" w:cs="IRBadr"/>
            <w:noProof/>
            <w:webHidden/>
          </w:rPr>
        </w:r>
        <w:r w:rsidR="00FA4D22" w:rsidRPr="00FA4D22">
          <w:rPr>
            <w:rFonts w:ascii="IRBadr" w:hAnsi="IRBadr" w:cs="IRBadr"/>
            <w:noProof/>
            <w:webHidden/>
          </w:rPr>
          <w:fldChar w:fldCharType="separate"/>
        </w:r>
        <w:r w:rsidR="00FA4D22" w:rsidRPr="00FA4D22">
          <w:rPr>
            <w:rFonts w:ascii="IRBadr" w:hAnsi="IRBadr" w:cs="IRBadr"/>
            <w:noProof/>
            <w:webHidden/>
          </w:rPr>
          <w:t>5</w:t>
        </w:r>
        <w:r w:rsidR="00FA4D22" w:rsidRPr="00FA4D22">
          <w:rPr>
            <w:rFonts w:ascii="IRBadr" w:hAnsi="IRBadr" w:cs="IRBadr"/>
            <w:noProof/>
            <w:webHidden/>
          </w:rPr>
          <w:fldChar w:fldCharType="end"/>
        </w:r>
      </w:hyperlink>
    </w:p>
    <w:p w:rsidR="00FA4D22" w:rsidRPr="00FA4D22" w:rsidRDefault="00FA4D22" w:rsidP="00FA4D2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A4D22">
        <w:rPr>
          <w:rFonts w:ascii="IRBadr" w:hAnsi="IRBadr" w:cs="IRBadr"/>
          <w:sz w:val="28"/>
          <w:rtl/>
        </w:rPr>
        <w:fldChar w:fldCharType="end"/>
      </w:r>
    </w:p>
    <w:p w:rsidR="00FA4D22" w:rsidRDefault="00FA4D22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763EBC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D84F3F" w:rsidRDefault="00D84F3F" w:rsidP="00D84F3F">
      <w:pPr>
        <w:pStyle w:val="Heading1"/>
        <w:rPr>
          <w:rtl/>
        </w:rPr>
      </w:pPr>
      <w:bookmarkStart w:id="1" w:name="_Toc438588154"/>
      <w:r>
        <w:rPr>
          <w:rFonts w:hint="cs"/>
          <w:rtl/>
        </w:rPr>
        <w:t>ادله جواز تقلید</w:t>
      </w:r>
      <w:bookmarkEnd w:id="1"/>
    </w:p>
    <w:p w:rsidR="00D84F3F" w:rsidRDefault="00B24B4C" w:rsidP="00B24B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ادله جواز تقلید یا حجیت </w:t>
      </w:r>
      <w:r w:rsidR="00D84F3F">
        <w:rPr>
          <w:rFonts w:ascii="IRBadr" w:hAnsi="IRBadr" w:cs="IRBadr" w:hint="cs"/>
          <w:sz w:val="28"/>
          <w:rtl/>
        </w:rPr>
        <w:t>فتوا را ملاحظه کردید.</w:t>
      </w:r>
      <w:r w:rsidR="00394E9C">
        <w:rPr>
          <w:rFonts w:ascii="IRBadr" w:hAnsi="IRBadr" w:cs="IRBadr"/>
          <w:sz w:val="28"/>
          <w:rtl/>
        </w:rPr>
        <w:t xml:space="preserve"> اعم</w:t>
      </w:r>
      <w:r w:rsidR="00D84F3F">
        <w:rPr>
          <w:rFonts w:ascii="IRBadr" w:hAnsi="IRBadr" w:cs="IRBadr" w:hint="cs"/>
          <w:sz w:val="28"/>
          <w:rtl/>
        </w:rPr>
        <w:t xml:space="preserve"> از دلیل</w:t>
      </w:r>
      <w:r>
        <w:rPr>
          <w:rFonts w:ascii="IRBadr" w:hAnsi="IRBadr" w:cs="IRBadr" w:hint="cs"/>
          <w:sz w:val="28"/>
          <w:rtl/>
        </w:rPr>
        <w:t xml:space="preserve"> عقل،</w:t>
      </w:r>
      <w:r w:rsidR="00394E9C">
        <w:rPr>
          <w:rFonts w:ascii="IRBadr" w:hAnsi="IRBadr" w:cs="IRBadr"/>
          <w:sz w:val="28"/>
          <w:rtl/>
        </w:rPr>
        <w:t xml:space="preserve"> س</w:t>
      </w:r>
      <w:r w:rsidR="00394E9C">
        <w:rPr>
          <w:rFonts w:ascii="IRBadr" w:hAnsi="IRBadr" w:cs="IRBadr" w:hint="cs"/>
          <w:sz w:val="28"/>
          <w:rtl/>
        </w:rPr>
        <w:t>یره</w:t>
      </w:r>
      <w:r>
        <w:rPr>
          <w:rFonts w:ascii="IRBadr" w:hAnsi="IRBadr" w:cs="IRBadr" w:hint="cs"/>
          <w:sz w:val="28"/>
          <w:rtl/>
        </w:rPr>
        <w:t>،</w:t>
      </w:r>
      <w:r w:rsidR="00394E9C">
        <w:rPr>
          <w:rFonts w:ascii="IRBadr" w:hAnsi="IRBadr" w:cs="IRBadr"/>
          <w:sz w:val="28"/>
          <w:rtl/>
        </w:rPr>
        <w:t xml:space="preserve"> آ</w:t>
      </w:r>
      <w:r w:rsidR="00394E9C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و روایات.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ادله عمدتاً بررسی شد و پرونده این بحث را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ی‌بندیم</w:t>
      </w:r>
      <w:r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سراغ برخی ادله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ی‌رویم</w:t>
      </w:r>
      <w:r>
        <w:rPr>
          <w:rFonts w:ascii="IRBadr" w:hAnsi="IRBadr" w:cs="IRBadr" w:hint="cs"/>
          <w:sz w:val="28"/>
          <w:rtl/>
        </w:rPr>
        <w:t xml:space="preserve"> که در نقطه مقابل قرار دارد و عدم جواز تقلید و عدم حجیت فتوا را افاده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تاریخ ما نیز سابقه دارد که فی الجمله قولی به عدم جواز تقلید باشد.</w:t>
      </w:r>
    </w:p>
    <w:p w:rsidR="00D84F3F" w:rsidRDefault="00D84F3F" w:rsidP="00D84F3F">
      <w:pPr>
        <w:pStyle w:val="Heading2"/>
        <w:bidi/>
        <w:rPr>
          <w:rtl/>
        </w:rPr>
      </w:pPr>
      <w:bookmarkStart w:id="2" w:name="_Toc438588155"/>
      <w:r>
        <w:rPr>
          <w:rFonts w:hint="cs"/>
          <w:rtl/>
        </w:rPr>
        <w:t>قائلین به عدم جواز تقلید</w:t>
      </w:r>
      <w:bookmarkEnd w:id="2"/>
    </w:p>
    <w:p w:rsidR="00B24B4C" w:rsidRDefault="00B24B4C" w:rsidP="00D84F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همین موسوعه هم به برخی متقدمین نسبت داده شده که برخی از </w:t>
      </w:r>
      <w:r w:rsidR="00394E9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قائل بودند تقلید جائز نیست و هم به نحو بارز در دوره اخباریون شکل گرفت که از ارکان </w:t>
      </w:r>
      <w:r w:rsidR="00394E9C">
        <w:rPr>
          <w:rFonts w:ascii="IRBadr" w:hAnsi="IRBadr" w:cs="IRBadr"/>
          <w:sz w:val="28"/>
          <w:rtl/>
        </w:rPr>
        <w:t>نظر</w:t>
      </w:r>
      <w:r w:rsidR="00394E9C">
        <w:rPr>
          <w:rFonts w:ascii="IRBadr" w:hAnsi="IRBadr" w:cs="IRBadr" w:hint="cs"/>
          <w:sz w:val="28"/>
          <w:rtl/>
        </w:rPr>
        <w:t>یه‌های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394E9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این عدم جواز بود.</w:t>
      </w:r>
    </w:p>
    <w:p w:rsidR="00B24B4C" w:rsidRDefault="00B24B4C" w:rsidP="00B24B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طبق برخی </w:t>
      </w:r>
      <w:r w:rsidR="00394E9C">
        <w:rPr>
          <w:rFonts w:ascii="IRBadr" w:hAnsi="IRBadr" w:cs="IRBadr"/>
          <w:sz w:val="28"/>
          <w:rtl/>
        </w:rPr>
        <w:t>نقل‌ها</w:t>
      </w:r>
      <w:r>
        <w:rPr>
          <w:rFonts w:ascii="IRBadr" w:hAnsi="IRBadr" w:cs="IRBadr" w:hint="cs"/>
          <w:sz w:val="28"/>
          <w:rtl/>
        </w:rPr>
        <w:t xml:space="preserve"> گفته شده که ملاصدرا نیز همین نظر را داشته است</w:t>
      </w:r>
      <w:r w:rsidR="00D84F3F"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البته</w:t>
      </w:r>
      <w:r w:rsidR="00D84F3F">
        <w:rPr>
          <w:rFonts w:ascii="IRBadr" w:hAnsi="IRBadr" w:cs="IRBadr" w:hint="cs"/>
          <w:sz w:val="28"/>
          <w:rtl/>
        </w:rPr>
        <w:t xml:space="preserve"> در صورتی است که علم و اطم</w:t>
      </w:r>
      <w:r>
        <w:rPr>
          <w:rFonts w:ascii="IRBadr" w:hAnsi="IRBadr" w:cs="IRBadr" w:hint="cs"/>
          <w:sz w:val="28"/>
          <w:rtl/>
        </w:rPr>
        <w:t>ینان نباشد.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این نظر </w:t>
      </w:r>
      <w:r w:rsidR="00D84F3F">
        <w:rPr>
          <w:rFonts w:ascii="IRBadr" w:hAnsi="IRBadr" w:cs="IRBadr" w:hint="cs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ر فرض این است که علمی و اطمینانی وجود ندارد که این عدم حجیت در اینجا،</w:t>
      </w:r>
      <w:r w:rsidR="00394E9C">
        <w:rPr>
          <w:rFonts w:ascii="IRBadr" w:hAnsi="IRBadr" w:cs="IRBadr"/>
          <w:sz w:val="28"/>
          <w:rtl/>
        </w:rPr>
        <w:t xml:space="preserve"> از</w:t>
      </w:r>
      <w:r w:rsidR="00D84F3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نتیجه عدم جواز تقلید به دست خواهد آمد.</w:t>
      </w:r>
      <w:r w:rsidR="00394E9C">
        <w:rPr>
          <w:rFonts w:ascii="IRBadr" w:hAnsi="IRBadr" w:cs="IRBadr"/>
          <w:sz w:val="28"/>
          <w:rtl/>
        </w:rPr>
        <w:t xml:space="preserve"> گاه</w:t>
      </w:r>
      <w:r w:rsidR="00394E9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برای این نظر که جائز است ادعای اجماع نیز شده است.</w:t>
      </w:r>
    </w:p>
    <w:p w:rsidR="00D84F3F" w:rsidRDefault="00D84F3F" w:rsidP="00D84F3F">
      <w:pPr>
        <w:pStyle w:val="Heading2"/>
        <w:bidi/>
        <w:rPr>
          <w:rtl/>
        </w:rPr>
      </w:pPr>
      <w:bookmarkStart w:id="3" w:name="_Toc438588156"/>
      <w:r>
        <w:rPr>
          <w:rFonts w:hint="cs"/>
          <w:rtl/>
        </w:rPr>
        <w:t>مستند نظریه عدم جواز</w:t>
      </w:r>
      <w:bookmarkEnd w:id="3"/>
    </w:p>
    <w:p w:rsidR="00B24B4C" w:rsidRDefault="00B24B4C" w:rsidP="00B24B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باید دید مستند نظریه مقابل چیست؟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اولاً به گروهی از آیات شریفه استدلال شده که مفید عدم حجیت ظن است؛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بحث در کفایه نیز بود که در بحث حجیت خبر واحد،</w:t>
      </w:r>
      <w:r w:rsidR="00394E9C">
        <w:rPr>
          <w:rFonts w:ascii="IRBadr" w:hAnsi="IRBadr" w:cs="IRBadr"/>
          <w:sz w:val="28"/>
          <w:rtl/>
        </w:rPr>
        <w:t xml:space="preserve"> ادله</w:t>
      </w:r>
      <w:r>
        <w:rPr>
          <w:rFonts w:ascii="IRBadr" w:hAnsi="IRBadr" w:cs="IRBadr" w:hint="cs"/>
          <w:sz w:val="28"/>
          <w:rtl/>
        </w:rPr>
        <w:t xml:space="preserve"> ای در نقطه مقابل؛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عدم حجیت خبر واحد وجود داشت که یکی از </w:t>
      </w:r>
      <w:r w:rsidR="00394E9C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این آیات بود.</w:t>
      </w:r>
      <w:r w:rsidR="00394E9C">
        <w:rPr>
          <w:rFonts w:ascii="IRBadr" w:hAnsi="IRBadr" w:cs="IRBadr"/>
          <w:sz w:val="28"/>
          <w:rtl/>
        </w:rPr>
        <w:t xml:space="preserve"> اطلاق</w:t>
      </w:r>
      <w:r>
        <w:rPr>
          <w:rFonts w:ascii="IRBadr" w:hAnsi="IRBadr" w:cs="IRBadr" w:hint="cs"/>
          <w:sz w:val="28"/>
          <w:rtl/>
        </w:rPr>
        <w:t xml:space="preserve"> این آیات قول مجتهد را نیز دربرمی گیرد چراکه قول مجتهد نیز نوعی ظن است.</w:t>
      </w:r>
      <w:r w:rsidR="00394E9C">
        <w:rPr>
          <w:rFonts w:ascii="IRBadr" w:hAnsi="IRBadr" w:cs="IRBadr"/>
          <w:sz w:val="28"/>
          <w:rtl/>
        </w:rPr>
        <w:t xml:space="preserve"> قول</w:t>
      </w:r>
      <w:r>
        <w:rPr>
          <w:rFonts w:ascii="IRBadr" w:hAnsi="IRBadr" w:cs="IRBadr" w:hint="cs"/>
          <w:sz w:val="28"/>
          <w:rtl/>
        </w:rPr>
        <w:t xml:space="preserve"> او از دو جهت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ظنی باشد؛</w:t>
      </w:r>
      <w:r w:rsidR="00394E9C">
        <w:rPr>
          <w:rFonts w:ascii="IRBadr" w:hAnsi="IRBadr" w:cs="IRBadr"/>
          <w:sz w:val="28"/>
          <w:rtl/>
        </w:rPr>
        <w:t xml:space="preserve"> عام</w:t>
      </w:r>
      <w:r w:rsidR="00394E9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وقتی مراجعه به قول فقیه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394E9C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قول او علم پیدا حاصل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</w:p>
    <w:p w:rsidR="00B24B4C" w:rsidRDefault="00B24B4C" w:rsidP="00B24B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جهت دیگر عامی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ی‌داند</w:t>
      </w:r>
      <w:r>
        <w:rPr>
          <w:rFonts w:ascii="IRBadr" w:hAnsi="IRBadr" w:cs="IRBadr" w:hint="cs"/>
          <w:sz w:val="28"/>
          <w:rtl/>
        </w:rPr>
        <w:t xml:space="preserve"> که خود آن فتوا نیز برای آن فقیه ظنی است و او بر اساس اصولی عقلایی و ظنی در بسیاری از موارد نظر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جایی که قطعی باشد تقلید نخواهد بود و از بحث خارج است.</w:t>
      </w:r>
    </w:p>
    <w:p w:rsidR="00B24B4C" w:rsidRDefault="00B24B4C" w:rsidP="00B24B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از جمله آن آیات،</w:t>
      </w:r>
      <w:r w:rsidR="00394E9C">
        <w:rPr>
          <w:rFonts w:ascii="IRBadr" w:hAnsi="IRBadr" w:cs="IRBadr"/>
          <w:sz w:val="28"/>
          <w:rtl/>
        </w:rPr>
        <w:t xml:space="preserve"> موارد</w:t>
      </w:r>
      <w:r>
        <w:rPr>
          <w:rFonts w:ascii="IRBadr" w:hAnsi="IRBadr" w:cs="IRBadr" w:hint="cs"/>
          <w:sz w:val="28"/>
          <w:rtl/>
        </w:rPr>
        <w:t xml:space="preserve"> زیر است؛</w:t>
      </w:r>
    </w:p>
    <w:p w:rsidR="00D84F3F" w:rsidRDefault="00D84F3F" w:rsidP="00D84F3F">
      <w:pPr>
        <w:pStyle w:val="Heading3"/>
        <w:bidi/>
        <w:rPr>
          <w:rtl/>
        </w:rPr>
      </w:pPr>
      <w:bookmarkStart w:id="4" w:name="_Toc438588157"/>
      <w:r>
        <w:rPr>
          <w:rFonts w:hint="cs"/>
          <w:rtl/>
        </w:rPr>
        <w:t>آیات ناهیه از عمل به ظن</w:t>
      </w:r>
      <w:bookmarkEnd w:id="4"/>
    </w:p>
    <w:p w:rsidR="00185478" w:rsidRPr="00185478" w:rsidRDefault="00D84F3F" w:rsidP="00EF16BC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185478">
        <w:rPr>
          <w:rFonts w:ascii="IRBadr" w:hAnsi="IRBadr" w:cs="IRBadr"/>
          <w:sz w:val="28"/>
          <w:szCs w:val="28"/>
          <w:rtl/>
        </w:rPr>
        <w:t>سیاق این آ</w:t>
      </w:r>
      <w:r w:rsidR="005E5E28" w:rsidRPr="00185478">
        <w:rPr>
          <w:rFonts w:ascii="IRBadr" w:hAnsi="IRBadr" w:cs="IRBadr"/>
          <w:sz w:val="28"/>
          <w:szCs w:val="28"/>
          <w:rtl/>
        </w:rPr>
        <w:t xml:space="preserve">یات گفتگویی است که درباره خداوند مطرح </w:t>
      </w:r>
      <w:r w:rsidR="00394E9C">
        <w:rPr>
          <w:rFonts w:ascii="IRBadr" w:hAnsi="IRBadr" w:cs="IRBadr"/>
          <w:sz w:val="28"/>
          <w:szCs w:val="28"/>
          <w:rtl/>
        </w:rPr>
        <w:t>م</w:t>
      </w:r>
      <w:r w:rsidR="00394E9C">
        <w:rPr>
          <w:rFonts w:ascii="IRBadr" w:hAnsi="IRBadr" w:cs="IRBadr" w:hint="cs"/>
          <w:sz w:val="28"/>
          <w:szCs w:val="28"/>
          <w:rtl/>
        </w:rPr>
        <w:t>ی‌</w:t>
      </w:r>
      <w:r w:rsidR="00394E9C">
        <w:rPr>
          <w:rFonts w:ascii="IRBadr" w:hAnsi="IRBadr" w:cs="IRBadr" w:hint="eastAsia"/>
          <w:sz w:val="28"/>
          <w:szCs w:val="28"/>
          <w:rtl/>
        </w:rPr>
        <w:t>شود</w:t>
      </w:r>
      <w:r w:rsidR="005E5E28" w:rsidRPr="00185478">
        <w:rPr>
          <w:rFonts w:ascii="IRBadr" w:hAnsi="IRBadr" w:cs="IRBadr"/>
          <w:sz w:val="28"/>
          <w:szCs w:val="28"/>
          <w:rtl/>
        </w:rPr>
        <w:t>؛</w:t>
      </w:r>
      <w:r w:rsidR="00185478" w:rsidRPr="00185478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«قُلْ هَلْ مِنْ شُرَ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ائِ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مَنْ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هْد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إِلَ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الْحَقِّ قُلِ اللَّهُ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هْد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لِلْحَقِّ أَ فَمَنْ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هْد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إِلَ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الْحَقِّ أَحَقُّ أَنْ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تَّبَعَ أَمَّنْ لا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هِدِّ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إِلاَّ أَنْ </w:t>
      </w:r>
      <w:r w:rsidR="00394E9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94E9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هْد</w:t>
      </w:r>
      <w:r w:rsidR="00394E9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فَما لَ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فَ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تَحْکمُون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ما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تَّبِعُ أَ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ثَرُهُمْ إِلاَّ ظَنًّا إِنَّ الظَّنَّ لا </w:t>
      </w:r>
      <w:r w:rsidR="00394E9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94E9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غْن</w:t>
      </w:r>
      <w:r w:rsidR="00394E9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الْحَقِّ شَ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ئاً إِنَّ اللَّهَ عَل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مٌ بِما </w:t>
      </w:r>
      <w:r w:rsidR="00394E9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94E9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فْعَلُون</w:t>
      </w:r>
      <w:r w:rsidR="00185478"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EF16BC" w:rsidRPr="00EF16BC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5E5E28" w:rsidRDefault="00D84F3F" w:rsidP="005E5E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اول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که مش</w:t>
      </w:r>
      <w:r w:rsidR="005E5E28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>ک</w:t>
      </w:r>
      <w:r w:rsidR="005E5E28">
        <w:rPr>
          <w:rFonts w:ascii="IRBadr" w:hAnsi="IRBadr" w:cs="IRBadr" w:hint="cs"/>
          <w:sz w:val="28"/>
          <w:rtl/>
        </w:rPr>
        <w:t xml:space="preserve">ین در مسیر ظنون حرکت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ی‌کنند</w:t>
      </w:r>
      <w:r w:rsidR="005E5E28">
        <w:rPr>
          <w:rFonts w:ascii="IRBadr" w:hAnsi="IRBadr" w:cs="IRBadr" w:hint="cs"/>
          <w:sz w:val="28"/>
          <w:rtl/>
        </w:rPr>
        <w:t xml:space="preserve"> و کبرای کلی بحث این است که ظن از واقع </w:t>
      </w:r>
      <w:r w:rsidR="008C5A9D">
        <w:rPr>
          <w:rFonts w:ascii="IRBadr" w:hAnsi="IRBadr" w:cs="IRBadr" w:hint="cs"/>
          <w:sz w:val="28"/>
          <w:rtl/>
        </w:rPr>
        <w:t>به‌هیچ‌وجه</w:t>
      </w:r>
      <w:r w:rsidR="005E5E28">
        <w:rPr>
          <w:rFonts w:ascii="IRBadr" w:hAnsi="IRBadr" w:cs="IRBadr" w:hint="cs"/>
          <w:sz w:val="28"/>
          <w:rtl/>
        </w:rPr>
        <w:t xml:space="preserve"> </w:t>
      </w:r>
      <w:r w:rsidR="008C5A9D">
        <w:rPr>
          <w:rFonts w:ascii="IRBadr" w:hAnsi="IRBadr" w:cs="IRBadr" w:hint="cs"/>
          <w:sz w:val="28"/>
          <w:rtl/>
        </w:rPr>
        <w:t>بی‌نیاز</w:t>
      </w:r>
      <w:r w:rsidR="005E5E28">
        <w:rPr>
          <w:rFonts w:ascii="IRBadr" w:hAnsi="IRBadr" w:cs="IRBadr" w:hint="cs"/>
          <w:sz w:val="28"/>
          <w:rtl/>
        </w:rPr>
        <w:t xml:space="preserve">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ی‌کند</w:t>
      </w:r>
      <w:r w:rsidR="005E5E28"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ین</w:t>
      </w:r>
      <w:r w:rsidR="005E5E28">
        <w:rPr>
          <w:rFonts w:ascii="IRBadr" w:hAnsi="IRBadr" w:cs="IRBadr" w:hint="cs"/>
          <w:sz w:val="28"/>
          <w:rtl/>
        </w:rPr>
        <w:t xml:space="preserve"> جمله خبریه ای است که در مقام نفی حجیت ظن است.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 w:rsidR="005E5E28">
        <w:rPr>
          <w:rFonts w:ascii="IRBadr" w:hAnsi="IRBadr" w:cs="IRBadr" w:hint="cs"/>
          <w:sz w:val="28"/>
          <w:rtl/>
        </w:rPr>
        <w:t xml:space="preserve"> راه درست به وصول </w:t>
      </w:r>
      <w:r w:rsidR="008C5A9D">
        <w:rPr>
          <w:rFonts w:ascii="IRBadr" w:hAnsi="IRBadr" w:cs="IRBadr" w:hint="cs"/>
          <w:sz w:val="28"/>
          <w:rtl/>
        </w:rPr>
        <w:t>به‌واقع</w:t>
      </w:r>
      <w:r w:rsidR="005E5E28">
        <w:rPr>
          <w:rFonts w:ascii="IRBadr" w:hAnsi="IRBadr" w:cs="IRBadr" w:hint="cs"/>
          <w:sz w:val="28"/>
          <w:rtl/>
        </w:rPr>
        <w:t xml:space="preserve"> ندارد.</w:t>
      </w:r>
    </w:p>
    <w:p w:rsidR="005E5E28" w:rsidRDefault="00D84F3F" w:rsidP="005E5E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باز آ</w:t>
      </w:r>
      <w:r w:rsidR="005E5E28">
        <w:rPr>
          <w:rFonts w:ascii="IRBadr" w:hAnsi="IRBadr" w:cs="IRBadr" w:hint="cs"/>
          <w:sz w:val="28"/>
          <w:rtl/>
        </w:rPr>
        <w:t>یه دیگری نیز وجود دارد که؛</w:t>
      </w:r>
    </w:p>
    <w:p w:rsidR="00EF16BC" w:rsidRPr="00EF16BC" w:rsidRDefault="005E5E28" w:rsidP="00EF16BC">
      <w:pPr>
        <w:pStyle w:val="NormalWeb"/>
        <w:bidi/>
        <w:rPr>
          <w:rFonts w:ascii="IRBadr" w:hAnsi="IRBadr" w:cs="IRBadr"/>
          <w:sz w:val="28"/>
          <w:szCs w:val="28"/>
          <w:lang w:bidi="fa-IR"/>
        </w:rPr>
      </w:pPr>
      <w:r w:rsidRPr="00EF16BC">
        <w:rPr>
          <w:rFonts w:ascii="IRBadr" w:hAnsi="IRBadr" w:cs="IRBadr"/>
          <w:sz w:val="28"/>
          <w:szCs w:val="28"/>
          <w:rtl/>
        </w:rPr>
        <w:t xml:space="preserve">این آیه در سیاق </w:t>
      </w:r>
      <w:r w:rsidR="008C5A9D">
        <w:rPr>
          <w:rFonts w:ascii="IRBadr" w:hAnsi="IRBadr" w:cs="IRBadr"/>
          <w:sz w:val="28"/>
          <w:szCs w:val="28"/>
          <w:rtl/>
        </w:rPr>
        <w:t>مجموعه‌ای</w:t>
      </w:r>
      <w:r w:rsidRPr="00EF16BC">
        <w:rPr>
          <w:rFonts w:ascii="IRBadr" w:hAnsi="IRBadr" w:cs="IRBadr"/>
          <w:sz w:val="28"/>
          <w:szCs w:val="28"/>
          <w:rtl/>
        </w:rPr>
        <w:t xml:space="preserve"> از نواهی خطاب به مسلمین و نبی </w:t>
      </w:r>
      <w:r w:rsidR="00394E9C">
        <w:rPr>
          <w:rFonts w:ascii="IRBadr" w:hAnsi="IRBadr" w:cs="IRBadr"/>
          <w:sz w:val="28"/>
          <w:szCs w:val="28"/>
          <w:rtl/>
        </w:rPr>
        <w:t>خدا (</w:t>
      </w:r>
      <w:r w:rsidRPr="00EF16BC">
        <w:rPr>
          <w:rFonts w:ascii="IRBadr" w:hAnsi="IRBadr" w:cs="IRBadr"/>
          <w:sz w:val="28"/>
          <w:szCs w:val="28"/>
          <w:rtl/>
        </w:rPr>
        <w:t>ص) است؛</w:t>
      </w:r>
    </w:p>
    <w:p w:rsidR="00EF16BC" w:rsidRPr="00EF16BC" w:rsidRDefault="00EF16BC" w:rsidP="00EF16BC">
      <w:pPr>
        <w:pStyle w:val="NormalWeb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لا تَقْفُ ما لَ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 لَ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بِهِ عِلْمٌ إِنَّ السَّمْعَ وَ الْبَصَرَ وَ الْفُؤادَ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لُّ أُولئِ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94E9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F16B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انَ عَنْهُ مَسْؤُلا»</w:t>
      </w:r>
      <w:r w:rsidRPr="00EF16BC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5E5E28" w:rsidRDefault="005E5E28" w:rsidP="005E5E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واژه ظن </w:t>
      </w:r>
      <w:r w:rsidR="008C5A9D">
        <w:rPr>
          <w:rFonts w:ascii="IRBadr" w:hAnsi="IRBadr" w:cs="IRBadr" w:hint="cs"/>
          <w:sz w:val="28"/>
          <w:rtl/>
        </w:rPr>
        <w:t>برخلاف</w:t>
      </w:r>
      <w:r>
        <w:rPr>
          <w:rFonts w:ascii="IRBadr" w:hAnsi="IRBadr" w:cs="IRBadr" w:hint="cs"/>
          <w:sz w:val="28"/>
          <w:rtl/>
        </w:rPr>
        <w:t xml:space="preserve"> آیات دیگر نیست بلکه اینجا عدم علم ذکر شده است.</w:t>
      </w:r>
      <w:r w:rsidR="00394E9C">
        <w:rPr>
          <w:rFonts w:ascii="IRBadr" w:hAnsi="IRBadr" w:cs="IRBadr"/>
          <w:sz w:val="28"/>
          <w:rtl/>
        </w:rPr>
        <w:t xml:space="preserve"> نسبت</w:t>
      </w:r>
      <w:r>
        <w:rPr>
          <w:rFonts w:ascii="IRBadr" w:hAnsi="IRBadr" w:cs="IRBadr" w:hint="cs"/>
          <w:sz w:val="28"/>
          <w:rtl/>
        </w:rPr>
        <w:t xml:space="preserve"> این گروه از آیات این است که عدم علم در اینجا اگر به معنای مطلق باشد و ظن احتمال راجح باشد در آن زمان این اخص از آن خواهد بود.</w:t>
      </w:r>
      <w:r w:rsidR="00394E9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ظن معنای عامی داشته باشد که مطلق غیر علم باشد این مورد را دربرمی گیرد.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8C5A9D">
        <w:rPr>
          <w:rFonts w:ascii="IRBadr" w:hAnsi="IRBadr" w:cs="IRBadr"/>
          <w:sz w:val="28"/>
          <w:rtl/>
        </w:rPr>
        <w:t>کما اینکه</w:t>
      </w:r>
      <w:r>
        <w:rPr>
          <w:rFonts w:ascii="IRBadr" w:hAnsi="IRBadr" w:cs="IRBadr" w:hint="cs"/>
          <w:sz w:val="28"/>
          <w:rtl/>
        </w:rPr>
        <w:t xml:space="preserve"> گاهی به معنای مطلق غیر علم نیز وارد شده است.</w:t>
      </w:r>
      <w:r w:rsidR="00394E9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8C5A9D">
        <w:rPr>
          <w:rFonts w:ascii="IRBadr" w:hAnsi="IRBadr" w:cs="IRBadr" w:hint="cs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احتمال دیگر ممکن است مساوی با علم باشد.</w:t>
      </w:r>
    </w:p>
    <w:p w:rsidR="005E5E28" w:rsidRDefault="008C5A9D" w:rsidP="005E5E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همان‌طور</w:t>
      </w:r>
      <w:r w:rsidR="005E5E28">
        <w:rPr>
          <w:rFonts w:ascii="IRBadr" w:hAnsi="IRBadr" w:cs="IRBadr" w:hint="cs"/>
          <w:sz w:val="28"/>
          <w:rtl/>
        </w:rPr>
        <w:t xml:space="preserve"> که عدم علم در اینجا ممکن است مطلق عدم علم باشد و ممکن است که گفته شود در اینجا منظور ظن است و موارد مرجوح را در</w:t>
      </w:r>
      <w:r>
        <w:rPr>
          <w:rFonts w:ascii="IRBadr" w:hAnsi="IRBadr" w:cs="IRBadr" w:hint="cs"/>
          <w:sz w:val="28"/>
          <w:rtl/>
        </w:rPr>
        <w:t xml:space="preserve"> برنمی‌گیرد</w:t>
      </w:r>
      <w:r w:rsidR="005E5E28">
        <w:rPr>
          <w:rFonts w:ascii="IRBadr" w:hAnsi="IRBadr" w:cs="IRBadr" w:hint="cs"/>
          <w:sz w:val="28"/>
          <w:rtl/>
        </w:rPr>
        <w:t>.</w:t>
      </w:r>
    </w:p>
    <w:p w:rsidR="00D84F3F" w:rsidRDefault="00D84F3F" w:rsidP="00D84F3F">
      <w:pPr>
        <w:pStyle w:val="Heading4"/>
        <w:rPr>
          <w:rtl/>
        </w:rPr>
      </w:pPr>
      <w:bookmarkStart w:id="5" w:name="_Toc438588158"/>
      <w:r>
        <w:rPr>
          <w:rFonts w:hint="cs"/>
          <w:rtl/>
        </w:rPr>
        <w:lastRenderedPageBreak/>
        <w:t>احتمالات در معنای تقف</w:t>
      </w:r>
      <w:bookmarkEnd w:id="5"/>
    </w:p>
    <w:p w:rsidR="005E5E28" w:rsidRDefault="005E5E28" w:rsidP="005E5E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خصوص این آیه دو</w:t>
      </w:r>
      <w:r w:rsidR="00D55B59">
        <w:rPr>
          <w:rFonts w:ascii="IRBadr" w:hAnsi="IRBadr" w:cs="IRBadr" w:hint="cs"/>
          <w:sz w:val="28"/>
          <w:rtl/>
        </w:rPr>
        <w:t xml:space="preserve">م برخی بزرگان </w:t>
      </w:r>
      <w:r w:rsidR="008C5A9D">
        <w:rPr>
          <w:rFonts w:ascii="IRBadr" w:hAnsi="IRBadr" w:cs="IRBadr" w:hint="cs"/>
          <w:sz w:val="28"/>
          <w:rtl/>
        </w:rPr>
        <w:t>نکته‌ای</w:t>
      </w:r>
      <w:r w:rsidR="00D55B59">
        <w:rPr>
          <w:rFonts w:ascii="IRBadr" w:hAnsi="IRBadr" w:cs="IRBadr" w:hint="cs"/>
          <w:sz w:val="28"/>
          <w:rtl/>
        </w:rPr>
        <w:t xml:space="preserve"> </w:t>
      </w:r>
      <w:r w:rsidR="00394E9C">
        <w:rPr>
          <w:rFonts w:ascii="IRBadr" w:hAnsi="IRBadr" w:cs="IRBadr"/>
          <w:sz w:val="28"/>
          <w:rtl/>
        </w:rPr>
        <w:t>گفته‌اند</w:t>
      </w:r>
      <w:r w:rsidR="00D55B59">
        <w:rPr>
          <w:rFonts w:ascii="IRBadr" w:hAnsi="IRBadr" w:cs="IRBadr" w:hint="cs"/>
          <w:sz w:val="28"/>
          <w:rtl/>
        </w:rPr>
        <w:t xml:space="preserve"> که آقای شاهرودی در تقریرات شهید صدر دارند؛</w:t>
      </w:r>
    </w:p>
    <w:p w:rsidR="00D55B59" w:rsidRDefault="00D55B59" w:rsidP="00D55B5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عدم علم در این آیه شریفه مشتمل بر تقف است که از قفا </w:t>
      </w:r>
      <w:r w:rsidR="006F0D93">
        <w:rPr>
          <w:rFonts w:ascii="IRBadr" w:hAnsi="IRBadr" w:cs="IRBadr" w:hint="cs"/>
          <w:sz w:val="28"/>
          <w:rtl/>
        </w:rPr>
        <w:t>یقف</w:t>
      </w:r>
      <w:r w:rsidR="00394E9C">
        <w:rPr>
          <w:rFonts w:ascii="IRBadr" w:hAnsi="IRBadr" w:cs="IRBadr"/>
          <w:sz w:val="28"/>
          <w:rtl/>
        </w:rPr>
        <w:t xml:space="preserve"> م</w:t>
      </w:r>
      <w:r w:rsidR="00394E9C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>،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ماده دارای دو معنا در لغت است؛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معنای آن،</w:t>
      </w:r>
      <w:r w:rsidR="00394E9C">
        <w:rPr>
          <w:rFonts w:ascii="IRBadr" w:hAnsi="IRBadr" w:cs="IRBadr"/>
          <w:sz w:val="28"/>
          <w:rtl/>
        </w:rPr>
        <w:t xml:space="preserve"> همان</w:t>
      </w:r>
      <w:r>
        <w:rPr>
          <w:rFonts w:ascii="IRBadr" w:hAnsi="IRBadr" w:cs="IRBadr" w:hint="cs"/>
          <w:sz w:val="28"/>
          <w:rtl/>
        </w:rPr>
        <w:t xml:space="preserve"> متابعت و پیروی است؛</w:t>
      </w:r>
      <w:r w:rsidR="00394E9C">
        <w:rPr>
          <w:rFonts w:ascii="IRBadr" w:hAnsi="IRBadr" w:cs="IRBadr"/>
          <w:sz w:val="28"/>
          <w:rtl/>
        </w:rPr>
        <w:t xml:space="preserve"> قفا</w:t>
      </w:r>
      <w:r>
        <w:rPr>
          <w:rFonts w:ascii="IRBadr" w:hAnsi="IRBadr" w:cs="IRBadr" w:hint="cs"/>
          <w:sz w:val="28"/>
          <w:rtl/>
        </w:rPr>
        <w:t xml:space="preserve"> اثره؛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دنبال او حرکت کرد.</w:t>
      </w:r>
      <w:r w:rsidR="00394E9C">
        <w:rPr>
          <w:rFonts w:ascii="IRBadr" w:hAnsi="IRBadr" w:cs="IRBadr"/>
          <w:sz w:val="28"/>
          <w:rtl/>
        </w:rPr>
        <w:t xml:space="preserve"> عمدتاً</w:t>
      </w:r>
      <w:r>
        <w:rPr>
          <w:rFonts w:ascii="IRBadr" w:hAnsi="IRBadr" w:cs="IRBadr" w:hint="cs"/>
          <w:sz w:val="28"/>
          <w:rtl/>
        </w:rPr>
        <w:t xml:space="preserve"> این ماده در کلمات مفسرین ب</w:t>
      </w:r>
      <w:r w:rsidR="008C5A9D">
        <w:rPr>
          <w:rFonts w:ascii="IRBadr" w:hAnsi="IRBadr" w:cs="IRBadr" w:hint="cs"/>
          <w:sz w:val="28"/>
          <w:rtl/>
        </w:rPr>
        <w:t>ر همین معنا حمل شده است و ابتدائا</w:t>
      </w:r>
      <w:r>
        <w:rPr>
          <w:rFonts w:ascii="IRBadr" w:hAnsi="IRBadr" w:cs="IRBadr" w:hint="cs"/>
          <w:sz w:val="28"/>
          <w:rtl/>
        </w:rPr>
        <w:t xml:space="preserve">ً نیز همین به ذهن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</w:t>
      </w:r>
      <w:r w:rsidR="008C5A9D">
        <w:rPr>
          <w:rFonts w:ascii="IRBadr" w:hAnsi="IRBadr" w:cs="IRBadr" w:hint="cs"/>
          <w:sz w:val="28"/>
          <w:rtl/>
        </w:rPr>
        <w:t>صورت</w:t>
      </w:r>
      <w:r>
        <w:rPr>
          <w:rFonts w:ascii="IRBadr" w:hAnsi="IRBadr" w:cs="IRBadr" w:hint="cs"/>
          <w:sz w:val="28"/>
          <w:rtl/>
        </w:rPr>
        <w:t xml:space="preserve"> این آیه در زمره ادله نفی از عمل به ظن قرار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394E9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ایشان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در اینجا احتمال دومی وجود دارد که </w:t>
      </w:r>
      <w:r w:rsidR="008C5A9D">
        <w:rPr>
          <w:rFonts w:ascii="IRBadr" w:hAnsi="IRBadr" w:cs="IRBadr" w:hint="cs"/>
          <w:sz w:val="28"/>
          <w:rtl/>
        </w:rPr>
        <w:t>معتنابه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94E9C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احتمال دوم این است که قفا به معنی بهتان و تهمت باشد.</w:t>
      </w:r>
    </w:p>
    <w:p w:rsidR="00D55B59" w:rsidRDefault="00D55B59" w:rsidP="00EF16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چنین معنایی نیز برای این معنا در لغت ذکر شده است.</w:t>
      </w:r>
      <w:r w:rsidR="00394E9C">
        <w:rPr>
          <w:rFonts w:ascii="IRBadr" w:hAnsi="IRBadr" w:cs="IRBadr"/>
          <w:sz w:val="28"/>
          <w:rtl/>
        </w:rPr>
        <w:t xml:space="preserve"> قفاه</w:t>
      </w:r>
      <w:r>
        <w:rPr>
          <w:rFonts w:ascii="IRBadr" w:hAnsi="IRBadr" w:cs="IRBadr" w:hint="cs"/>
          <w:sz w:val="28"/>
          <w:rtl/>
        </w:rPr>
        <w:t>؛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افتری علیه.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صورت بحث عوض خواهد شد.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در اینجا معنای دوم مقصود است.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چیزی را که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ی‌دانی</w:t>
      </w:r>
      <w:r>
        <w:rPr>
          <w:rFonts w:ascii="IRBadr" w:hAnsi="IRBadr" w:cs="IRBadr" w:hint="cs"/>
          <w:sz w:val="28"/>
          <w:rtl/>
        </w:rPr>
        <w:t xml:space="preserve"> را به دیگری نسبت نده.</w:t>
      </w:r>
      <w:r w:rsidR="00394E9C">
        <w:rPr>
          <w:rFonts w:ascii="IRBadr" w:hAnsi="IRBadr" w:cs="IRBadr"/>
          <w:sz w:val="28"/>
          <w:rtl/>
        </w:rPr>
        <w:t xml:space="preserve"> بعد</w:t>
      </w:r>
      <w:r w:rsidR="006F0D93">
        <w:rPr>
          <w:rFonts w:ascii="IRBadr" w:hAnsi="IRBadr" w:cs="IRBadr" w:hint="cs"/>
          <w:sz w:val="28"/>
          <w:rtl/>
        </w:rPr>
        <w:t xml:space="preserve"> از آن </w:t>
      </w:r>
      <w:r w:rsidR="00394E9C">
        <w:rPr>
          <w:rFonts w:ascii="IRBadr" w:hAnsi="IRBadr" w:cs="IRBadr"/>
          <w:sz w:val="28"/>
          <w:rtl/>
        </w:rPr>
        <w:t>گفته‌اند</w:t>
      </w:r>
      <w:r w:rsidR="006F0D93">
        <w:rPr>
          <w:rFonts w:ascii="IRBadr" w:hAnsi="IRBadr" w:cs="IRBadr" w:hint="cs"/>
          <w:sz w:val="28"/>
          <w:rtl/>
        </w:rPr>
        <w:t xml:space="preserve"> که ذیل آیه شاهد بر این معناست؛</w:t>
      </w:r>
      <w:r w:rsidR="00394E9C">
        <w:rPr>
          <w:rFonts w:ascii="IRBadr" w:hAnsi="IRBadr" w:cs="IRBadr"/>
          <w:sz w:val="28"/>
          <w:rtl/>
        </w:rPr>
        <w:t xml:space="preserve"> «</w:t>
      </w:r>
      <w:r w:rsidR="00EF16BC" w:rsidRPr="00EF16BC">
        <w:rPr>
          <w:rFonts w:ascii="IRBadr" w:hAnsi="IRBadr" w:cs="IRBadr"/>
          <w:b/>
          <w:bCs/>
          <w:color w:val="000000"/>
          <w:sz w:val="28"/>
          <w:rtl/>
        </w:rPr>
        <w:t xml:space="preserve">إِنَّ السَّمْعَ وَ الْبَصَرَ وَ الْفُؤادَ </w:t>
      </w:r>
      <w:r w:rsidR="00394E9C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EF16BC" w:rsidRPr="00EF16BC">
        <w:rPr>
          <w:rFonts w:ascii="IRBadr" w:hAnsi="IRBadr" w:cs="IRBadr"/>
          <w:b/>
          <w:bCs/>
          <w:color w:val="000000"/>
          <w:sz w:val="28"/>
          <w:rtl/>
        </w:rPr>
        <w:t>لُّ أُولئِ</w:t>
      </w:r>
      <w:r w:rsidR="00394E9C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EF16BC" w:rsidRPr="00EF16BC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394E9C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EF16BC" w:rsidRPr="00EF16BC">
        <w:rPr>
          <w:rFonts w:ascii="IRBadr" w:hAnsi="IRBadr" w:cs="IRBadr"/>
          <w:b/>
          <w:bCs/>
          <w:color w:val="000000"/>
          <w:sz w:val="28"/>
          <w:rtl/>
        </w:rPr>
        <w:t>انَ عَنْهُ مَسْؤُلا</w:t>
      </w:r>
      <w:r w:rsidR="00394E9C">
        <w:rPr>
          <w:rFonts w:ascii="IRBadr" w:hAnsi="IRBadr" w:cs="IRBadr"/>
          <w:b/>
          <w:bCs/>
          <w:color w:val="000000"/>
          <w:sz w:val="28"/>
          <w:rtl/>
        </w:rPr>
        <w:t>» که</w:t>
      </w:r>
      <w:r w:rsidR="006F0D93">
        <w:rPr>
          <w:rFonts w:ascii="IRBadr" w:hAnsi="IRBadr" w:cs="IRBadr" w:hint="cs"/>
          <w:sz w:val="28"/>
          <w:rtl/>
        </w:rPr>
        <w:t xml:space="preserve"> آیه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ی‌خواهد</w:t>
      </w:r>
      <w:r w:rsidR="006F0D93">
        <w:rPr>
          <w:rFonts w:ascii="IRBadr" w:hAnsi="IRBadr" w:cs="IRBadr" w:hint="cs"/>
          <w:sz w:val="28"/>
          <w:rtl/>
        </w:rPr>
        <w:t xml:space="preserve"> بفرماید چشم،</w:t>
      </w:r>
      <w:r w:rsidR="00394E9C">
        <w:rPr>
          <w:rFonts w:ascii="IRBadr" w:hAnsi="IRBadr" w:cs="IRBadr"/>
          <w:sz w:val="28"/>
          <w:rtl/>
        </w:rPr>
        <w:t xml:space="preserve"> گوش</w:t>
      </w:r>
      <w:r w:rsidR="006F0D93">
        <w:rPr>
          <w:rFonts w:ascii="IRBadr" w:hAnsi="IRBadr" w:cs="IRBadr" w:hint="cs"/>
          <w:sz w:val="28"/>
          <w:rtl/>
        </w:rPr>
        <w:t xml:space="preserve"> و قلب شما در قبال کارهایشان مورد سؤال قرار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ی‌گیرند</w:t>
      </w:r>
      <w:r w:rsidR="006F0D93">
        <w:rPr>
          <w:rFonts w:ascii="IRBadr" w:hAnsi="IRBadr" w:cs="IRBadr" w:hint="cs"/>
          <w:sz w:val="28"/>
          <w:rtl/>
        </w:rPr>
        <w:t>.</w:t>
      </w:r>
    </w:p>
    <w:p w:rsidR="006F0D93" w:rsidRDefault="006F0D93" w:rsidP="006F0D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تکمیل بیان ایشان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گفت که اگر نگوییم احتمال دوم معین است،</w:t>
      </w:r>
      <w:r w:rsidR="00394E9C">
        <w:rPr>
          <w:rFonts w:ascii="IRBadr" w:hAnsi="IRBadr" w:cs="IRBadr"/>
          <w:sz w:val="28"/>
          <w:rtl/>
        </w:rPr>
        <w:t xml:space="preserve"> حداقل</w:t>
      </w:r>
      <w:r>
        <w:rPr>
          <w:rFonts w:ascii="IRBadr" w:hAnsi="IRBadr" w:cs="IRBadr" w:hint="cs"/>
          <w:sz w:val="28"/>
          <w:rtl/>
        </w:rPr>
        <w:t xml:space="preserve"> معین است و این ماده مشترک لفظی خواهد شد و با وجود اجمال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به آن تمسک کرد.</w:t>
      </w:r>
      <w:r w:rsidR="00394E9C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این آیه از زمره ادله خارج خواهد شد.</w:t>
      </w:r>
    </w:p>
    <w:p w:rsidR="00D84F3F" w:rsidRDefault="00D84F3F" w:rsidP="00D84F3F">
      <w:pPr>
        <w:pStyle w:val="Heading4"/>
        <w:rPr>
          <w:rtl/>
        </w:rPr>
      </w:pPr>
      <w:bookmarkStart w:id="6" w:name="_Toc438588159"/>
      <w:r>
        <w:rPr>
          <w:rFonts w:hint="cs"/>
          <w:rtl/>
        </w:rPr>
        <w:t>اتخاذ مبنا</w:t>
      </w:r>
      <w:bookmarkEnd w:id="6"/>
    </w:p>
    <w:p w:rsidR="006F0D93" w:rsidRDefault="006F0D93" w:rsidP="006F0D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فرمایش خیلی بعید است و قابل جواب است به دو جواب؛</w:t>
      </w:r>
    </w:p>
    <w:p w:rsidR="00D84F3F" w:rsidRDefault="00D84F3F" w:rsidP="00D84F3F">
      <w:pPr>
        <w:pStyle w:val="Heading4"/>
        <w:rPr>
          <w:rtl/>
        </w:rPr>
      </w:pPr>
      <w:bookmarkStart w:id="7" w:name="_Toc438588160"/>
      <w:r>
        <w:rPr>
          <w:rFonts w:hint="cs"/>
          <w:rtl/>
        </w:rPr>
        <w:t>اجوبه از استدلال فوق</w:t>
      </w:r>
      <w:bookmarkEnd w:id="7"/>
    </w:p>
    <w:p w:rsidR="00D84F3F" w:rsidRDefault="00D84F3F" w:rsidP="00D84F3F">
      <w:pPr>
        <w:pStyle w:val="Heading4"/>
        <w:rPr>
          <w:rtl/>
        </w:rPr>
      </w:pPr>
      <w:bookmarkStart w:id="8" w:name="_Toc438588161"/>
      <w:r>
        <w:rPr>
          <w:rFonts w:hint="cs"/>
          <w:rtl/>
        </w:rPr>
        <w:t>جواب اول</w:t>
      </w:r>
      <w:bookmarkEnd w:id="8"/>
    </w:p>
    <w:p w:rsidR="006F0D93" w:rsidRDefault="006F0D93" w:rsidP="006F0D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جواب این است که در آیه شریفه،</w:t>
      </w:r>
      <w:r w:rsidR="00394E9C">
        <w:rPr>
          <w:rFonts w:ascii="IRBadr" w:hAnsi="IRBadr" w:cs="IRBadr"/>
          <w:sz w:val="28"/>
          <w:rtl/>
        </w:rPr>
        <w:t xml:space="preserve"> ظهور</w:t>
      </w:r>
      <w:r>
        <w:rPr>
          <w:rFonts w:ascii="IRBadr" w:hAnsi="IRBadr" w:cs="IRBadr" w:hint="cs"/>
          <w:sz w:val="28"/>
          <w:rtl/>
        </w:rPr>
        <w:t xml:space="preserve"> اولیه قفا در همان متابعت است و معنای دیگر </w:t>
      </w:r>
      <w:r w:rsidR="00D65693">
        <w:rPr>
          <w:rFonts w:ascii="IRBadr" w:hAnsi="IRBadr" w:cs="IRBadr" w:hint="cs"/>
          <w:sz w:val="28"/>
          <w:rtl/>
        </w:rPr>
        <w:t xml:space="preserve">آن چندان ظهوری ندارد. غالب مفسرین همین را استفاده </w:t>
      </w:r>
      <w:r w:rsidR="00394E9C">
        <w:rPr>
          <w:rFonts w:ascii="IRBadr" w:hAnsi="IRBadr" w:cs="IRBadr"/>
          <w:sz w:val="28"/>
          <w:rtl/>
        </w:rPr>
        <w:t>کرده‌اند</w:t>
      </w:r>
      <w:r w:rsidR="00D65693">
        <w:rPr>
          <w:rFonts w:ascii="IRBadr" w:hAnsi="IRBadr" w:cs="IRBadr" w:hint="cs"/>
          <w:sz w:val="28"/>
          <w:rtl/>
        </w:rPr>
        <w:t xml:space="preserve"> و متبادر به ذهن </w:t>
      </w:r>
      <w:r w:rsidR="00394E9C">
        <w:rPr>
          <w:rFonts w:ascii="IRBadr" w:hAnsi="IRBadr" w:cs="IRBadr"/>
          <w:sz w:val="28"/>
          <w:rtl/>
        </w:rPr>
        <w:t>آن‌ها</w:t>
      </w:r>
      <w:r w:rsidR="00D65693">
        <w:rPr>
          <w:rFonts w:ascii="IRBadr" w:hAnsi="IRBadr" w:cs="IRBadr" w:hint="cs"/>
          <w:sz w:val="28"/>
          <w:rtl/>
        </w:rPr>
        <w:t xml:space="preserve"> بوده است.</w:t>
      </w:r>
      <w:r w:rsidR="00394E9C">
        <w:rPr>
          <w:rFonts w:ascii="IRBadr" w:hAnsi="IRBadr" w:cs="IRBadr"/>
          <w:sz w:val="28"/>
          <w:rtl/>
        </w:rPr>
        <w:t xml:space="preserve"> شاهد</w:t>
      </w:r>
      <w:r w:rsidR="00D65693">
        <w:rPr>
          <w:rFonts w:ascii="IRBadr" w:hAnsi="IRBadr" w:cs="IRBadr" w:hint="cs"/>
          <w:sz w:val="28"/>
          <w:rtl/>
        </w:rPr>
        <w:t xml:space="preserve"> آن این است که این آیه همگن جمع زیادی از آیات است </w:t>
      </w:r>
      <w:r w:rsidR="00D65693">
        <w:rPr>
          <w:rFonts w:ascii="IRBadr" w:hAnsi="IRBadr" w:cs="IRBadr" w:hint="cs"/>
          <w:sz w:val="28"/>
          <w:rtl/>
        </w:rPr>
        <w:lastRenderedPageBreak/>
        <w:t>که متابعت از ظن را منع کرده است.</w:t>
      </w:r>
      <w:r w:rsidR="00394E9C">
        <w:rPr>
          <w:rFonts w:ascii="IRBadr" w:hAnsi="IRBadr" w:cs="IRBadr"/>
          <w:sz w:val="28"/>
          <w:rtl/>
        </w:rPr>
        <w:t xml:space="preserve"> و</w:t>
      </w:r>
      <w:r w:rsidR="00D65693">
        <w:rPr>
          <w:rFonts w:ascii="IRBadr" w:hAnsi="IRBadr" w:cs="IRBadr" w:hint="cs"/>
          <w:sz w:val="28"/>
          <w:rtl/>
        </w:rPr>
        <w:t xml:space="preserve"> آیه </w:t>
      </w:r>
      <w:r w:rsidR="00394E9C">
        <w:rPr>
          <w:rFonts w:ascii="IRBadr" w:hAnsi="IRBadr" w:cs="IRBadr"/>
          <w:sz w:val="28"/>
          <w:rtl/>
        </w:rPr>
        <w:t>ذ</w:t>
      </w:r>
      <w:r w:rsidR="00394E9C">
        <w:rPr>
          <w:rFonts w:ascii="IRBadr" w:hAnsi="IRBadr" w:cs="IRBadr" w:hint="cs"/>
          <w:sz w:val="28"/>
          <w:rtl/>
        </w:rPr>
        <w:t>یلان</w:t>
      </w:r>
      <w:r w:rsidR="00D65693">
        <w:rPr>
          <w:rFonts w:ascii="IRBadr" w:hAnsi="IRBadr" w:cs="IRBadr" w:hint="cs"/>
          <w:sz w:val="28"/>
          <w:rtl/>
        </w:rPr>
        <w:t xml:space="preserve"> نیز بر هر دو معنا صادق است.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8C5A9D">
        <w:rPr>
          <w:rFonts w:ascii="IRBadr" w:hAnsi="IRBadr" w:cs="IRBadr"/>
          <w:sz w:val="28"/>
          <w:rtl/>
        </w:rPr>
        <w:t>بدین‌صورت</w:t>
      </w:r>
      <w:r w:rsidR="00D65693">
        <w:rPr>
          <w:rFonts w:ascii="IRBadr" w:hAnsi="IRBadr" w:cs="IRBadr" w:hint="cs"/>
          <w:sz w:val="28"/>
          <w:rtl/>
        </w:rPr>
        <w:t xml:space="preserve"> که دنبال ظنون حرکت نکن،</w:t>
      </w:r>
      <w:r w:rsidR="00394E9C">
        <w:rPr>
          <w:rFonts w:ascii="IRBadr" w:hAnsi="IRBadr" w:cs="IRBadr"/>
          <w:sz w:val="28"/>
          <w:rtl/>
        </w:rPr>
        <w:t xml:space="preserve"> چراکه</w:t>
      </w:r>
      <w:r w:rsidR="00D65693">
        <w:rPr>
          <w:rFonts w:ascii="IRBadr" w:hAnsi="IRBadr" w:cs="IRBadr" w:hint="cs"/>
          <w:sz w:val="28"/>
          <w:rtl/>
        </w:rPr>
        <w:t xml:space="preserve"> تمامی اجزاء تو روز قیامت باید پاسخگو باشند.</w:t>
      </w:r>
      <w:r w:rsidR="00394E9C">
        <w:rPr>
          <w:rFonts w:ascii="IRBadr" w:hAnsi="IRBadr" w:cs="IRBadr"/>
          <w:sz w:val="28"/>
          <w:rtl/>
        </w:rPr>
        <w:t xml:space="preserve"> لذا</w:t>
      </w:r>
      <w:r w:rsidR="00D65693">
        <w:rPr>
          <w:rFonts w:ascii="IRBadr" w:hAnsi="IRBadr" w:cs="IRBadr" w:hint="cs"/>
          <w:sz w:val="28"/>
          <w:rtl/>
        </w:rPr>
        <w:t xml:space="preserve"> این استدلال لازم اعم است.</w:t>
      </w:r>
    </w:p>
    <w:p w:rsidR="00D84F3F" w:rsidRDefault="00D84F3F" w:rsidP="00D84F3F">
      <w:pPr>
        <w:pStyle w:val="Heading4"/>
        <w:rPr>
          <w:rtl/>
        </w:rPr>
      </w:pPr>
      <w:bookmarkStart w:id="9" w:name="_Toc438588162"/>
      <w:r>
        <w:rPr>
          <w:rFonts w:hint="cs"/>
          <w:rtl/>
        </w:rPr>
        <w:t>جواب دوم</w:t>
      </w:r>
      <w:bookmarkEnd w:id="9"/>
    </w:p>
    <w:p w:rsidR="00D65693" w:rsidRDefault="00D65693" w:rsidP="00D656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جواب دومی که در اینجا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ی‌توان</w:t>
      </w:r>
      <w:r w:rsidR="00D84F3F">
        <w:rPr>
          <w:rFonts w:ascii="IRBadr" w:hAnsi="IRBadr" w:cs="IRBadr" w:hint="cs"/>
          <w:sz w:val="28"/>
          <w:rtl/>
        </w:rPr>
        <w:t xml:space="preserve"> داد این است که اگر این آ</w:t>
      </w:r>
      <w:r>
        <w:rPr>
          <w:rFonts w:ascii="IRBadr" w:hAnsi="IRBadr" w:cs="IRBadr" w:hint="cs"/>
          <w:sz w:val="28"/>
          <w:rtl/>
        </w:rPr>
        <w:t>یه را به معنای شما بگیریم،</w:t>
      </w:r>
      <w:r w:rsidR="00394E9C">
        <w:rPr>
          <w:rFonts w:ascii="IRBadr" w:hAnsi="IRBadr" w:cs="IRBadr"/>
          <w:sz w:val="28"/>
          <w:rtl/>
        </w:rPr>
        <w:t xml:space="preserve"> القاء</w:t>
      </w:r>
      <w:r>
        <w:rPr>
          <w:rFonts w:ascii="IRBadr" w:hAnsi="IRBadr" w:cs="IRBadr" w:hint="cs"/>
          <w:sz w:val="28"/>
          <w:rtl/>
        </w:rPr>
        <w:t xml:space="preserve"> خصوصیت این آیه بسیار روان و روشن است.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394E9C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اگر </w:t>
      </w:r>
      <w:r w:rsidR="008C5A9D">
        <w:rPr>
          <w:rFonts w:ascii="IRBadr" w:hAnsi="IRBadr" w:cs="IRBadr" w:hint="cs"/>
          <w:sz w:val="28"/>
          <w:rtl/>
        </w:rPr>
        <w:t>آیه‌ای</w:t>
      </w:r>
      <w:r>
        <w:rPr>
          <w:rFonts w:ascii="IRBadr" w:hAnsi="IRBadr" w:cs="IRBadr" w:hint="cs"/>
          <w:sz w:val="28"/>
          <w:rtl/>
        </w:rPr>
        <w:t xml:space="preserve"> دیگر در قرآن نبود و تنها این آیه بود که چیزی را که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ی‌دانی</w:t>
      </w:r>
      <w:r>
        <w:rPr>
          <w:rFonts w:ascii="IRBadr" w:hAnsi="IRBadr" w:cs="IRBadr" w:hint="cs"/>
          <w:sz w:val="28"/>
          <w:rtl/>
        </w:rPr>
        <w:t xml:space="preserve"> به دیگری نسبت نده،</w:t>
      </w:r>
      <w:r w:rsidR="00394E9C">
        <w:rPr>
          <w:rFonts w:ascii="IRBadr" w:hAnsi="IRBadr" w:cs="IRBadr"/>
          <w:sz w:val="28"/>
          <w:rtl/>
        </w:rPr>
        <w:t xml:space="preserve"> ارتکاز</w:t>
      </w:r>
      <w:r>
        <w:rPr>
          <w:rFonts w:ascii="IRBadr" w:hAnsi="IRBadr" w:cs="IRBadr" w:hint="cs"/>
          <w:sz w:val="28"/>
          <w:rtl/>
        </w:rPr>
        <w:t xml:space="preserve"> ما القاء خصوصیت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ی‌کرد</w:t>
      </w:r>
      <w:r>
        <w:rPr>
          <w:rFonts w:ascii="IRBadr" w:hAnsi="IRBadr" w:cs="IRBadr" w:hint="cs"/>
          <w:sz w:val="28"/>
          <w:rtl/>
        </w:rPr>
        <w:t xml:space="preserve"> که غیر علم را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مورد اعتناء قرار داد.</w:t>
      </w:r>
      <w:r w:rsidR="00394E9C">
        <w:rPr>
          <w:rFonts w:ascii="IRBadr" w:hAnsi="IRBadr" w:cs="IRBadr"/>
          <w:sz w:val="28"/>
          <w:rtl/>
        </w:rPr>
        <w:t xml:space="preserve"> عرف</w:t>
      </w:r>
      <w:r>
        <w:rPr>
          <w:rFonts w:ascii="IRBadr" w:hAnsi="IRBadr" w:cs="IRBadr" w:hint="cs"/>
          <w:sz w:val="28"/>
          <w:rtl/>
        </w:rPr>
        <w:t xml:space="preserve"> </w:t>
      </w:r>
      <w:r w:rsidR="008C5A9D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القاء خصوصیت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چون فرد به قطع نرسیده است </w:t>
      </w:r>
      <w:r w:rsidR="00394E9C">
        <w:rPr>
          <w:rFonts w:ascii="IRBadr" w:hAnsi="IRBadr" w:cs="IRBadr"/>
          <w:sz w:val="28"/>
          <w:rtl/>
        </w:rPr>
        <w:t>نم</w:t>
      </w:r>
      <w:r w:rsidR="00394E9C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مورد عمل باشد.</w:t>
      </w:r>
      <w:r w:rsidR="00394E9C">
        <w:rPr>
          <w:rFonts w:ascii="IRBadr" w:hAnsi="IRBadr" w:cs="IRBadr"/>
          <w:sz w:val="28"/>
          <w:rtl/>
        </w:rPr>
        <w:t xml:space="preserve"> ثالثاً</w:t>
      </w:r>
      <w:r>
        <w:rPr>
          <w:rFonts w:ascii="IRBadr" w:hAnsi="IRBadr" w:cs="IRBadr" w:hint="cs"/>
          <w:sz w:val="28"/>
          <w:rtl/>
        </w:rPr>
        <w:t xml:space="preserve"> اینکه شاید بیان ایشان در تقلید نیز همین معنای دوم اخذ شود و بدون القای خصوصیت بر بحث تقلید نیز منطبق باشد.</w:t>
      </w:r>
    </w:p>
    <w:p w:rsidR="00D65693" w:rsidRDefault="00D65693" w:rsidP="00D656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چراکه پیروی عامی بر اساس این است که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مجتهد گفته و آن نیز حکم خداست و به سبب آن همین را دنبال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</w:t>
      </w:r>
      <w:r w:rsidR="008C5A9D">
        <w:rPr>
          <w:rFonts w:ascii="IRBadr" w:hAnsi="IRBadr" w:cs="IRBadr" w:hint="cs"/>
          <w:sz w:val="28"/>
          <w:rtl/>
        </w:rPr>
        <w:t>کما اینکه</w:t>
      </w:r>
      <w:r>
        <w:rPr>
          <w:rFonts w:ascii="IRBadr" w:hAnsi="IRBadr" w:cs="IRBadr" w:hint="cs"/>
          <w:sz w:val="28"/>
          <w:rtl/>
        </w:rPr>
        <w:t xml:space="preserve"> در معالم بود.</w:t>
      </w:r>
      <w:r w:rsidR="00394E9C">
        <w:rPr>
          <w:rFonts w:ascii="IRBadr" w:hAnsi="IRBadr" w:cs="IRBadr"/>
          <w:sz w:val="28"/>
          <w:rtl/>
        </w:rPr>
        <w:t xml:space="preserve"> </w:t>
      </w:r>
      <w:r w:rsidR="008C5A9D">
        <w:rPr>
          <w:rFonts w:ascii="IRBadr" w:hAnsi="IRBadr" w:cs="IRBadr"/>
          <w:sz w:val="28"/>
          <w:rtl/>
        </w:rPr>
        <w:t>بنابراین</w:t>
      </w:r>
      <w:r>
        <w:rPr>
          <w:rFonts w:ascii="IRBadr" w:hAnsi="IRBadr" w:cs="IRBadr" w:hint="cs"/>
          <w:sz w:val="28"/>
          <w:rtl/>
        </w:rPr>
        <w:t xml:space="preserve"> در تقلید نوعی نسبت دادن به خدا وجود دارد.</w:t>
      </w:r>
      <w:r w:rsidR="00394E9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ممکن است کسی بگوید که در تقلید لزومی بر این </w:t>
      </w:r>
      <w:r w:rsidR="00D84F3F">
        <w:rPr>
          <w:rFonts w:ascii="IRBadr" w:hAnsi="IRBadr" w:cs="IRBadr" w:hint="cs"/>
          <w:sz w:val="28"/>
          <w:rtl/>
        </w:rPr>
        <w:t>نسبت به خدا جهت عمل وجود ندارد،</w:t>
      </w:r>
      <w:r w:rsidR="00394E9C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ممکن است اعتقاد نداشته باشد ولی عمل کند.</w:t>
      </w:r>
    </w:p>
    <w:p w:rsidR="00D84F3F" w:rsidRDefault="00D84F3F" w:rsidP="00D84F3F">
      <w:pPr>
        <w:pStyle w:val="Heading4"/>
        <w:rPr>
          <w:rtl/>
        </w:rPr>
      </w:pPr>
      <w:bookmarkStart w:id="10" w:name="_Toc438588163"/>
      <w:r>
        <w:rPr>
          <w:rFonts w:hint="cs"/>
          <w:rtl/>
        </w:rPr>
        <w:t>پاسخ از مناقشه اخیر</w:t>
      </w:r>
      <w:bookmarkEnd w:id="10"/>
    </w:p>
    <w:p w:rsidR="00D65693" w:rsidRDefault="00D65693" w:rsidP="00D656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جواب این اشکال است که نهی از نسبت در اینجا اعم از نسبت در اعتقاد و عمل است.</w:t>
      </w:r>
      <w:r w:rsidR="00394E9C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نسبت دادن اعم از نسبت جزمی و اعتقادی و در عمل است.</w:t>
      </w:r>
      <w:r w:rsidR="00394E9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مثل عبادا</w:t>
      </w:r>
      <w:r w:rsidR="00D84F3F">
        <w:rPr>
          <w:rFonts w:ascii="IRBadr" w:hAnsi="IRBadr" w:cs="IRBadr" w:hint="cs"/>
          <w:sz w:val="28"/>
          <w:rtl/>
        </w:rPr>
        <w:t xml:space="preserve">ت نیز این نسبت دادن </w:t>
      </w:r>
      <w:r w:rsidR="008C5A9D">
        <w:rPr>
          <w:rFonts w:ascii="IRBadr" w:hAnsi="IRBadr" w:cs="IRBadr" w:hint="cs"/>
          <w:sz w:val="28"/>
          <w:rtl/>
        </w:rPr>
        <w:t>قوی‌تر</w:t>
      </w:r>
      <w:r w:rsidR="00D84F3F">
        <w:rPr>
          <w:rFonts w:ascii="IRBadr" w:hAnsi="IRBadr" w:cs="IRBadr" w:hint="cs"/>
          <w:sz w:val="28"/>
          <w:rtl/>
        </w:rPr>
        <w:t xml:space="preserve"> است،</w:t>
      </w:r>
      <w:r w:rsidR="00394E9C">
        <w:rPr>
          <w:rFonts w:ascii="IRBadr" w:hAnsi="IRBadr" w:cs="IRBadr"/>
          <w:sz w:val="28"/>
          <w:rtl/>
        </w:rPr>
        <w:t xml:space="preserve"> برخلاف</w:t>
      </w:r>
      <w:r>
        <w:rPr>
          <w:rFonts w:ascii="IRBadr" w:hAnsi="IRBadr" w:cs="IRBadr" w:hint="cs"/>
          <w:sz w:val="28"/>
          <w:rtl/>
        </w:rPr>
        <w:t xml:space="preserve"> توصلیات.</w:t>
      </w:r>
      <w:r w:rsidR="00394E9C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ظهور این </w:t>
      </w:r>
      <w:r w:rsidR="008C5A9D">
        <w:rPr>
          <w:rFonts w:ascii="IRBadr" w:hAnsi="IRBadr" w:cs="IRBadr" w:hint="cs"/>
          <w:sz w:val="28"/>
          <w:rtl/>
        </w:rPr>
        <w:t>آیه این</w:t>
      </w:r>
      <w:r>
        <w:rPr>
          <w:rFonts w:ascii="IRBadr" w:hAnsi="IRBadr" w:cs="IRBadr" w:hint="cs"/>
          <w:sz w:val="28"/>
          <w:rtl/>
        </w:rPr>
        <w:t xml:space="preserve"> است که اتباع اثر نکن.</w:t>
      </w:r>
      <w:r w:rsidR="00394E9C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اگر این آیه نیز نباشد آیات دیگر است که ما را از عمل به ظنون نهی </w:t>
      </w:r>
      <w:r w:rsidR="00394E9C">
        <w:rPr>
          <w:rFonts w:ascii="IRBadr" w:hAnsi="IRBadr" w:cs="IRBadr"/>
          <w:sz w:val="28"/>
          <w:rtl/>
        </w:rPr>
        <w:t>م</w:t>
      </w:r>
      <w:r w:rsidR="00394E9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و از جمله آن عمل به فتوای فقیه است.</w:t>
      </w:r>
      <w:r w:rsidR="00394E9C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بخواهید اقوال را در اینجا ببینید در باب خبر واحد آمده است.</w:t>
      </w:r>
      <w:r w:rsidR="00394E9C">
        <w:rPr>
          <w:rFonts w:ascii="IRBadr" w:hAnsi="IRBadr" w:cs="IRBadr"/>
          <w:sz w:val="28"/>
          <w:rtl/>
        </w:rPr>
        <w:t xml:space="preserve"> ا</w:t>
      </w:r>
      <w:r w:rsidR="00394E9C">
        <w:rPr>
          <w:rFonts w:ascii="IRBadr" w:hAnsi="IRBadr" w:cs="IRBadr" w:hint="cs"/>
          <w:sz w:val="28"/>
          <w:rtl/>
        </w:rPr>
        <w:t>ینجا</w:t>
      </w:r>
      <w:r>
        <w:rPr>
          <w:rFonts w:ascii="IRBadr" w:hAnsi="IRBadr" w:cs="IRBadr" w:hint="cs"/>
          <w:sz w:val="28"/>
          <w:rtl/>
        </w:rPr>
        <w:t xml:space="preserve"> از همان مواردی است که صاحب کفایه در آن ادعای دور را مطرح کرده است که جلوتر به آن خواهیم پرداخت.</w:t>
      </w:r>
    </w:p>
    <w:bookmarkEnd w:id="0"/>
    <w:p w:rsidR="00D65693" w:rsidRPr="00792FEB" w:rsidRDefault="00D65693" w:rsidP="00D6569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D65693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45" w:rsidRDefault="00FB3045" w:rsidP="000D5800">
      <w:r>
        <w:separator/>
      </w:r>
    </w:p>
  </w:endnote>
  <w:endnote w:type="continuationSeparator" w:id="0">
    <w:p w:rsidR="00FB3045" w:rsidRDefault="00FB304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9C" w:rsidRDefault="00394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9C" w:rsidRDefault="00394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45" w:rsidRDefault="00FB3045" w:rsidP="00724447">
      <w:pPr>
        <w:bidi/>
      </w:pPr>
      <w:r>
        <w:separator/>
      </w:r>
    </w:p>
  </w:footnote>
  <w:footnote w:type="continuationSeparator" w:id="0">
    <w:p w:rsidR="00FB3045" w:rsidRDefault="00FB3045" w:rsidP="000D5800">
      <w:r>
        <w:continuationSeparator/>
      </w:r>
    </w:p>
  </w:footnote>
  <w:footnote w:id="1">
    <w:p w:rsidR="00EF16BC" w:rsidRDefault="00EF16BC" w:rsidP="00EF16B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94E9C">
        <w:rPr>
          <w:rFonts w:ascii="IRBadr" w:hAnsi="IRBadr" w:cs="IRBadr"/>
          <w:color w:val="000000"/>
          <w:rtl/>
        </w:rPr>
        <w:t>ی</w:t>
      </w:r>
      <w:r w:rsidRPr="00EF16BC">
        <w:rPr>
          <w:rFonts w:ascii="IRBadr" w:hAnsi="IRBadr" w:cs="IRBadr"/>
          <w:color w:val="000000"/>
          <w:rtl/>
        </w:rPr>
        <w:t>ونس</w:t>
      </w:r>
      <w:r>
        <w:rPr>
          <w:rFonts w:ascii="IRBadr" w:hAnsi="IRBadr" w:cs="IRBadr" w:hint="cs"/>
          <w:color w:val="000000"/>
          <w:rtl/>
        </w:rPr>
        <w:t>/</w:t>
      </w:r>
      <w:r w:rsidRPr="00EF16BC">
        <w:rPr>
          <w:rFonts w:ascii="IRBadr" w:hAnsi="IRBadr" w:cs="IRBadr"/>
          <w:color w:val="000000"/>
          <w:rtl/>
        </w:rPr>
        <w:t xml:space="preserve"> 36</w:t>
      </w:r>
      <w:r w:rsidR="00394E9C">
        <w:rPr>
          <w:rFonts w:ascii="IRBadr" w:hAnsi="IRBadr" w:cs="IRBadr"/>
          <w:color w:val="000000"/>
          <w:rtl/>
        </w:rPr>
        <w:t xml:space="preserve"> و </w:t>
      </w:r>
      <w:r w:rsidRPr="00EF16BC">
        <w:rPr>
          <w:rFonts w:ascii="IRBadr" w:hAnsi="IRBadr" w:cs="IRBadr"/>
          <w:color w:val="000000"/>
          <w:rtl/>
        </w:rPr>
        <w:t>35</w:t>
      </w:r>
    </w:p>
  </w:footnote>
  <w:footnote w:id="2">
    <w:p w:rsidR="00EF16BC" w:rsidRDefault="00EF16BC" w:rsidP="00EF16B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F16BC">
        <w:rPr>
          <w:rFonts w:ascii="IRBadr" w:hAnsi="IRBadr" w:cs="IRBadr"/>
          <w:color w:val="000000"/>
          <w:rtl/>
        </w:rPr>
        <w:t>الإسراء / 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9C" w:rsidRDefault="00394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BC412C" w:rsidRDefault="00BC412C" w:rsidP="00BC412C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DD59714" wp14:editId="761196F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1BD913CA" wp14:editId="71D8FDA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4727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9C" w:rsidRDefault="00394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5478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4E9C"/>
    <w:rsid w:val="003963D7"/>
    <w:rsid w:val="00396F28"/>
    <w:rsid w:val="003A1A05"/>
    <w:rsid w:val="003A2654"/>
    <w:rsid w:val="003A676F"/>
    <w:rsid w:val="003B48AB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5E5E28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6F0D93"/>
    <w:rsid w:val="00724447"/>
    <w:rsid w:val="00734D59"/>
    <w:rsid w:val="0073609B"/>
    <w:rsid w:val="0075033E"/>
    <w:rsid w:val="00752745"/>
    <w:rsid w:val="00760650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116B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C5A9D"/>
    <w:rsid w:val="008D030F"/>
    <w:rsid w:val="008D36D5"/>
    <w:rsid w:val="008E35B3"/>
    <w:rsid w:val="008E3903"/>
    <w:rsid w:val="008E4A63"/>
    <w:rsid w:val="008E4B28"/>
    <w:rsid w:val="008F63E3"/>
    <w:rsid w:val="00901CA6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4B4C"/>
    <w:rsid w:val="00B436B5"/>
    <w:rsid w:val="00B56A4D"/>
    <w:rsid w:val="00B63F15"/>
    <w:rsid w:val="00B75194"/>
    <w:rsid w:val="00B95409"/>
    <w:rsid w:val="00BA51A8"/>
    <w:rsid w:val="00BA58B4"/>
    <w:rsid w:val="00BB1B82"/>
    <w:rsid w:val="00BB5F7E"/>
    <w:rsid w:val="00BC26F6"/>
    <w:rsid w:val="00BC412C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55B59"/>
    <w:rsid w:val="00D60547"/>
    <w:rsid w:val="00D60763"/>
    <w:rsid w:val="00D65693"/>
    <w:rsid w:val="00D66444"/>
    <w:rsid w:val="00D76353"/>
    <w:rsid w:val="00D84F3F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EF16BC"/>
    <w:rsid w:val="00F034CE"/>
    <w:rsid w:val="00F10A0F"/>
    <w:rsid w:val="00F11CEE"/>
    <w:rsid w:val="00F31BD1"/>
    <w:rsid w:val="00F40284"/>
    <w:rsid w:val="00F67976"/>
    <w:rsid w:val="00F70BE1"/>
    <w:rsid w:val="00F86383"/>
    <w:rsid w:val="00FA4D22"/>
    <w:rsid w:val="00FB3045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93DC-694B-466E-B5E3-9BC7034A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760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119</cp:revision>
  <dcterms:created xsi:type="dcterms:W3CDTF">2015-07-12T08:54:00Z</dcterms:created>
  <dcterms:modified xsi:type="dcterms:W3CDTF">2015-11-22T10:00:00Z</dcterms:modified>
</cp:coreProperties>
</file>