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1A" w:rsidRDefault="00DA1D1A" w:rsidP="00F31855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15377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153779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"1-6"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DA1D1A" w:rsidRDefault="00DA1D1A" w:rsidP="00DA1D1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23725" w:history="1">
        <w:r w:rsidRPr="00453E6C">
          <w:rPr>
            <w:rStyle w:val="Hyperlink"/>
            <w:rFonts w:hint="eastAsia"/>
            <w:noProof/>
            <w:rtl/>
          </w:rPr>
          <w:t>علوم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عقل</w:t>
        </w:r>
        <w:r w:rsidRPr="00453E6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_Toc431623725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23726" w:history="1">
        <w:r w:rsidRPr="00453E6C">
          <w:rPr>
            <w:rStyle w:val="Hyperlink"/>
            <w:rFonts w:hint="eastAsia"/>
            <w:noProof/>
            <w:rtl/>
          </w:rPr>
          <w:t>فلسفه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_Toc431623726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23727" w:history="1">
        <w:r w:rsidRPr="00453E6C">
          <w:rPr>
            <w:rStyle w:val="Hyperlink"/>
            <w:rFonts w:hint="eastAsia"/>
            <w:noProof/>
            <w:rtl/>
          </w:rPr>
          <w:t>اتخاذ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_Toc431623727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23728" w:history="1">
        <w:r>
          <w:rPr>
            <w:rStyle w:val="Hyperlink"/>
            <w:rFonts w:hint="eastAsia"/>
            <w:noProof/>
            <w:rtl/>
          </w:rPr>
          <w:t>جهت‌گیری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_Toc431623728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23729" w:history="1">
        <w:r w:rsidRPr="00453E6C">
          <w:rPr>
            <w:rStyle w:val="Hyperlink"/>
            <w:rFonts w:hint="eastAsia"/>
            <w:noProof/>
            <w:rtl/>
          </w:rPr>
          <w:t>مکاتب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در</w:t>
        </w:r>
        <w:r w:rsidRPr="00453E6C">
          <w:rPr>
            <w:rStyle w:val="Hyperlink"/>
            <w:noProof/>
            <w:rtl/>
          </w:rPr>
          <w:t xml:space="preserve">  </w:t>
        </w:r>
        <w:r w:rsidRPr="00453E6C">
          <w:rPr>
            <w:rStyle w:val="Hyperlink"/>
            <w:rFonts w:hint="eastAsia"/>
            <w:noProof/>
            <w:rtl/>
          </w:rPr>
          <w:t>رابطه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اعتبار</w:t>
        </w:r>
        <w:r w:rsidRPr="00453E6C">
          <w:rPr>
            <w:rStyle w:val="Hyperlink"/>
            <w:rFonts w:hint="cs"/>
            <w:noProof/>
            <w:rtl/>
          </w:rPr>
          <w:t>ی</w:t>
        </w:r>
        <w:r w:rsidRPr="00453E6C">
          <w:rPr>
            <w:rStyle w:val="Hyperlink"/>
            <w:rFonts w:hint="eastAsia"/>
            <w:noProof/>
            <w:rtl/>
          </w:rPr>
          <w:t>ات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و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حقا</w:t>
        </w:r>
        <w:r w:rsidRPr="00453E6C">
          <w:rPr>
            <w:rStyle w:val="Hyperlink"/>
            <w:rFonts w:hint="cs"/>
            <w:noProof/>
            <w:rtl/>
          </w:rPr>
          <w:t>ی</w:t>
        </w:r>
        <w:r w:rsidRPr="00453E6C">
          <w:rPr>
            <w:rStyle w:val="Hyperlink"/>
            <w:rFonts w:hint="eastAsia"/>
            <w:noProof/>
            <w:rtl/>
          </w:rPr>
          <w:t>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_Toc431623729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23730" w:history="1">
        <w:r w:rsidRPr="00453E6C">
          <w:rPr>
            <w:rStyle w:val="Hyperlink"/>
            <w:rFonts w:hint="eastAsia"/>
            <w:noProof/>
            <w:rtl/>
          </w:rPr>
          <w:t>علم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کلام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_Toc431623730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23731" w:history="1">
        <w:r w:rsidRPr="00453E6C">
          <w:rPr>
            <w:rStyle w:val="Hyperlink"/>
            <w:rFonts w:hint="eastAsia"/>
            <w:noProof/>
            <w:rtl/>
          </w:rPr>
          <w:t>اتخاذ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_Toc431623731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23732" w:history="1">
        <w:r w:rsidRPr="00453E6C">
          <w:rPr>
            <w:rStyle w:val="Hyperlink"/>
            <w:rFonts w:hint="eastAsia"/>
            <w:noProof/>
            <w:rtl/>
          </w:rPr>
          <w:t>جنبه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اعتقاد</w:t>
        </w:r>
        <w:r w:rsidRPr="00453E6C">
          <w:rPr>
            <w:rStyle w:val="Hyperlink"/>
            <w:rFonts w:hint="cs"/>
            <w:noProof/>
            <w:rtl/>
          </w:rPr>
          <w:t>ی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کلام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_Toc431623732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23733" w:history="1">
        <w:r w:rsidRPr="00453E6C">
          <w:rPr>
            <w:rStyle w:val="Hyperlink"/>
            <w:rFonts w:hint="eastAsia"/>
            <w:noProof/>
            <w:rtl/>
          </w:rPr>
          <w:t>عرفان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نظر</w:t>
        </w:r>
        <w:r w:rsidRPr="00453E6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_Toc431623733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23734" w:history="1">
        <w:r w:rsidRPr="00453E6C">
          <w:rPr>
            <w:rStyle w:val="Hyperlink"/>
            <w:rFonts w:hint="eastAsia"/>
            <w:noProof/>
            <w:rtl/>
          </w:rPr>
          <w:t>اخلاق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_Toc431623734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23735" w:history="1">
        <w:r w:rsidRPr="00453E6C">
          <w:rPr>
            <w:rStyle w:val="Hyperlink"/>
            <w:rFonts w:hint="eastAsia"/>
            <w:noProof/>
            <w:rtl/>
          </w:rPr>
          <w:t>عرفان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عمل</w:t>
        </w:r>
        <w:r w:rsidRPr="00453E6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_Toc431623735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23736" w:history="1">
        <w:r w:rsidRPr="00453E6C">
          <w:rPr>
            <w:rStyle w:val="Hyperlink"/>
            <w:rFonts w:hint="eastAsia"/>
            <w:noProof/>
            <w:rtl/>
          </w:rPr>
          <w:t>اجتهاد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متجز</w:t>
        </w:r>
        <w:r w:rsidRPr="00453E6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_Toc431623736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23737" w:history="1">
        <w:r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_Toc431623737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23738" w:history="1">
        <w:r w:rsidRPr="00453E6C">
          <w:rPr>
            <w:rStyle w:val="Hyperlink"/>
            <w:rFonts w:hint="eastAsia"/>
            <w:noProof/>
            <w:rtl/>
          </w:rPr>
          <w:t>رجال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_Toc431623738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DA1D1A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23739" w:history="1">
        <w:r w:rsidRPr="00453E6C">
          <w:rPr>
            <w:rStyle w:val="Hyperlink"/>
            <w:rFonts w:hint="eastAsia"/>
            <w:noProof/>
            <w:rtl/>
          </w:rPr>
          <w:t>اتخاذ</w:t>
        </w:r>
        <w:r w:rsidRPr="00453E6C">
          <w:rPr>
            <w:rStyle w:val="Hyperlink"/>
            <w:noProof/>
            <w:rtl/>
          </w:rPr>
          <w:t xml:space="preserve"> </w:t>
        </w:r>
        <w:r w:rsidRPr="00453E6C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_Toc431623739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A1D1A" w:rsidRDefault="00DA1D1A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A1D1A" w:rsidRDefault="00DA1D1A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A50BD7" w:rsidRDefault="00A50BD7" w:rsidP="00F31855">
      <w:pPr>
        <w:pStyle w:val="Heading1"/>
        <w:rPr>
          <w:rFonts w:hint="cs"/>
          <w:rtl/>
        </w:rPr>
      </w:pPr>
      <w:bookmarkStart w:id="1" w:name="_Toc431623725"/>
      <w:r>
        <w:rPr>
          <w:rFonts w:hint="cs"/>
          <w:rtl/>
        </w:rPr>
        <w:lastRenderedPageBreak/>
        <w:t>علوم عقلی</w:t>
      </w:r>
      <w:bookmarkEnd w:id="1"/>
    </w:p>
    <w:p w:rsidR="00A50BD7" w:rsidRDefault="00F31855" w:rsidP="00F31855">
      <w:pPr>
        <w:pStyle w:val="Heading1"/>
        <w:rPr>
          <w:rtl/>
        </w:rPr>
      </w:pPr>
      <w:bookmarkStart w:id="2" w:name="_Toc431623726"/>
      <w:r>
        <w:rPr>
          <w:rFonts w:hint="cs"/>
          <w:rtl/>
        </w:rPr>
        <w:t>فلسفه</w:t>
      </w:r>
      <w:bookmarkEnd w:id="2"/>
    </w:p>
    <w:p w:rsidR="00A50BD7" w:rsidRDefault="00A50BD7" w:rsidP="00F31855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بیان شد سه علم در این میان وجود دارد که عمدتاً عقلی است؛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منطق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فلسفه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کلام.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مراد از منطق،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منطق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صوری ارسطویی است.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باب فلسفه نیز طبعاً مانند موارد سابق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وجود دارد که دو نظریه در دخالت فلسفه در باب اجتهاد وجود دارد که جمع زیادی به عدم دخالت آن قائل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A50BD7" w:rsidRDefault="00A50BD7" w:rsidP="00F31855">
      <w:pPr>
        <w:pStyle w:val="Heading1"/>
        <w:rPr>
          <w:rFonts w:hint="cs"/>
          <w:rtl/>
        </w:rPr>
      </w:pPr>
      <w:bookmarkStart w:id="3" w:name="_Toc431623727"/>
      <w:r>
        <w:rPr>
          <w:rFonts w:hint="cs"/>
          <w:rtl/>
        </w:rPr>
        <w:t>اتخاذ مبنا</w:t>
      </w:r>
      <w:bookmarkEnd w:id="3"/>
    </w:p>
    <w:p w:rsidR="00A50BD7" w:rsidRDefault="00A50BD7" w:rsidP="00F31855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فلسفه همه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باواسطه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هم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بی‌واسطه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تأثیر دارد و نقش باواسطه آن از قبل اصول بیشتر است و سخت است بتوان دخالت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را نفی نمود.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معنای حرفی،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شناخت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معنی رابط و مستقل امری فلسفی است و همچنین بحث مستقلات عقلیه،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...و در بحث اجتماع افرادی مانند صاحب فصول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بحث متوقف بر اصالت الوجود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و الماهیه است.</w:t>
      </w:r>
    </w:p>
    <w:p w:rsidR="00A50BD7" w:rsidRDefault="00DA1D1A" w:rsidP="00F31855">
      <w:pPr>
        <w:pStyle w:val="Heading1"/>
        <w:rPr>
          <w:rtl/>
        </w:rPr>
      </w:pPr>
      <w:r>
        <w:rPr>
          <w:rFonts w:hint="cs"/>
          <w:rtl/>
        </w:rPr>
        <w:t>جهت‌گیری</w:t>
      </w:r>
    </w:p>
    <w:p w:rsidR="00A50BD7" w:rsidRDefault="00DA1D1A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A50BD7">
        <w:rPr>
          <w:rFonts w:ascii="IRBadr" w:hAnsi="IRBadr" w:cs="IRBadr" w:hint="cs"/>
          <w:sz w:val="28"/>
          <w:szCs w:val="28"/>
          <w:rtl/>
          <w:lang w:bidi="fa-IR"/>
        </w:rPr>
        <w:t xml:space="preserve"> به آقای خویی که نظریه اول را دارند،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A50BD7">
        <w:rPr>
          <w:rFonts w:ascii="IRBadr" w:hAnsi="IRBadr" w:cs="IRBadr" w:hint="cs"/>
          <w:sz w:val="28"/>
          <w:szCs w:val="28"/>
          <w:rtl/>
          <w:lang w:bidi="fa-IR"/>
        </w:rPr>
        <w:t xml:space="preserve"> بگوییم که خودتان در مباحث اصولی مباحث فلسفی را دخالت </w:t>
      </w:r>
      <w:r>
        <w:rPr>
          <w:rFonts w:ascii="IRBadr" w:hAnsi="IRBadr" w:cs="IRBadr"/>
          <w:sz w:val="28"/>
          <w:szCs w:val="28"/>
          <w:rtl/>
          <w:lang w:bidi="fa-IR"/>
        </w:rPr>
        <w:t>داده‌ا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A50BD7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A50BD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A50BD7">
        <w:rPr>
          <w:rFonts w:ascii="IRBadr" w:hAnsi="IRBadr" w:cs="IRBadr" w:hint="cs"/>
          <w:sz w:val="28"/>
          <w:szCs w:val="28"/>
          <w:rtl/>
          <w:lang w:bidi="fa-IR"/>
        </w:rPr>
        <w:t xml:space="preserve"> بدون فلسفه به قضاوت پرداخت.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A50BD7">
        <w:rPr>
          <w:rFonts w:ascii="IRBadr" w:hAnsi="IRBadr" w:cs="IRBadr" w:hint="cs"/>
          <w:sz w:val="28"/>
          <w:szCs w:val="28"/>
          <w:rtl/>
          <w:lang w:bidi="fa-IR"/>
        </w:rPr>
        <w:t xml:space="preserve"> نفی دخالت فلسفه و مباحث فلسفی بعید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A50BD7">
        <w:rPr>
          <w:rFonts w:ascii="IRBadr" w:hAnsi="IRBadr" w:cs="IRBadr" w:hint="cs"/>
          <w:sz w:val="28"/>
          <w:szCs w:val="28"/>
          <w:rtl/>
          <w:lang w:bidi="fa-IR"/>
        </w:rPr>
        <w:t xml:space="preserve"> بدون واسطه شاید بتوان مواردی را یافت که نیاز به فلسفه در فقه وجود داشته باشد.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50BD7">
        <w:rPr>
          <w:rFonts w:ascii="IRBadr" w:hAnsi="IRBadr" w:cs="IRBadr" w:hint="cs"/>
          <w:sz w:val="28"/>
          <w:szCs w:val="28"/>
          <w:rtl/>
          <w:lang w:bidi="fa-IR"/>
        </w:rPr>
        <w:t xml:space="preserve"> تحلیلات فلسفی امر واضح است اما در فلسفه مدون نیز نقش </w:t>
      </w:r>
      <w:r>
        <w:rPr>
          <w:rFonts w:ascii="IRBadr" w:hAnsi="IRBadr" w:cs="IRBadr" w:hint="cs"/>
          <w:sz w:val="28"/>
          <w:szCs w:val="28"/>
          <w:rtl/>
          <w:lang w:bidi="fa-IR"/>
        </w:rPr>
        <w:t>فی‌الجمله‌ای</w:t>
      </w:r>
      <w:r w:rsidR="00A50BD7"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دارد.</w:t>
      </w:r>
    </w:p>
    <w:p w:rsidR="004D2C7F" w:rsidRDefault="004D2C7F" w:rsidP="00F31855">
      <w:pPr>
        <w:pStyle w:val="Heading1"/>
        <w:rPr>
          <w:rtl/>
        </w:rPr>
      </w:pPr>
      <w:bookmarkStart w:id="4" w:name="_Toc431623729"/>
      <w:r>
        <w:rPr>
          <w:rFonts w:hint="cs"/>
          <w:rtl/>
        </w:rPr>
        <w:t>مکاتب در</w:t>
      </w:r>
      <w:r w:rsidR="00DA1D1A">
        <w:rPr>
          <w:rtl/>
        </w:rPr>
        <w:t xml:space="preserve"> </w:t>
      </w:r>
      <w:r>
        <w:rPr>
          <w:rFonts w:hint="cs"/>
          <w:rtl/>
        </w:rPr>
        <w:t>رابطه اعتباریات و حقایق</w:t>
      </w:r>
      <w:bookmarkEnd w:id="4"/>
    </w:p>
    <w:p w:rsidR="00A50BD7" w:rsidRDefault="00A50BD7" w:rsidP="00F31855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مکتبی وجود دارد که اعتباریات را از حقایق جدا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ی‌سازد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مکتب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 به اطلاق رابطه است و مکتبی میانه وجود دارد که خود این نیز مبحثی فلسفی است.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4D2C7F">
        <w:rPr>
          <w:rFonts w:ascii="IRBadr" w:hAnsi="IRBadr" w:cs="IRBadr" w:hint="cs"/>
          <w:sz w:val="28"/>
          <w:szCs w:val="28"/>
          <w:rtl/>
          <w:lang w:bidi="fa-IR"/>
        </w:rPr>
        <w:t xml:space="preserve"> در ارتباط فلسفه با فقه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4D2C7F">
        <w:rPr>
          <w:rFonts w:ascii="IRBadr" w:hAnsi="IRBadr" w:cs="IRBadr" w:hint="cs"/>
          <w:sz w:val="28"/>
          <w:szCs w:val="28"/>
          <w:rtl/>
          <w:lang w:bidi="fa-IR"/>
        </w:rPr>
        <w:t xml:space="preserve"> نظریات مختلفی را ارائه داد.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D2C7F">
        <w:rPr>
          <w:rFonts w:ascii="IRBadr" w:hAnsi="IRBadr" w:cs="IRBadr" w:hint="cs"/>
          <w:sz w:val="28"/>
          <w:szCs w:val="28"/>
          <w:rtl/>
          <w:lang w:bidi="fa-IR"/>
        </w:rPr>
        <w:t xml:space="preserve"> باید توجه داشت که نفی فلسفه نیاز به خواندن فلسفه دارد.</w:t>
      </w:r>
    </w:p>
    <w:p w:rsidR="00A50BD7" w:rsidRDefault="004D2C7F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اما در حوزه اخلاق و سایر موارد متناسب،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دخالت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فلسفه امری واضح است.</w:t>
      </w:r>
    </w:p>
    <w:p w:rsidR="004D2C7F" w:rsidRDefault="004D2C7F" w:rsidP="00F31855">
      <w:pPr>
        <w:pStyle w:val="Heading2"/>
        <w:rPr>
          <w:rtl/>
        </w:rPr>
      </w:pPr>
      <w:bookmarkStart w:id="5" w:name="_Toc431623730"/>
      <w:r>
        <w:rPr>
          <w:rFonts w:hint="cs"/>
          <w:rtl/>
        </w:rPr>
        <w:t>علم کلام</w:t>
      </w:r>
      <w:bookmarkEnd w:id="5"/>
    </w:p>
    <w:p w:rsidR="004D2C7F" w:rsidRDefault="004D2C7F" w:rsidP="00F31855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سومین علم از علوم تقریباً عقلی،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کلام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باب کلام نیز افرادی قائل به عدم دخالت کلام در اصول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اثبات شریعت، متون دینی و وجود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واجب‌الوجود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آن صورت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لکن این غیر از تأثیر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اجتهاد است.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اعتقاد به فقه که از روی مبانی باشد،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استدلال بنیادین وجود دارد که آن متوقف بر علم کلام است.</w:t>
      </w:r>
    </w:p>
    <w:p w:rsidR="004D2C7F" w:rsidRDefault="004D2C7F" w:rsidP="00F31855">
      <w:pPr>
        <w:pStyle w:val="Heading2"/>
        <w:rPr>
          <w:rFonts w:hint="cs"/>
          <w:rtl/>
        </w:rPr>
      </w:pPr>
      <w:bookmarkStart w:id="6" w:name="_Toc431623731"/>
      <w:r>
        <w:rPr>
          <w:rFonts w:hint="cs"/>
          <w:rtl/>
        </w:rPr>
        <w:t>اتخاذ مبنا</w:t>
      </w:r>
      <w:bookmarkEnd w:id="6"/>
    </w:p>
    <w:p w:rsidR="004D2C7F" w:rsidRDefault="004D2C7F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نیاز کلام جزء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پا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اجتهاد نیست و این نظریه صحیحی است.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واقعیت موجود شبیه آنچه است که در فلسفه گفته شد که بسیاری از موارد از قواعد کلامی مانند دفع ضرر محتمل در اصول دخیل هستند.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مراد از تفکر کلام،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تفکر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کلامی است نه صرف متون آن.</w:t>
      </w:r>
    </w:p>
    <w:p w:rsidR="00161A7F" w:rsidRDefault="00161A7F" w:rsidP="00F31855">
      <w:pPr>
        <w:pStyle w:val="Heading2"/>
        <w:rPr>
          <w:rtl/>
        </w:rPr>
      </w:pPr>
      <w:bookmarkStart w:id="7" w:name="_Toc431623732"/>
      <w:r>
        <w:rPr>
          <w:rFonts w:hint="cs"/>
          <w:rtl/>
        </w:rPr>
        <w:t>جنبه اعتقادی کلام</w:t>
      </w:r>
      <w:bookmarkEnd w:id="7"/>
    </w:p>
    <w:p w:rsidR="004D2C7F" w:rsidRDefault="004D2C7F" w:rsidP="00F31855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مبحث دیگری نیز باید اضافه شود که دخالت و تأثیر دیگری برای دانش کلام در حوزه فقهی وجود دارد،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باب فقه العقیده ای که بدان اشاره شد.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مقصود</w:t>
      </w:r>
      <w:r w:rsidR="00161A7F">
        <w:rPr>
          <w:rFonts w:ascii="IRBadr" w:hAnsi="IRBadr" w:cs="IRBadr" w:hint="cs"/>
          <w:sz w:val="28"/>
          <w:szCs w:val="28"/>
          <w:rtl/>
          <w:lang w:bidi="fa-IR"/>
        </w:rPr>
        <w:t xml:space="preserve"> از آن،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161A7F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حیث بحث کلامی اثبات و استدلال بر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61A7F">
        <w:rPr>
          <w:rFonts w:ascii="IRBadr" w:hAnsi="IRBadr" w:cs="IRBadr" w:hint="cs"/>
          <w:sz w:val="28"/>
          <w:szCs w:val="28"/>
          <w:rtl/>
          <w:lang w:bidi="fa-IR"/>
        </w:rPr>
        <w:t xml:space="preserve"> خبری،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اعتقاد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61A7F">
        <w:rPr>
          <w:rFonts w:ascii="IRBadr" w:hAnsi="IRBadr" w:cs="IRBadr" w:hint="cs"/>
          <w:sz w:val="28"/>
          <w:szCs w:val="28"/>
          <w:rtl/>
          <w:lang w:bidi="fa-IR"/>
        </w:rPr>
        <w:t xml:space="preserve"> و توصیفی است.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161A7F">
        <w:rPr>
          <w:rFonts w:ascii="IRBadr" w:hAnsi="IRBadr" w:cs="IRBadr" w:hint="cs"/>
          <w:sz w:val="28"/>
          <w:szCs w:val="28"/>
          <w:rtl/>
          <w:lang w:bidi="fa-IR"/>
        </w:rPr>
        <w:t xml:space="preserve"> همه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161A7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باواسطه‌ای</w:t>
      </w:r>
      <w:r w:rsidR="00161A7F">
        <w:rPr>
          <w:rFonts w:ascii="IRBadr" w:hAnsi="IRBadr" w:cs="IRBadr" w:hint="cs"/>
          <w:sz w:val="28"/>
          <w:szCs w:val="28"/>
          <w:rtl/>
          <w:lang w:bidi="fa-IR"/>
        </w:rPr>
        <w:t xml:space="preserve"> ظریف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161A7F">
        <w:rPr>
          <w:rFonts w:ascii="IRBadr" w:hAnsi="IRBadr" w:cs="IRBadr" w:hint="cs"/>
          <w:sz w:val="28"/>
          <w:szCs w:val="28"/>
          <w:rtl/>
          <w:lang w:bidi="fa-IR"/>
        </w:rPr>
        <w:t xml:space="preserve"> موضوع فقه قرار گیرد،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161A7F">
        <w:rPr>
          <w:rFonts w:ascii="IRBadr" w:hAnsi="IRBadr" w:cs="IRBadr" w:hint="cs"/>
          <w:sz w:val="28"/>
          <w:szCs w:val="28"/>
          <w:rtl/>
          <w:lang w:bidi="fa-IR"/>
        </w:rPr>
        <w:t xml:space="preserve"> اعتقاد به آن سلسله گذارها سؤال فقهی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161A7F">
        <w:rPr>
          <w:rFonts w:ascii="IRBadr" w:hAnsi="IRBadr" w:cs="IRBadr" w:hint="cs"/>
          <w:sz w:val="28"/>
          <w:szCs w:val="28"/>
          <w:rtl/>
          <w:lang w:bidi="fa-IR"/>
        </w:rPr>
        <w:t xml:space="preserve"> که آیا حرام یا واجب بوده و دارای چه آثاری است؟</w:t>
      </w:r>
    </w:p>
    <w:p w:rsidR="00161A7F" w:rsidRDefault="00161A7F" w:rsidP="00F31855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اعتقاد فعل جوانحی اختیاری است و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بااین‌وجود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موضوع فقه قرار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حیث احکام خمسه و احیاناً احکام وضعی که وجود دارد.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زمان دخالت کلام در این ابواب دخالت واضح و مستقیمی خواهد بود.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همین جهت برخی از بزرگان قبل از نوشتن رساله،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کتب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عقایدی را به تحریر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درمی‌آوردند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گویا چنین امری در مکنون خود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61A7F" w:rsidRDefault="00161A7F" w:rsidP="00F31855">
      <w:pPr>
        <w:pStyle w:val="Heading3"/>
        <w:rPr>
          <w:rFonts w:hint="cs"/>
          <w:rtl/>
        </w:rPr>
      </w:pPr>
      <w:bookmarkStart w:id="8" w:name="_Toc431623733"/>
      <w:r>
        <w:rPr>
          <w:rFonts w:hint="cs"/>
          <w:rtl/>
        </w:rPr>
        <w:lastRenderedPageBreak/>
        <w:t>عرفان نظری</w:t>
      </w:r>
      <w:bookmarkEnd w:id="8"/>
    </w:p>
    <w:p w:rsidR="00161A7F" w:rsidRDefault="00161A7F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دخالت عرفان نظری به لحاظ استدلالی چندان دخالتی در این مقام ندارد.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حیث دخالت آن در موضوع شناسی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مؤثر باشد.</w:t>
      </w:r>
    </w:p>
    <w:p w:rsidR="00161A7F" w:rsidRDefault="00161A7F" w:rsidP="00F31855">
      <w:pPr>
        <w:pStyle w:val="Heading4"/>
        <w:ind w:firstLine="0"/>
        <w:rPr>
          <w:rtl/>
        </w:rPr>
      </w:pPr>
      <w:bookmarkStart w:id="9" w:name="_Toc431623734"/>
      <w:r>
        <w:rPr>
          <w:rFonts w:hint="cs"/>
          <w:rtl/>
        </w:rPr>
        <w:t>اخلاق</w:t>
      </w:r>
      <w:bookmarkEnd w:id="9"/>
    </w:p>
    <w:p w:rsidR="00161A7F" w:rsidRDefault="00161A7F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دخالت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اخلاقی نیز مطرح نشده است.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حوزه نیز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تأثیری برای اخلاق قائل شد،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 حد فقه الاخلاق که سابقاً بیان شد.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اخلاق عملی وجود دارد که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776B3F">
        <w:rPr>
          <w:rFonts w:ascii="IRBadr" w:hAnsi="IRBadr" w:cs="IRBadr" w:hint="cs"/>
          <w:sz w:val="28"/>
          <w:szCs w:val="28"/>
          <w:rtl/>
          <w:lang w:bidi="fa-IR"/>
        </w:rPr>
        <w:t xml:space="preserve"> در فقه مؤثر باشد مانند قبح کذب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سایر موارد از احکام عقلی،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عقلا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اخلاق وجود دارد.</w:t>
      </w:r>
    </w:p>
    <w:p w:rsidR="00161A7F" w:rsidRDefault="00161A7F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طرفی اخلاق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پایه‌ای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برای فقه الاخلاق و فقه الصفات شکل بگیرد که فقه از فعل اختیاری اکتساب و اجتناب آن بحث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آن فقه الصفات خواهد بود.</w:t>
      </w:r>
    </w:p>
    <w:p w:rsidR="00776B3F" w:rsidRDefault="00776B3F" w:rsidP="00F31855">
      <w:pPr>
        <w:pStyle w:val="Heading4"/>
        <w:ind w:firstLine="0"/>
        <w:rPr>
          <w:rFonts w:hint="cs"/>
          <w:rtl/>
        </w:rPr>
      </w:pPr>
      <w:bookmarkStart w:id="10" w:name="_Toc431623735"/>
      <w:r>
        <w:rPr>
          <w:rFonts w:hint="cs"/>
          <w:rtl/>
        </w:rPr>
        <w:t>عرفان عملی</w:t>
      </w:r>
      <w:bookmarkEnd w:id="10"/>
    </w:p>
    <w:p w:rsidR="00776B3F" w:rsidRDefault="00776B3F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عرفان عملی نیز در همین حدود موضوع سازی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مؤثر باشد.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دلالات ضمنی یا التزامی در قبال احکام فقهی داشته باشد.</w:t>
      </w:r>
    </w:p>
    <w:p w:rsidR="00776B3F" w:rsidRDefault="00776B3F" w:rsidP="00F31855">
      <w:pPr>
        <w:pStyle w:val="Heading4"/>
        <w:ind w:firstLine="0"/>
        <w:rPr>
          <w:rFonts w:hint="cs"/>
          <w:rtl/>
        </w:rPr>
      </w:pPr>
      <w:bookmarkStart w:id="11" w:name="_Toc431623736"/>
      <w:r>
        <w:rPr>
          <w:rFonts w:hint="cs"/>
          <w:rtl/>
        </w:rPr>
        <w:t>اجتهاد متجزی</w:t>
      </w:r>
      <w:bookmarkEnd w:id="11"/>
    </w:p>
    <w:p w:rsidR="00776B3F" w:rsidRDefault="00776B3F" w:rsidP="00F31855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باید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توجه داشت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فقه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هرچه قدر متجزی باشد از نیازمندی کمتری نسبت به این علوم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دوازده‌گانه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برخوردار است که هرچه از آن فاصله گرفته شود،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اثر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بیشتر روشن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76B3F" w:rsidRDefault="00DA1D1A" w:rsidP="00F31855">
      <w:pPr>
        <w:pStyle w:val="Heading4"/>
        <w:ind w:firstLine="0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776B3F" w:rsidRDefault="00776B3F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تاکنون دوازده مورد بیان شد ولی هرچه جلوتر برویم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دخالت‌ها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روشن‌تر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شد.</w:t>
      </w:r>
    </w:p>
    <w:p w:rsidR="00776B3F" w:rsidRDefault="00776B3F" w:rsidP="00F31855">
      <w:pPr>
        <w:pStyle w:val="Heading4"/>
        <w:ind w:firstLine="0"/>
        <w:rPr>
          <w:rtl/>
        </w:rPr>
      </w:pPr>
      <w:bookmarkStart w:id="12" w:name="_Toc431623738"/>
      <w:r>
        <w:rPr>
          <w:rFonts w:hint="cs"/>
          <w:rtl/>
        </w:rPr>
        <w:t>رجال</w:t>
      </w:r>
      <w:bookmarkEnd w:id="12"/>
    </w:p>
    <w:p w:rsidR="00776B3F" w:rsidRDefault="00776B3F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دخالت این علم به اجتهاد دخالت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نزدیک‌تری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ولی میزان دخالت آن متوقف بر مبانی است که در علم رجال اتخاذ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ممکن است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مبانی‌ای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داشته باشد که از نیاز به رجال در فقه بکاهد.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مثال فقه شیخ انصاری چون نظریه وثوق خبری را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lastRenderedPageBreak/>
        <w:t>م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ی‌پذیرد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چندان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نیازی به بررسی روات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1E6644">
        <w:rPr>
          <w:rFonts w:ascii="IRBadr" w:hAnsi="IRBadr" w:cs="IRBadr" w:hint="cs"/>
          <w:sz w:val="28"/>
          <w:szCs w:val="28"/>
          <w:rtl/>
          <w:lang w:bidi="fa-IR"/>
        </w:rPr>
        <w:t xml:space="preserve"> ما در اینجا جمعی ارائه دادیم. آقای خویی و امثال ایشان کاملاً وثوق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مخبر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ی‌اند</w:t>
      </w:r>
      <w:r w:rsidR="001E6644">
        <w:rPr>
          <w:rFonts w:ascii="IRBadr" w:hAnsi="IRBadr" w:cs="IRBadr" w:hint="cs"/>
          <w:sz w:val="28"/>
          <w:szCs w:val="28"/>
          <w:rtl/>
          <w:lang w:bidi="fa-IR"/>
        </w:rPr>
        <w:t xml:space="preserve"> برخلاف مشی عملی شیخ و مرحوم نائینی و ...که وثوق خبری هستند.</w:t>
      </w:r>
    </w:p>
    <w:p w:rsidR="001E6644" w:rsidRDefault="00DA1D1A" w:rsidP="00F31855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همین‌طور</w:t>
      </w:r>
      <w:r w:rsidR="001E6644">
        <w:rPr>
          <w:rFonts w:ascii="IRBadr" w:hAnsi="IRBadr" w:cs="IRBadr" w:hint="cs"/>
          <w:sz w:val="28"/>
          <w:szCs w:val="28"/>
          <w:rtl/>
          <w:lang w:bidi="fa-IR"/>
        </w:rPr>
        <w:t xml:space="preserve"> اگر کسی قائل به انسداد کبیر شد چندان نیازی به </w:t>
      </w:r>
      <w:r>
        <w:rPr>
          <w:rFonts w:ascii="IRBadr" w:hAnsi="IRBadr" w:cs="IRBadr"/>
          <w:sz w:val="28"/>
          <w:szCs w:val="28"/>
          <w:rtl/>
          <w:lang w:bidi="fa-IR"/>
        </w:rPr>
        <w:t>بحث‌ها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E6644">
        <w:rPr>
          <w:rFonts w:ascii="IRBadr" w:hAnsi="IRBadr" w:cs="IRBadr" w:hint="cs"/>
          <w:sz w:val="28"/>
          <w:szCs w:val="28"/>
          <w:rtl/>
          <w:lang w:bidi="fa-IR"/>
        </w:rPr>
        <w:t xml:space="preserve"> رجالی مبسوط وجود ندارد و ظن مطلق را اخذ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1E6644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E6644" w:rsidRDefault="001E6644" w:rsidP="00F31855">
      <w:pPr>
        <w:pStyle w:val="Heading4"/>
        <w:ind w:firstLine="0"/>
        <w:rPr>
          <w:rFonts w:hint="cs"/>
          <w:rtl/>
        </w:rPr>
      </w:pPr>
      <w:bookmarkStart w:id="13" w:name="_Toc431623739"/>
      <w:r>
        <w:rPr>
          <w:rFonts w:hint="cs"/>
          <w:rtl/>
        </w:rPr>
        <w:t>اتخاذ مبنا</w:t>
      </w:r>
      <w:bookmarkEnd w:id="13"/>
    </w:p>
    <w:p w:rsidR="001E6644" w:rsidRPr="00153779" w:rsidRDefault="001E6644" w:rsidP="00F3185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در حقیقت نیاز به رجال؛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تشخ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یص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قواعد رجالی و شناخت روات،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>اصلان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ظاهراً </w:t>
      </w:r>
      <w:r w:rsidR="00DA1D1A">
        <w:rPr>
          <w:rFonts w:ascii="IRBadr" w:hAnsi="IRBadr" w:cs="IRBadr" w:hint="cs"/>
          <w:sz w:val="28"/>
          <w:szCs w:val="28"/>
          <w:rtl/>
          <w:lang w:bidi="fa-IR"/>
        </w:rPr>
        <w:t>موردتردید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نگرفته ولی در درجه آن تفاوت زیادی وجود دارد.</w:t>
      </w:r>
      <w:r w:rsidR="00DA1D1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اتخاذ مبنا در اصول نقش زیادی در مقدار نیاز به رجال دارد و نقش م</w:t>
      </w:r>
      <w:r w:rsidR="009E37BE">
        <w:rPr>
          <w:rFonts w:ascii="IRBadr" w:hAnsi="IRBadr" w:cs="IRBadr" w:hint="cs"/>
          <w:sz w:val="28"/>
          <w:szCs w:val="28"/>
          <w:rtl/>
          <w:lang w:bidi="fa-IR"/>
        </w:rPr>
        <w:t>باحث انسداد و خبر واحد در این زمینه نقش پررنگی است.</w:t>
      </w:r>
    </w:p>
    <w:sectPr w:rsidR="001E6644" w:rsidRPr="00153779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8D" w:rsidRDefault="0022538D" w:rsidP="000D5800">
      <w:pPr>
        <w:spacing w:after="0" w:line="240" w:lineRule="auto"/>
      </w:pPr>
      <w:r>
        <w:separator/>
      </w:r>
    </w:p>
  </w:endnote>
  <w:endnote w:type="continuationSeparator" w:id="0">
    <w:p w:rsidR="0022538D" w:rsidRDefault="0022538D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1A" w:rsidRDefault="00DA1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1A" w:rsidRDefault="00DA1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1A" w:rsidRDefault="00DA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8D" w:rsidRDefault="0022538D" w:rsidP="000D5800">
      <w:pPr>
        <w:spacing w:after="0" w:line="240" w:lineRule="auto"/>
      </w:pPr>
      <w:r>
        <w:separator/>
      </w:r>
    </w:p>
  </w:footnote>
  <w:footnote w:type="continuationSeparator" w:id="0">
    <w:p w:rsidR="0022538D" w:rsidRDefault="0022538D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1A" w:rsidRDefault="00DA1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153779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F36D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53779">
      <w:rPr>
        <w:rFonts w:ascii="IranNastaliq" w:hAnsi="IranNastaliq" w:cs="IranNastaliq" w:hint="cs"/>
        <w:sz w:val="40"/>
        <w:szCs w:val="40"/>
        <w:rtl/>
        <w:lang w:bidi="fa-IR"/>
      </w:rPr>
      <w:t>3774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1A" w:rsidRDefault="00DA1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3779"/>
    <w:rsid w:val="00156CF3"/>
    <w:rsid w:val="00161A7F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E6644"/>
    <w:rsid w:val="001F2E3E"/>
    <w:rsid w:val="00224C0A"/>
    <w:rsid w:val="0022538D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24960"/>
    <w:rsid w:val="0044591E"/>
    <w:rsid w:val="004651D2"/>
    <w:rsid w:val="00465D26"/>
    <w:rsid w:val="004679F8"/>
    <w:rsid w:val="004B337F"/>
    <w:rsid w:val="004D2C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76B3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AD8"/>
    <w:rsid w:val="00992D2C"/>
    <w:rsid w:val="009B61C3"/>
    <w:rsid w:val="009C7B4F"/>
    <w:rsid w:val="009E37BE"/>
    <w:rsid w:val="009E588F"/>
    <w:rsid w:val="009F4EB3"/>
    <w:rsid w:val="00A06D48"/>
    <w:rsid w:val="00A21834"/>
    <w:rsid w:val="00A31C17"/>
    <w:rsid w:val="00A31FDE"/>
    <w:rsid w:val="00A35AC2"/>
    <w:rsid w:val="00A37C77"/>
    <w:rsid w:val="00A50BD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A1D1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2C94"/>
    <w:rsid w:val="00EA5D97"/>
    <w:rsid w:val="00EC4393"/>
    <w:rsid w:val="00EE1C07"/>
    <w:rsid w:val="00EE2C91"/>
    <w:rsid w:val="00EE3979"/>
    <w:rsid w:val="00EF138C"/>
    <w:rsid w:val="00F034CE"/>
    <w:rsid w:val="00F10A0F"/>
    <w:rsid w:val="00F31855"/>
    <w:rsid w:val="00F40284"/>
    <w:rsid w:val="00F46506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1806-C44D-4B7A-935E-5C4793C4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126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30</cp:revision>
  <dcterms:created xsi:type="dcterms:W3CDTF">2014-11-18T06:47:00Z</dcterms:created>
  <dcterms:modified xsi:type="dcterms:W3CDTF">2015-10-03T04:52:00Z</dcterms:modified>
</cp:coreProperties>
</file>