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D6" w:rsidRDefault="0061311D" w:rsidP="004831D6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82348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82348B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4831D6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4831D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4831D6">
        <w:rPr>
          <w:rFonts w:ascii="IRBadr" w:hAnsi="IRBadr" w:cs="IRBadr"/>
          <w:sz w:val="28"/>
          <w:szCs w:val="28"/>
          <w:lang w:bidi="fa-IR"/>
        </w:rPr>
        <w:instrText>TOC</w:instrText>
      </w:r>
      <w:r w:rsidR="004831D6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4831D6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4831D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4831D6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4831D6" w:rsidRDefault="004831D6" w:rsidP="004831D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01189" w:history="1">
        <w:r w:rsidRPr="00DB4193">
          <w:rPr>
            <w:rStyle w:val="Hyperlink"/>
            <w:rFonts w:hint="eastAsia"/>
            <w:noProof/>
            <w:rtl/>
          </w:rPr>
          <w:t>مقدمات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اجتهاد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_Toc432101189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4831D6" w:rsidRDefault="004831D6" w:rsidP="004831D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01190" w:history="1">
        <w:r w:rsidRPr="00DB4193">
          <w:rPr>
            <w:rStyle w:val="Hyperlink"/>
            <w:rFonts w:hint="eastAsia"/>
            <w:noProof/>
            <w:rtl/>
          </w:rPr>
          <w:t>مقدمات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ثابت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و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متغ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_Toc432101190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4831D6" w:rsidRDefault="004831D6" w:rsidP="004831D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01191" w:history="1">
        <w:r w:rsidRPr="00DB4193">
          <w:rPr>
            <w:rStyle w:val="Hyperlink"/>
            <w:rFonts w:hint="eastAsia"/>
            <w:noProof/>
            <w:rtl/>
          </w:rPr>
          <w:t>عوامل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تبدل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_Toc432101191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4831D6" w:rsidRDefault="004831D6" w:rsidP="004831D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01192" w:history="1">
        <w:r w:rsidRPr="00DB4193">
          <w:rPr>
            <w:rStyle w:val="Hyperlink"/>
            <w:rFonts w:hint="eastAsia"/>
            <w:noProof/>
            <w:rtl/>
          </w:rPr>
          <w:t>عکس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صورت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_Toc432101192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4831D6" w:rsidRDefault="004831D6" w:rsidP="004831D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01193" w:history="1">
        <w:r w:rsidRPr="00DB4193">
          <w:rPr>
            <w:rStyle w:val="Hyperlink"/>
            <w:rFonts w:hint="eastAsia"/>
            <w:noProof/>
            <w:rtl/>
          </w:rPr>
          <w:t>رابطه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اجتهاد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با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علوم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از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منظر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د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rFonts w:hint="eastAsia"/>
            <w:noProof/>
            <w:rtl/>
          </w:rPr>
          <w:t>گر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_Toc432101193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4831D6" w:rsidRDefault="004831D6" w:rsidP="004831D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01194" w:history="1">
        <w:r w:rsidRPr="00DB4193">
          <w:rPr>
            <w:rStyle w:val="Hyperlink"/>
            <w:rFonts w:hint="eastAsia"/>
            <w:noProof/>
            <w:rtl/>
          </w:rPr>
          <w:t>نکات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در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ا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rFonts w:hint="eastAsia"/>
            <w:noProof/>
            <w:rtl/>
          </w:rPr>
          <w:t>ن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_Toc432101194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4831D6" w:rsidRDefault="004831D6" w:rsidP="004831D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01195" w:history="1">
        <w:r w:rsidRPr="00DB4193">
          <w:rPr>
            <w:rStyle w:val="Hyperlink"/>
            <w:rFonts w:hint="eastAsia"/>
            <w:noProof/>
            <w:rtl/>
          </w:rPr>
          <w:t>نکته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_Toc432101195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4831D6" w:rsidRDefault="004831D6" w:rsidP="004831D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01196" w:history="1">
        <w:r w:rsidRPr="00DB4193">
          <w:rPr>
            <w:rStyle w:val="Hyperlink"/>
            <w:rFonts w:hint="eastAsia"/>
            <w:noProof/>
            <w:rtl/>
          </w:rPr>
          <w:t>نکته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_Toc432101196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4831D6" w:rsidRDefault="004831D6" w:rsidP="004831D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01197" w:history="1">
        <w:r w:rsidRPr="00DB4193">
          <w:rPr>
            <w:rStyle w:val="Hyperlink"/>
            <w:rFonts w:hint="eastAsia"/>
            <w:noProof/>
            <w:rtl/>
          </w:rPr>
          <w:t>تأث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rFonts w:hint="eastAsia"/>
            <w:noProof/>
            <w:rtl/>
          </w:rPr>
          <w:t>رات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فقه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بر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سا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rFonts w:hint="eastAsia"/>
            <w:noProof/>
            <w:rtl/>
          </w:rPr>
          <w:t>ر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علوم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_Toc432101197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4831D6" w:rsidRDefault="004831D6" w:rsidP="004831D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01198" w:history="1">
        <w:r w:rsidRPr="00DB4193">
          <w:rPr>
            <w:rStyle w:val="Hyperlink"/>
            <w:rFonts w:hint="eastAsia"/>
            <w:noProof/>
            <w:rtl/>
          </w:rPr>
          <w:t>مقدمات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عمل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و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خارج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اجتهاد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_Toc432101198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4831D6" w:rsidRDefault="004831D6" w:rsidP="004831D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01199" w:history="1">
        <w:r w:rsidRPr="00DB4193">
          <w:rPr>
            <w:rStyle w:val="Hyperlink"/>
            <w:rFonts w:hint="eastAsia"/>
            <w:noProof/>
            <w:rtl/>
          </w:rPr>
          <w:t>جا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rFonts w:hint="eastAsia"/>
            <w:noProof/>
            <w:rtl/>
          </w:rPr>
          <w:t>گاه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ابزار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امروز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و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گذشته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در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باب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اجتهاد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_Toc432101199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4831D6" w:rsidRDefault="004831D6" w:rsidP="004831D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01200" w:history="1">
        <w:r w:rsidRPr="00DB4193">
          <w:rPr>
            <w:rStyle w:val="Hyperlink"/>
            <w:rFonts w:hint="eastAsia"/>
            <w:noProof/>
            <w:rtl/>
          </w:rPr>
          <w:t>جا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rFonts w:hint="eastAsia"/>
            <w:noProof/>
            <w:rtl/>
          </w:rPr>
          <w:t>گاه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تحل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rFonts w:hint="eastAsia"/>
            <w:noProof/>
            <w:rtl/>
          </w:rPr>
          <w:t>ل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ابزار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امروز</w:t>
        </w:r>
        <w:r w:rsidRPr="00DB419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_Toc432101200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4831D6" w:rsidRDefault="004831D6" w:rsidP="004831D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01201" w:history="1">
        <w:r w:rsidRPr="00DB4193">
          <w:rPr>
            <w:rStyle w:val="Hyperlink"/>
            <w:rFonts w:hint="eastAsia"/>
            <w:noProof/>
            <w:rtl/>
          </w:rPr>
          <w:t>روانشناس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فق</w:t>
        </w:r>
        <w:r w:rsidRPr="00DB4193">
          <w:rPr>
            <w:rStyle w:val="Hyperlink"/>
            <w:rFonts w:hint="cs"/>
            <w:noProof/>
            <w:rtl/>
          </w:rPr>
          <w:t>ی</w:t>
        </w:r>
        <w:r w:rsidRPr="00DB4193">
          <w:rPr>
            <w:rStyle w:val="Hyperlink"/>
            <w:rFonts w:hint="eastAsia"/>
            <w:noProof/>
            <w:rtl/>
          </w:rPr>
          <w:t>ه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در</w:t>
        </w:r>
        <w:r w:rsidRPr="00DB4193">
          <w:rPr>
            <w:rStyle w:val="Hyperlink"/>
            <w:noProof/>
            <w:rtl/>
          </w:rPr>
          <w:t xml:space="preserve"> </w:t>
        </w:r>
        <w:r w:rsidRPr="00DB4193">
          <w:rPr>
            <w:rStyle w:val="Hyperlink"/>
            <w:rFonts w:hint="eastAsia"/>
            <w:noProof/>
            <w:rtl/>
          </w:rPr>
          <w:t>اجتهاد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_Toc432101201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4831D6" w:rsidRDefault="004831D6" w:rsidP="004831D6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4831D6" w:rsidRDefault="004831D6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204428" w:rsidRDefault="00204428" w:rsidP="004831D6">
      <w:pPr>
        <w:pStyle w:val="Heading1"/>
        <w:rPr>
          <w:rFonts w:hint="cs"/>
          <w:rtl/>
        </w:rPr>
      </w:pPr>
      <w:bookmarkStart w:id="1" w:name="_Toc432101189"/>
      <w:r>
        <w:rPr>
          <w:rFonts w:hint="cs"/>
          <w:rtl/>
        </w:rPr>
        <w:lastRenderedPageBreak/>
        <w:t>مقدمات اجتهاد</w:t>
      </w:r>
      <w:bookmarkEnd w:id="1"/>
    </w:p>
    <w:p w:rsidR="00204428" w:rsidRDefault="00204428" w:rsidP="004831D6">
      <w:pPr>
        <w:pStyle w:val="Heading1"/>
        <w:rPr>
          <w:rtl/>
        </w:rPr>
      </w:pPr>
      <w:bookmarkStart w:id="2" w:name="_Toc432101190"/>
      <w:r>
        <w:rPr>
          <w:rFonts w:hint="cs"/>
          <w:rtl/>
        </w:rPr>
        <w:t>مقدمات ثابت و متغیر</w:t>
      </w:r>
      <w:bookmarkEnd w:id="2"/>
    </w:p>
    <w:p w:rsidR="00204428" w:rsidRDefault="00204428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برخی از علوم نیاز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بدان‌ها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اجتهاد ثابت لا یتغیر است مانند اصول و بخشی از ادبیات.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برخی علوم مقدمیت </w:t>
      </w:r>
      <w:r w:rsidR="0061311D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منوط به اقتضاءات زمان است که ممکن است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درزمانی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مقدمیت برای اجتهاد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نداشته‌اند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عصری دیگر این حالت را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پیداکرده‌اند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همانند مباحث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هرمنوتیک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04428" w:rsidRDefault="00204428" w:rsidP="004831D6">
      <w:pPr>
        <w:pStyle w:val="Heading1"/>
        <w:rPr>
          <w:rtl/>
        </w:rPr>
      </w:pPr>
      <w:bookmarkStart w:id="3" w:name="_Toc432101191"/>
      <w:r>
        <w:rPr>
          <w:rFonts w:hint="cs"/>
          <w:rtl/>
        </w:rPr>
        <w:t>عوامل تبدل فوق</w:t>
      </w:r>
      <w:bookmarkEnd w:id="3"/>
    </w:p>
    <w:p w:rsidR="00204428" w:rsidRDefault="0061311D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204428">
        <w:rPr>
          <w:rFonts w:ascii="IRBadr" w:hAnsi="IRBadr" w:cs="IRBadr" w:hint="cs"/>
          <w:sz w:val="28"/>
          <w:szCs w:val="28"/>
          <w:rtl/>
          <w:lang w:bidi="fa-IR"/>
        </w:rPr>
        <w:t xml:space="preserve"> در مقدمیت علوم ممکن است علومی که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درزمانی</w:t>
      </w:r>
      <w:r w:rsidR="00204428">
        <w:rPr>
          <w:rFonts w:ascii="IRBadr" w:hAnsi="IRBadr" w:cs="IRBadr" w:hint="cs"/>
          <w:sz w:val="28"/>
          <w:szCs w:val="28"/>
          <w:rtl/>
          <w:lang w:bidi="fa-IR"/>
        </w:rPr>
        <w:t xml:space="preserve"> مقدمیتی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نداشته‌اند</w:t>
      </w:r>
      <w:r w:rsidR="00204428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امروزه</w:t>
      </w:r>
      <w:r w:rsidR="00204428">
        <w:rPr>
          <w:rFonts w:ascii="IRBadr" w:hAnsi="IRBadr" w:cs="IRBadr" w:hint="cs"/>
          <w:sz w:val="28"/>
          <w:szCs w:val="28"/>
          <w:rtl/>
          <w:lang w:bidi="fa-IR"/>
        </w:rPr>
        <w:t xml:space="preserve"> مقدمیت داشته باشند چراکه مقدمیت امر ثابتی نیست.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204428"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از منظری دیگر نقش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04428">
        <w:rPr>
          <w:rFonts w:ascii="IRBadr" w:hAnsi="IRBadr" w:cs="IRBadr" w:hint="cs"/>
          <w:sz w:val="28"/>
          <w:szCs w:val="28"/>
          <w:rtl/>
          <w:lang w:bidi="fa-IR"/>
        </w:rPr>
        <w:t xml:space="preserve"> نقش ملموسی نبوده که امروزه آن جایگاه بارز گشته است.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204428">
        <w:rPr>
          <w:rFonts w:ascii="IRBadr" w:hAnsi="IRBadr" w:cs="IRBadr" w:hint="cs"/>
          <w:sz w:val="28"/>
          <w:szCs w:val="28"/>
          <w:rtl/>
          <w:lang w:bidi="fa-IR"/>
        </w:rPr>
        <w:t xml:space="preserve"> یکی از رازهای اجتهاد دامنه گسترده و قلمروهای جدید آن است.</w:t>
      </w:r>
    </w:p>
    <w:p w:rsidR="00204428" w:rsidRDefault="00204428" w:rsidP="004831D6">
      <w:pPr>
        <w:pStyle w:val="Heading1"/>
        <w:rPr>
          <w:rtl/>
        </w:rPr>
      </w:pPr>
      <w:bookmarkStart w:id="4" w:name="_Toc432101192"/>
      <w:r>
        <w:rPr>
          <w:rFonts w:hint="cs"/>
          <w:rtl/>
        </w:rPr>
        <w:t>عکس صورت فوق</w:t>
      </w:r>
      <w:bookmarkEnd w:id="4"/>
    </w:p>
    <w:p w:rsidR="00204428" w:rsidRDefault="00204428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عکس صورت دوم نیز مفروض است چراکه ممکن است دانشی جزء مقدمات اجتهاد باشد،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اثر پیشرفت علم آن مقدمیت زائل شده است همانند مقدمات عملی که بالفعل نیز در قبال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مصداق وجود دارد.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گرچه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مقام مثال قطعی و روشنی در ذهن ندارم.</w:t>
      </w:r>
    </w:p>
    <w:p w:rsidR="00360D81" w:rsidRDefault="00360D81" w:rsidP="004831D6">
      <w:pPr>
        <w:pStyle w:val="Heading2"/>
        <w:rPr>
          <w:rtl/>
        </w:rPr>
      </w:pPr>
      <w:bookmarkStart w:id="5" w:name="_Toc432101193"/>
      <w:r>
        <w:rPr>
          <w:rFonts w:hint="cs"/>
          <w:rtl/>
        </w:rPr>
        <w:t>رابطه اجتهاد با علوم از منظری دیگر</w:t>
      </w:r>
      <w:bookmarkEnd w:id="5"/>
    </w:p>
    <w:p w:rsidR="00204428" w:rsidRDefault="0061311D" w:rsidP="004831D6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204428">
        <w:rPr>
          <w:rFonts w:ascii="IRBadr" w:hAnsi="IRBadr" w:cs="IRBadr" w:hint="cs"/>
          <w:sz w:val="28"/>
          <w:szCs w:val="28"/>
          <w:rtl/>
          <w:lang w:bidi="fa-IR"/>
        </w:rPr>
        <w:t xml:space="preserve"> پس از پایان رسیدن اصل بحث نکاتی تکمیلی ذکر شد که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204428">
        <w:rPr>
          <w:rFonts w:ascii="IRBadr" w:hAnsi="IRBadr" w:cs="IRBadr" w:hint="cs"/>
          <w:sz w:val="28"/>
          <w:szCs w:val="28"/>
          <w:rtl/>
          <w:lang w:bidi="fa-IR"/>
        </w:rPr>
        <w:t xml:space="preserve"> مقدمه هفتمی افزود که؛</w:t>
      </w:r>
    </w:p>
    <w:p w:rsidR="00204428" w:rsidRDefault="00204428" w:rsidP="004831D6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فراتر از بحث توقف بر علومی روابط اجتهاد و فقه با علوم دیگر از منظر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کلان‌تری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قابل‌طرح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مقدمات اجتهاد است،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فراتر از رابطه مقدمیت علمیه و نقش در اجتهاد که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گرفت.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مبحث ششم زاویه دید،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تأث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علوم بر روند استنباطی بود.</w:t>
      </w:r>
      <w:r w:rsidR="00360D81">
        <w:rPr>
          <w:rFonts w:ascii="IRBadr" w:hAnsi="IRBadr" w:cs="IRBadr" w:hint="cs"/>
          <w:sz w:val="28"/>
          <w:szCs w:val="28"/>
          <w:rtl/>
          <w:lang w:bidi="fa-IR"/>
        </w:rPr>
        <w:t xml:space="preserve"> این سؤال تا حدودی در جلد اول فقه التربیة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 w:rsidR="00360D81">
        <w:rPr>
          <w:rFonts w:ascii="IRBadr" w:hAnsi="IRBadr" w:cs="IRBadr" w:hint="cs"/>
          <w:sz w:val="28"/>
          <w:szCs w:val="28"/>
          <w:rtl/>
          <w:lang w:bidi="fa-IR"/>
        </w:rPr>
        <w:t xml:space="preserve"> است لذا ما چندان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درصدد</w:t>
      </w:r>
      <w:r w:rsidR="00360D81">
        <w:rPr>
          <w:rFonts w:ascii="IRBadr" w:hAnsi="IRBadr" w:cs="IRBadr" w:hint="cs"/>
          <w:sz w:val="28"/>
          <w:szCs w:val="28"/>
          <w:rtl/>
          <w:lang w:bidi="fa-IR"/>
        </w:rPr>
        <w:t xml:space="preserve"> تشریح بحث نیستیم.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 w:rsidR="00360D81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بحث از مقدمیت علمیه نیست بلکه سخن در رابطه این علوم است.</w:t>
      </w:r>
    </w:p>
    <w:p w:rsidR="00360D81" w:rsidRDefault="00360D81" w:rsidP="004831D6">
      <w:pPr>
        <w:pStyle w:val="Heading2"/>
        <w:rPr>
          <w:rtl/>
        </w:rPr>
      </w:pPr>
      <w:bookmarkStart w:id="6" w:name="_Toc432101194"/>
      <w:r>
        <w:rPr>
          <w:rFonts w:hint="cs"/>
          <w:rtl/>
        </w:rPr>
        <w:lastRenderedPageBreak/>
        <w:t>نکات در این مقام</w:t>
      </w:r>
      <w:bookmarkEnd w:id="6"/>
    </w:p>
    <w:p w:rsidR="00360D81" w:rsidRDefault="00360D81" w:rsidP="004831D6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چند نکته وجود دارد؛</w:t>
      </w:r>
    </w:p>
    <w:p w:rsidR="00360D81" w:rsidRDefault="00360D81" w:rsidP="004831D6">
      <w:pPr>
        <w:pStyle w:val="Heading2"/>
        <w:rPr>
          <w:rFonts w:hint="cs"/>
          <w:rtl/>
        </w:rPr>
      </w:pPr>
      <w:bookmarkStart w:id="7" w:name="_Toc432101195"/>
      <w:r>
        <w:rPr>
          <w:rFonts w:hint="cs"/>
          <w:rtl/>
        </w:rPr>
        <w:t>نکته اول</w:t>
      </w:r>
      <w:bookmarkEnd w:id="7"/>
    </w:p>
    <w:p w:rsidR="00360D81" w:rsidRDefault="00360D81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مراد از رابطه ترتب و تقدم علمی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 بلکه مراد رابطه متقابل است.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حیث اینکه چه اثری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ی‌گذارد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چه تأثیری را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ی‌پذیرد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60D81" w:rsidRDefault="00360D81" w:rsidP="004831D6">
      <w:pPr>
        <w:pStyle w:val="Heading2"/>
        <w:rPr>
          <w:rFonts w:hint="cs"/>
          <w:rtl/>
        </w:rPr>
      </w:pPr>
      <w:bookmarkStart w:id="8" w:name="_Toc432101196"/>
      <w:r>
        <w:rPr>
          <w:rFonts w:hint="cs"/>
          <w:rtl/>
        </w:rPr>
        <w:t>نکته دوم</w:t>
      </w:r>
      <w:bookmarkEnd w:id="8"/>
    </w:p>
    <w:p w:rsidR="00360D81" w:rsidRDefault="00360D81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عمده تأثیری که فقه از سایر علوم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ی‌پذیرفت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مقدمه سابق از حیث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روش‌شناسی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اما حقیقتاً عمده تأثیر در موضوع است که این نوع از تأثیر دارای چند حالت است.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نوع آن این است که علم موضوع مطرحی را مورد کاوش قرار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علم نقش موضوع سازی را ایفاء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مواردی نیز تنظیمات جدیدی را در قبال آن علم ایجاد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روند تولید ابواب را به خود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60D81" w:rsidRDefault="00360D81" w:rsidP="004831D6">
      <w:pPr>
        <w:pStyle w:val="Heading2"/>
        <w:rPr>
          <w:rtl/>
        </w:rPr>
      </w:pPr>
      <w:bookmarkStart w:id="9" w:name="_Toc432101197"/>
      <w:r>
        <w:rPr>
          <w:rFonts w:hint="cs"/>
          <w:rtl/>
        </w:rPr>
        <w:t>تأثیرات فقه بر سایر علوم</w:t>
      </w:r>
      <w:bookmarkEnd w:id="9"/>
    </w:p>
    <w:p w:rsidR="00360D81" w:rsidRDefault="00360D81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فقه نیز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تأثیرات زیادی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علوم انسانی و اجتماعی داشته باشد که در فلسفه تربیت از آن </w:t>
      </w:r>
      <w:r w:rsidR="0061311D">
        <w:rPr>
          <w:rFonts w:ascii="IRBadr" w:hAnsi="IRBadr" w:cs="IRBadr"/>
          <w:sz w:val="28"/>
          <w:szCs w:val="28"/>
          <w:rtl/>
          <w:lang w:bidi="fa-IR"/>
        </w:rPr>
        <w:t>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نموده‌ا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یم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مبتنی بر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قبیل است که فقه مشتمل بر مصالح و مفاسد است و این امور در علوم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جایگاه خاص خود را دارد.</w:t>
      </w:r>
    </w:p>
    <w:p w:rsidR="00360D81" w:rsidRDefault="00360D81" w:rsidP="004831D6">
      <w:pPr>
        <w:pStyle w:val="Heading2"/>
        <w:rPr>
          <w:rtl/>
        </w:rPr>
      </w:pPr>
      <w:bookmarkStart w:id="10" w:name="_Toc432101198"/>
      <w:r>
        <w:rPr>
          <w:rFonts w:hint="cs"/>
          <w:rtl/>
        </w:rPr>
        <w:t>مقدمات عملی و خارجی اجتهاد</w:t>
      </w:r>
      <w:bookmarkEnd w:id="10"/>
    </w:p>
    <w:p w:rsidR="00432F80" w:rsidRDefault="00360D81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مقدمه هشتمی که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افزود و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بیشتری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قرارداد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مقدمات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عملی و خارجی اجتهاد است.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وقتی فقه واجب یا مستحب شد برای آن مقدمات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خارجی‌ای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باشد که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باب مقدمه دارای وجوب یا استحباب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مقدمات نقش ابزارها و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فناور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قدیم و جدید در اجتهاد است.</w:t>
      </w:r>
    </w:p>
    <w:p w:rsidR="00432F80" w:rsidRDefault="00432F80" w:rsidP="004831D6">
      <w:pPr>
        <w:pStyle w:val="Heading2"/>
        <w:rPr>
          <w:rtl/>
        </w:rPr>
      </w:pPr>
      <w:bookmarkStart w:id="11" w:name="_Toc432101199"/>
      <w:r>
        <w:rPr>
          <w:rFonts w:hint="cs"/>
          <w:rtl/>
        </w:rPr>
        <w:lastRenderedPageBreak/>
        <w:t>جایگاه ابزار امروز و گذشته در باب اجتهاد</w:t>
      </w:r>
      <w:bookmarkEnd w:id="11"/>
    </w:p>
    <w:p w:rsidR="00360D81" w:rsidRDefault="0061311D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درگذشته</w:t>
      </w:r>
      <w:r w:rsidR="00360D81">
        <w:rPr>
          <w:rFonts w:ascii="IRBadr" w:hAnsi="IRBadr" w:cs="IRBadr" w:hint="cs"/>
          <w:sz w:val="28"/>
          <w:szCs w:val="28"/>
          <w:rtl/>
          <w:lang w:bidi="fa-IR"/>
        </w:rPr>
        <w:t xml:space="preserve"> نوشتن مقدمات عملی اجتهاد بود که به سمت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فناور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 w:rsidR="00360D81">
        <w:rPr>
          <w:rFonts w:ascii="IRBadr" w:hAnsi="IRBadr" w:cs="IRBadr" w:hint="cs"/>
          <w:sz w:val="28"/>
          <w:szCs w:val="28"/>
          <w:rtl/>
          <w:lang w:bidi="fa-IR"/>
        </w:rPr>
        <w:t xml:space="preserve"> نو حرکت خواهد کرد.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ابزارها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32F80">
        <w:rPr>
          <w:rFonts w:ascii="IRBadr" w:hAnsi="IRBadr" w:cs="IRBadr" w:hint="cs"/>
          <w:sz w:val="28"/>
          <w:szCs w:val="28"/>
          <w:rtl/>
          <w:lang w:bidi="fa-IR"/>
        </w:rPr>
        <w:t xml:space="preserve"> امروزی در </w:t>
      </w:r>
      <w:r>
        <w:rPr>
          <w:rFonts w:ascii="IRBadr" w:hAnsi="IRBadr" w:cs="IRBadr"/>
          <w:sz w:val="28"/>
          <w:szCs w:val="28"/>
          <w:rtl/>
          <w:lang w:bidi="fa-IR"/>
        </w:rPr>
        <w:t>شرا</w:t>
      </w:r>
      <w:r>
        <w:rPr>
          <w:rFonts w:ascii="IRBadr" w:hAnsi="IRBadr" w:cs="IRBadr" w:hint="cs"/>
          <w:sz w:val="28"/>
          <w:szCs w:val="28"/>
          <w:rtl/>
          <w:lang w:bidi="fa-IR"/>
        </w:rPr>
        <w:t>یطی</w:t>
      </w:r>
      <w:r w:rsidR="00432F80">
        <w:rPr>
          <w:rFonts w:ascii="IRBadr" w:hAnsi="IRBadr" w:cs="IRBadr" w:hint="cs"/>
          <w:sz w:val="28"/>
          <w:szCs w:val="28"/>
          <w:rtl/>
          <w:lang w:bidi="fa-IR"/>
        </w:rPr>
        <w:t xml:space="preserve"> مقدمات تکمیلی است و تأثیری در سرعت دادن به اجتهاد دارد که در این صورت،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دارا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32F80">
        <w:rPr>
          <w:rFonts w:ascii="IRBadr" w:hAnsi="IRBadr" w:cs="IRBadr" w:hint="cs"/>
          <w:sz w:val="28"/>
          <w:szCs w:val="28"/>
          <w:rtl/>
          <w:lang w:bidi="fa-IR"/>
        </w:rPr>
        <w:t xml:space="preserve"> رجحان است.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432F80"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این ابزار موجب بالا رفتن دقت در عمل اجتهاد شود و موجب کشف نقاط مجهولی گردد که در این صورت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432F80">
        <w:rPr>
          <w:rFonts w:ascii="IRBadr" w:hAnsi="IRBadr" w:cs="IRBadr" w:hint="cs"/>
          <w:sz w:val="28"/>
          <w:szCs w:val="28"/>
          <w:rtl/>
          <w:lang w:bidi="fa-IR"/>
        </w:rPr>
        <w:t xml:space="preserve"> جزء مبادی اجتهاد قرار گیرد.</w:t>
      </w:r>
    </w:p>
    <w:p w:rsidR="00432F80" w:rsidRDefault="00432F80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مثلاً برای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جمع‌آوری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منابع سؤالی فقهی که مظان آن مشخص نیست،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 که از فضای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نرم‌افزاری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امروزی استفاده نمود که دقت اجتهاد او بالاتر رود یا فرد به منابع و اخبار بیشتری واقف شود.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ممکن است به حدی برسد که جزء مقدمات اجتهاد محسوب شود و واجب گردد.</w:t>
      </w:r>
    </w:p>
    <w:p w:rsidR="00432F80" w:rsidRDefault="00432F80" w:rsidP="004831D6">
      <w:pPr>
        <w:pStyle w:val="Heading2"/>
        <w:rPr>
          <w:rtl/>
        </w:rPr>
      </w:pPr>
      <w:bookmarkStart w:id="12" w:name="_Toc432101200"/>
      <w:r>
        <w:rPr>
          <w:rFonts w:hint="cs"/>
          <w:rtl/>
        </w:rPr>
        <w:t>جایگاه تحلیلی ابزار امروزی</w:t>
      </w:r>
      <w:bookmarkEnd w:id="12"/>
    </w:p>
    <w:p w:rsidR="00432F80" w:rsidRDefault="00432F80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ابزارهای موجود گاهی از این حالت نیز پا را فراتر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ی‌گذارد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نقش او گاهی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تسهیل‌کننده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موجب افزایش دقت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مواردی نیز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روشی اجتهادی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تحلیل محتوا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نقش بسیار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وسیع‌تری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پیدا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32F80" w:rsidRDefault="00432F80" w:rsidP="004831D6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اگر فراتر از حالت ابزاری در این مقام گردد،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جزء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مقدمات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اجتهاد محسوب خواهد شد.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معمولاً این ابزار در دنیا در خدمت ابزارهای نظامی،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امن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تجاری،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اقتصاد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پس از ترقی و رشد بیشتری در مواطن دیگر علوم بشری </w:t>
      </w:r>
      <w:r w:rsidR="0061311D">
        <w:rPr>
          <w:rFonts w:ascii="IRBadr" w:hAnsi="IRBadr" w:cs="IRBadr" w:hint="cs"/>
          <w:sz w:val="28"/>
          <w:szCs w:val="28"/>
          <w:rtl/>
          <w:lang w:bidi="fa-IR"/>
        </w:rPr>
        <w:t>مورداستفاده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نیز در جای خود جای تعجب دارد.</w:t>
      </w:r>
    </w:p>
    <w:p w:rsidR="00432F80" w:rsidRDefault="00432F80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مقدمات اجتهاد عملی فراتر از این امور 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خواهد بود و طبق آیه نفر حتی هجرت را نیز دربر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ی‌گیرد.</w:t>
      </w:r>
    </w:p>
    <w:p w:rsidR="004831D6" w:rsidRDefault="004831D6" w:rsidP="004831D6">
      <w:pPr>
        <w:pStyle w:val="Heading2"/>
        <w:rPr>
          <w:rFonts w:hint="cs"/>
          <w:rtl/>
        </w:rPr>
      </w:pPr>
      <w:bookmarkStart w:id="13" w:name="_Toc432101201"/>
      <w:r>
        <w:rPr>
          <w:rFonts w:hint="cs"/>
          <w:rtl/>
        </w:rPr>
        <w:t>روانشناسی فقیه در اجتهاد</w:t>
      </w:r>
      <w:bookmarkEnd w:id="13"/>
    </w:p>
    <w:p w:rsidR="004831D6" w:rsidRDefault="0061311D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 نکات دیگر </w:t>
      </w:r>
      <w:r>
        <w:rPr>
          <w:rFonts w:ascii="IRBadr" w:hAnsi="IRBadr" w:cs="IRBadr" w:hint="cs"/>
          <w:sz w:val="28"/>
          <w:szCs w:val="28"/>
          <w:rtl/>
          <w:lang w:bidi="fa-IR"/>
        </w:rPr>
        <w:t>روان‌شناسی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 فقیه در قبال اجتهاد است که باید </w:t>
      </w:r>
      <w:r>
        <w:rPr>
          <w:rFonts w:ascii="IRBadr" w:hAnsi="IRBadr" w:cs="IRBadr" w:hint="cs"/>
          <w:sz w:val="28"/>
          <w:szCs w:val="28"/>
          <w:rtl/>
          <w:lang w:bidi="fa-IR"/>
        </w:rPr>
        <w:t>موردتوجه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گیرد.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 طرفی دیگر احوال اجتماعی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ی‌تواند در اجتهاد و استنباط فقیه مؤثر باشد.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 این امور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ی‌تواند در </w:t>
      </w:r>
      <w:r>
        <w:rPr>
          <w:rFonts w:ascii="IRBadr" w:hAnsi="IRBadr" w:cs="IRBadr" w:hint="cs"/>
          <w:sz w:val="28"/>
          <w:szCs w:val="28"/>
          <w:rtl/>
          <w:lang w:bidi="fa-IR"/>
        </w:rPr>
        <w:t>شکل‌گیری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 اجتهاد شخص مؤثر باشد.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 که در داستان مرحوم علامه </w:t>
      </w:r>
      <w:r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 است که چاه را پر کردند تا باز هم به همان امر حکم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>ی‌کنند یا خیر؟</w:t>
      </w:r>
    </w:p>
    <w:p w:rsidR="004831D6" w:rsidRDefault="0061311D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بنابراین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 اهواء و اغراض شخصی </w:t>
      </w:r>
      <w:r w:rsidR="004831D6">
        <w:rPr>
          <w:rFonts w:ascii="IRBadr" w:hAnsi="IRBadr" w:cs="IRBadr"/>
          <w:sz w:val="28"/>
          <w:szCs w:val="28"/>
          <w:rtl/>
          <w:lang w:bidi="fa-IR"/>
        </w:rPr>
        <w:t>م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ی‌توانند در حکم </w:t>
      </w:r>
      <w:r>
        <w:rPr>
          <w:rFonts w:ascii="IRBadr" w:hAnsi="IRBadr" w:cs="IRBadr" w:hint="cs"/>
          <w:sz w:val="28"/>
          <w:szCs w:val="28"/>
          <w:rtl/>
          <w:lang w:bidi="fa-IR"/>
        </w:rPr>
        <w:t>اثرگذار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 باشد که تٍأثیر آن </w:t>
      </w:r>
      <w:r>
        <w:rPr>
          <w:rFonts w:ascii="IRBadr" w:hAnsi="IRBadr" w:cs="IRBadr" w:hint="cs"/>
          <w:sz w:val="28"/>
          <w:szCs w:val="28"/>
          <w:rtl/>
          <w:lang w:bidi="fa-IR"/>
        </w:rPr>
        <w:t>قابل‌انکار</w:t>
      </w:r>
      <w:r w:rsidR="004831D6"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</w:p>
    <w:p w:rsidR="00432F80" w:rsidRDefault="00432F80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32F80" w:rsidRDefault="00432F80" w:rsidP="004831D6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</w:p>
    <w:p w:rsidR="00360D81" w:rsidRDefault="00360D81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04428" w:rsidRPr="0082348B" w:rsidRDefault="00204428" w:rsidP="004831D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204428" w:rsidRPr="0082348B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0A" w:rsidRDefault="009D240A" w:rsidP="000D5800">
      <w:pPr>
        <w:spacing w:after="0" w:line="240" w:lineRule="auto"/>
      </w:pPr>
      <w:r>
        <w:separator/>
      </w:r>
    </w:p>
  </w:endnote>
  <w:endnote w:type="continuationSeparator" w:id="0">
    <w:p w:rsidR="009D240A" w:rsidRDefault="009D240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D6" w:rsidRDefault="00483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D6" w:rsidRDefault="004831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D6" w:rsidRDefault="00483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0A" w:rsidRDefault="009D240A" w:rsidP="000D5800">
      <w:pPr>
        <w:spacing w:after="0" w:line="240" w:lineRule="auto"/>
      </w:pPr>
      <w:r>
        <w:separator/>
      </w:r>
    </w:p>
  </w:footnote>
  <w:footnote w:type="continuationSeparator" w:id="0">
    <w:p w:rsidR="009D240A" w:rsidRDefault="009D240A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D6" w:rsidRDefault="00483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82348B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BD83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2348B">
      <w:rPr>
        <w:rFonts w:ascii="IranNastaliq" w:hAnsi="IranNastaliq" w:cs="IranNastaliq" w:hint="cs"/>
        <w:sz w:val="40"/>
        <w:szCs w:val="40"/>
        <w:rtl/>
        <w:lang w:bidi="fa-IR"/>
      </w:rPr>
      <w:t>3782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D6" w:rsidRDefault="00483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27804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04428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0D81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32F80"/>
    <w:rsid w:val="0044591E"/>
    <w:rsid w:val="004651D2"/>
    <w:rsid w:val="00465D26"/>
    <w:rsid w:val="004679F8"/>
    <w:rsid w:val="004831D6"/>
    <w:rsid w:val="004B337F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11D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2348B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D240A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2A7F-52D9-4765-8513-E184F9A5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213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26</cp:revision>
  <dcterms:created xsi:type="dcterms:W3CDTF">2014-11-18T06:47:00Z</dcterms:created>
  <dcterms:modified xsi:type="dcterms:W3CDTF">2015-10-08T17:32:00Z</dcterms:modified>
</cp:coreProperties>
</file>