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5" w:rsidRDefault="00E95FCE" w:rsidP="00D86FA5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00FC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F00FC7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D86FA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86FA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86FA5">
        <w:rPr>
          <w:rFonts w:ascii="IRBadr" w:hAnsi="IRBadr" w:cs="IRBadr"/>
          <w:sz w:val="28"/>
          <w:szCs w:val="28"/>
          <w:lang w:bidi="fa-IR"/>
        </w:rPr>
        <w:instrText>TOC</w:instrText>
      </w:r>
      <w:r w:rsidR="00D86FA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D86FA5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D86FA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86FA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86FA5" w:rsidRDefault="00E55440" w:rsidP="00D86FA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1" w:history="1">
        <w:r w:rsidR="00D86FA5" w:rsidRPr="00D45198">
          <w:rPr>
            <w:rStyle w:val="Hyperlink"/>
            <w:rFonts w:hint="eastAsia"/>
            <w:noProof/>
            <w:rtl/>
          </w:rPr>
          <w:t>تأث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رات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علوم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_Toc432143061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2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2" w:history="1">
        <w:r w:rsidR="00D86FA5" w:rsidRPr="00D45198">
          <w:rPr>
            <w:rStyle w:val="Hyperlink"/>
            <w:rFonts w:hint="eastAsia"/>
            <w:noProof/>
            <w:rtl/>
          </w:rPr>
          <w:t>مرور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بحث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سابق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_Toc432143062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2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3" w:history="1">
        <w:r w:rsidR="00D86FA5" w:rsidRPr="00D45198">
          <w:rPr>
            <w:rStyle w:val="Hyperlink"/>
            <w:rFonts w:hint="eastAsia"/>
            <w:noProof/>
            <w:rtl/>
          </w:rPr>
          <w:t>تأث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رات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علوم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بر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نگرش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صفات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افرد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_Toc432143063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2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4" w:history="1">
        <w:r w:rsidR="00D86FA5" w:rsidRPr="00D45198">
          <w:rPr>
            <w:rStyle w:val="Hyperlink"/>
            <w:rFonts w:hint="eastAsia"/>
            <w:noProof/>
            <w:rtl/>
          </w:rPr>
          <w:t>تفاوت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ابعاد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آثار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_Toc432143064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2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5" w:history="1">
        <w:r w:rsidR="00D86FA5" w:rsidRPr="00D45198">
          <w:rPr>
            <w:rStyle w:val="Hyperlink"/>
            <w:rFonts w:hint="eastAsia"/>
            <w:noProof/>
            <w:rtl/>
          </w:rPr>
          <w:t>آثار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وقا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ع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اجتماع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_Toc432143065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2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6" w:history="1">
        <w:r w:rsidR="00D86FA5" w:rsidRPr="00D45198">
          <w:rPr>
            <w:rStyle w:val="Hyperlink"/>
            <w:rFonts w:hint="eastAsia"/>
            <w:noProof/>
            <w:rtl/>
          </w:rPr>
          <w:t>تأث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علوم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بر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جاد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وظا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ف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_Toc432143066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3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43067" w:history="1">
        <w:r w:rsidR="00E95FCE">
          <w:rPr>
            <w:rStyle w:val="Hyperlink"/>
            <w:rFonts w:hint="eastAsia"/>
            <w:noProof/>
            <w:rtl/>
          </w:rPr>
          <w:t>جمع‌بندی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_Toc432143067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3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3068" w:history="1">
        <w:r w:rsidR="00D86FA5" w:rsidRPr="00D45198">
          <w:rPr>
            <w:rStyle w:val="Hyperlink"/>
            <w:rFonts w:hint="eastAsia"/>
            <w:noProof/>
            <w:rtl/>
          </w:rPr>
          <w:t>تأث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زمان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مکان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بر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اجتهاد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_Toc432143068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3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3069" w:history="1">
        <w:r w:rsidR="00D86FA5" w:rsidRPr="00D45198">
          <w:rPr>
            <w:rStyle w:val="Hyperlink"/>
            <w:rFonts w:hint="eastAsia"/>
            <w:noProof/>
            <w:rtl/>
          </w:rPr>
          <w:t>مراد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از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زمان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مکان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در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مقام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_Toc432143069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4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3070" w:history="1">
        <w:r w:rsidR="00D86FA5" w:rsidRPr="00D45198">
          <w:rPr>
            <w:rStyle w:val="Hyperlink"/>
            <w:rFonts w:hint="eastAsia"/>
            <w:noProof/>
            <w:rtl/>
          </w:rPr>
          <w:t>مخرجات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از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بحث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_Toc432143070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4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3071" w:history="1">
        <w:r w:rsidR="00D86FA5" w:rsidRPr="00D45198">
          <w:rPr>
            <w:rStyle w:val="Hyperlink"/>
            <w:rFonts w:hint="eastAsia"/>
            <w:noProof/>
            <w:rtl/>
          </w:rPr>
          <w:t>نقش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ن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دو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در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قبال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متعلق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موضوع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احکام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_Toc432143071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4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E55440" w:rsidP="00D86FA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43072" w:history="1">
        <w:r w:rsidR="00D86FA5" w:rsidRPr="00D45198">
          <w:rPr>
            <w:rStyle w:val="Hyperlink"/>
            <w:rFonts w:hint="eastAsia"/>
            <w:noProof/>
            <w:rtl/>
          </w:rPr>
          <w:t>تأث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در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قبال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نسخ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و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جعل</w:t>
        </w:r>
        <w:r w:rsidR="00D86FA5" w:rsidRPr="00D45198">
          <w:rPr>
            <w:rStyle w:val="Hyperlink"/>
            <w:noProof/>
            <w:rtl/>
          </w:rPr>
          <w:t xml:space="preserve"> </w:t>
        </w:r>
        <w:r w:rsidR="00D86FA5" w:rsidRPr="00D45198">
          <w:rPr>
            <w:rStyle w:val="Hyperlink"/>
            <w:rFonts w:hint="eastAsia"/>
            <w:noProof/>
            <w:rtl/>
          </w:rPr>
          <w:t>شرا</w:t>
        </w:r>
        <w:r w:rsidR="00D86FA5" w:rsidRPr="00D45198">
          <w:rPr>
            <w:rStyle w:val="Hyperlink"/>
            <w:rFonts w:hint="cs"/>
            <w:noProof/>
            <w:rtl/>
          </w:rPr>
          <w:t>ی</w:t>
        </w:r>
        <w:r w:rsidR="00D86FA5" w:rsidRPr="00D45198">
          <w:rPr>
            <w:rStyle w:val="Hyperlink"/>
            <w:rFonts w:hint="eastAsia"/>
            <w:noProof/>
            <w:rtl/>
          </w:rPr>
          <w:t>ع</w:t>
        </w:r>
        <w:r w:rsidR="00D86FA5">
          <w:rPr>
            <w:noProof/>
            <w:webHidden/>
          </w:rPr>
          <w:tab/>
        </w:r>
        <w:r w:rsidR="00D86FA5">
          <w:rPr>
            <w:rStyle w:val="Hyperlink"/>
            <w:noProof/>
            <w:rtl/>
          </w:rPr>
          <w:fldChar w:fldCharType="begin"/>
        </w:r>
        <w:r w:rsidR="00D86FA5">
          <w:rPr>
            <w:noProof/>
            <w:webHidden/>
          </w:rPr>
          <w:instrText xml:space="preserve"> PAGEREF _Toc432143072 \h </w:instrText>
        </w:r>
        <w:r w:rsidR="00D86FA5">
          <w:rPr>
            <w:rStyle w:val="Hyperlink"/>
            <w:noProof/>
            <w:rtl/>
          </w:rPr>
        </w:r>
        <w:r w:rsidR="00D86FA5">
          <w:rPr>
            <w:rStyle w:val="Hyperlink"/>
            <w:noProof/>
            <w:rtl/>
          </w:rPr>
          <w:fldChar w:fldCharType="separate"/>
        </w:r>
        <w:r w:rsidR="00D86FA5">
          <w:rPr>
            <w:noProof/>
            <w:webHidden/>
          </w:rPr>
          <w:t>5</w:t>
        </w:r>
        <w:r w:rsidR="00D86FA5">
          <w:rPr>
            <w:rStyle w:val="Hyperlink"/>
            <w:noProof/>
            <w:rtl/>
          </w:rPr>
          <w:fldChar w:fldCharType="end"/>
        </w:r>
      </w:hyperlink>
    </w:p>
    <w:p w:rsidR="00D86FA5" w:rsidRDefault="00D86FA5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86FA5" w:rsidRDefault="00D86FA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B606D" w:rsidRDefault="002B606D" w:rsidP="00D86FA5">
      <w:pPr>
        <w:pStyle w:val="Heading1"/>
        <w:rPr>
          <w:rtl/>
        </w:rPr>
      </w:pPr>
      <w:bookmarkStart w:id="1" w:name="_Toc432143061"/>
      <w:r>
        <w:rPr>
          <w:rFonts w:hint="cs"/>
          <w:rtl/>
        </w:rPr>
        <w:lastRenderedPageBreak/>
        <w:t>تأثیرات علوم</w:t>
      </w:r>
      <w:bookmarkEnd w:id="1"/>
    </w:p>
    <w:p w:rsidR="002B606D" w:rsidRDefault="002B606D" w:rsidP="00D86FA5">
      <w:pPr>
        <w:pStyle w:val="Heading1"/>
        <w:rPr>
          <w:rtl/>
        </w:rPr>
      </w:pPr>
      <w:bookmarkStart w:id="2" w:name="_Toc432143062"/>
      <w:r>
        <w:rPr>
          <w:rFonts w:hint="cs"/>
          <w:rtl/>
        </w:rPr>
        <w:t>مرور بحث سابق</w:t>
      </w:r>
      <w:bookmarkEnd w:id="2"/>
    </w:p>
    <w:p w:rsidR="0045056C" w:rsidRDefault="0045056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مقدمه نهم و دهم در قبال تأثیرات مثبت و منفی احوالات و عوامل اجتماعی بحث شد.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مسأله دیگر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باقی‌مانده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دو مقدمه دیگر باید بدان پرداخته شود.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مقدمه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یازدهم اشاره به مطلبی است که در جای دیگر نیز بدان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اشاره‌شده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B606D" w:rsidRDefault="002B606D" w:rsidP="00D86FA5">
      <w:pPr>
        <w:pStyle w:val="Heading2"/>
        <w:rPr>
          <w:rtl/>
        </w:rPr>
      </w:pPr>
      <w:bookmarkStart w:id="3" w:name="_Toc432143063"/>
      <w:r>
        <w:rPr>
          <w:rFonts w:hint="cs"/>
          <w:rtl/>
        </w:rPr>
        <w:t xml:space="preserve">تأثیرات علوم بر نگرش و صفات </w:t>
      </w:r>
      <w:bookmarkEnd w:id="3"/>
      <w:r w:rsidR="00E95FCE">
        <w:rPr>
          <w:rFonts w:hint="eastAsia"/>
          <w:rtl/>
        </w:rPr>
        <w:t>افراد</w:t>
      </w:r>
    </w:p>
    <w:p w:rsidR="0045056C" w:rsidRDefault="00E95FCE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که روحیات و صفات و عوامل اجتماعی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ذی اثر در حوزه دانش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ارتباط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با مقولات علمی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جان بینی، نگرش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>و روحیات خاصی در فرد ایجاد کند.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این زمینه در کلمات امثال غزالی در </w:t>
      </w:r>
      <w:r>
        <w:rPr>
          <w:rFonts w:ascii="IRBadr" w:hAnsi="IRBadr" w:cs="IRBadr" w:hint="cs"/>
          <w:sz w:val="28"/>
          <w:szCs w:val="28"/>
          <w:rtl/>
          <w:lang w:bidi="fa-IR"/>
        </w:rPr>
        <w:t>احیاءالعلوم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این بیان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/>
          <w:sz w:val="28"/>
          <w:szCs w:val="28"/>
          <w:rtl/>
          <w:lang w:bidi="fa-IR"/>
        </w:rPr>
        <w:t>بحث‌ها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جدید دنیای امروز هرچند فحص خاصی نداشتم ولی به سر نخ خاصی نرسیدم.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روان‌شناسی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علم وجود داشت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به‌عکس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ی‌پرداخت</w:t>
      </w:r>
      <w:r w:rsidR="0045056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B606D" w:rsidRDefault="002B606D" w:rsidP="00D86FA5">
      <w:pPr>
        <w:pStyle w:val="Heading2"/>
        <w:rPr>
          <w:rtl/>
        </w:rPr>
      </w:pPr>
      <w:bookmarkStart w:id="4" w:name="_Toc432143064"/>
      <w:r>
        <w:rPr>
          <w:rFonts w:hint="cs"/>
          <w:rtl/>
        </w:rPr>
        <w:t>تفاوت و ابعاد آثار</w:t>
      </w:r>
      <w:bookmarkEnd w:id="4"/>
    </w:p>
    <w:p w:rsidR="002B606D" w:rsidRDefault="0045056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حالت چه در علوم انسانی و چه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علوم امروزی وجود دارد که هر عل</w:t>
      </w:r>
      <w:r>
        <w:rPr>
          <w:rFonts w:ascii="IRBadr" w:hAnsi="IRBadr" w:cs="IRBadr" w:hint="cs"/>
          <w:sz w:val="28"/>
          <w:szCs w:val="28"/>
          <w:rtl/>
          <w:lang w:bidi="fa-IR"/>
        </w:rPr>
        <w:t>م تأثیرات خاص خود را بر صاحبان آن دارد که اثرات آن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در حوزه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جهان‌بینی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و نگرش فرد متفاوت خواهد بود.</w:t>
      </w:r>
    </w:p>
    <w:p w:rsidR="0045056C" w:rsidRDefault="002B606D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میزان این تأثیرات تا چه حدودی است،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یازمند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تحقیق است؛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مشاهده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و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یژگی‌های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افراد همراه با علوم عقلی با نقلی متفاوت است و افراد دارای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حساس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متفاوتی هستند.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مطلب در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روان‌شناسی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حرف و مشاغل تا حدودی بحث شده است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کاملاً واضح است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به‌عنوان‌مثال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شخصیت قصاب متفاوت از شخصیت پزشک است،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بعید نیست گفته شود که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رشته‌ها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علمی نیز دارای این تفاوت هستند که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قابل‌قبول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B606D" w:rsidRDefault="002B606D" w:rsidP="00D86FA5">
      <w:pPr>
        <w:pStyle w:val="Heading2"/>
        <w:rPr>
          <w:rtl/>
        </w:rPr>
      </w:pPr>
      <w:bookmarkStart w:id="5" w:name="_Toc432143065"/>
      <w:r>
        <w:rPr>
          <w:rFonts w:hint="cs"/>
          <w:rtl/>
        </w:rPr>
        <w:t>آثار وقایع اجتماعی</w:t>
      </w:r>
      <w:bookmarkEnd w:id="5"/>
    </w:p>
    <w:p w:rsidR="002B606D" w:rsidRDefault="00E95FCE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موقع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اجتماعی نیز این حالات را ایجاد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مانند فردی که یتیم است یا حوادثی که در کودکی برای فرد اتفاق افتاده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2B606D">
        <w:rPr>
          <w:rFonts w:ascii="IRBadr" w:hAnsi="IRBadr" w:cs="IRBadr" w:hint="cs"/>
          <w:sz w:val="28"/>
          <w:szCs w:val="28"/>
          <w:rtl/>
          <w:lang w:bidi="fa-IR"/>
        </w:rPr>
        <w:t xml:space="preserve"> رفتارات و نگرش فرد تأثیراتی به دنبال خواهد داشت.</w:t>
      </w:r>
    </w:p>
    <w:p w:rsidR="002B606D" w:rsidRDefault="002B606D" w:rsidP="00D86FA5">
      <w:pPr>
        <w:pStyle w:val="Heading2"/>
        <w:rPr>
          <w:rtl/>
        </w:rPr>
      </w:pPr>
      <w:bookmarkStart w:id="6" w:name="_Toc432143066"/>
      <w:r>
        <w:rPr>
          <w:rFonts w:hint="cs"/>
          <w:rtl/>
        </w:rPr>
        <w:lastRenderedPageBreak/>
        <w:t>تأثیر علوم بر ایجاد وظایف</w:t>
      </w:r>
      <w:bookmarkEnd w:id="6"/>
    </w:p>
    <w:p w:rsidR="002B606D" w:rsidRDefault="002B606D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سؤال دوم در قبال این است که این تأثیرات،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وظایف فرد نیز ایجاد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ممارست بر علوم ادبی فرد را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به‌نوعی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خودپسندی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وا‌می‌دارد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او واجب خواهد بود که از این آسیب پرهیز کند.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اگر جامعیت فقیه اگر بتواند در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آثاری مؤثر باشد،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او ایجاد وظیفه کند.</w:t>
      </w:r>
    </w:p>
    <w:p w:rsidR="00FC1CBB" w:rsidRDefault="00E95FCE" w:rsidP="00D86FA5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FC1CBB" w:rsidRDefault="00FC1CBB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دو مبحث نیازمند و جای بسط بیشتری دارد و هر دو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اموری مسلم 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مقدمه اخیر تحلیل و تدقیق بیشتری را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ی‌طلبد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طول تاریخ مرجعیت،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نبوده که اعلمیت فقهی تنها مؤثر باشد و حداقل ده عنوان دیگر در ابواب مختلف در این زمینه مؤثر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C1CBB" w:rsidRDefault="00E95FCE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این‌طور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حاج‌آقا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مرتضی حائری از پدرشان حاج عبدالکریم نقل </w:t>
      </w:r>
      <w:r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E52DAC">
        <w:rPr>
          <w:rFonts w:ascii="IRBadr" w:hAnsi="IRBadr" w:cs="IRBadr" w:hint="cs"/>
          <w:sz w:val="28"/>
          <w:szCs w:val="28"/>
          <w:rtl/>
          <w:lang w:bidi="fa-IR"/>
        </w:rPr>
        <w:t>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میرزای </w:t>
      </w:r>
      <w:r>
        <w:rPr>
          <w:rFonts w:ascii="IRBadr" w:hAnsi="IRBadr" w:cs="IRBadr"/>
          <w:sz w:val="28"/>
          <w:szCs w:val="28"/>
          <w:rtl/>
          <w:lang w:bidi="fa-IR"/>
        </w:rPr>
        <w:t>ش</w:t>
      </w:r>
      <w:r>
        <w:rPr>
          <w:rFonts w:ascii="IRBadr" w:hAnsi="IRBadr" w:cs="IRBadr" w:hint="cs"/>
          <w:sz w:val="28"/>
          <w:szCs w:val="28"/>
          <w:rtl/>
          <w:lang w:bidi="fa-IR"/>
        </w:rPr>
        <w:t>یرازی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بزرگ فرمودند اگر بین اعلمیت و اعقلیت اجتماعی تزاحمی حاصل 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اعقل</w:t>
      </w:r>
      <w:r w:rsidR="00FC1CBB">
        <w:rPr>
          <w:rFonts w:ascii="IRBadr" w:hAnsi="IRBadr" w:cs="IRBadr" w:hint="cs"/>
          <w:sz w:val="28"/>
          <w:szCs w:val="28"/>
          <w:rtl/>
          <w:lang w:bidi="fa-IR"/>
        </w:rPr>
        <w:t xml:space="preserve"> را مقدم بدارید.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طب</w:t>
      </w:r>
      <w:r>
        <w:rPr>
          <w:rFonts w:ascii="IRBadr" w:hAnsi="IRBadr" w:cs="IRBadr" w:hint="cs"/>
          <w:sz w:val="28"/>
          <w:szCs w:val="28"/>
          <w:rtl/>
          <w:lang w:bidi="fa-IR"/>
        </w:rPr>
        <w:t>یعت</w:t>
      </w:r>
      <w:r w:rsidR="009B4AEB">
        <w:rPr>
          <w:rFonts w:ascii="IRBadr" w:hAnsi="IRBadr" w:cs="IRBadr" w:hint="cs"/>
          <w:sz w:val="28"/>
          <w:szCs w:val="28"/>
          <w:rtl/>
          <w:lang w:bidi="fa-IR"/>
        </w:rPr>
        <w:t xml:space="preserve"> فقه،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طب</w:t>
      </w:r>
      <w:r>
        <w:rPr>
          <w:rFonts w:ascii="IRBadr" w:hAnsi="IRBadr" w:cs="IRBadr" w:hint="cs"/>
          <w:sz w:val="28"/>
          <w:szCs w:val="28"/>
          <w:rtl/>
          <w:lang w:bidi="fa-IR"/>
        </w:rPr>
        <w:t>یعت</w:t>
      </w:r>
      <w:r w:rsidR="009B4AEB">
        <w:rPr>
          <w:rFonts w:ascii="IRBadr" w:hAnsi="IRBadr" w:cs="IRBadr" w:hint="cs"/>
          <w:sz w:val="28"/>
          <w:szCs w:val="28"/>
          <w:rtl/>
          <w:lang w:bidi="fa-IR"/>
        </w:rPr>
        <w:t xml:space="preserve"> پر رابطه ایست مخصوصاً با نگاهی که ما در مقدمات ترسیم نمودیم.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9B4AEB">
        <w:rPr>
          <w:rFonts w:ascii="IRBadr" w:hAnsi="IRBadr" w:cs="IRBadr" w:hint="cs"/>
          <w:sz w:val="28"/>
          <w:szCs w:val="28"/>
          <w:rtl/>
          <w:lang w:bidi="fa-IR"/>
        </w:rPr>
        <w:t xml:space="preserve"> این مسأله نیازمند مداقه بیشتری است.</w:t>
      </w:r>
    </w:p>
    <w:p w:rsidR="00E52DAC" w:rsidRDefault="00E52DAC" w:rsidP="00D86FA5">
      <w:pPr>
        <w:pStyle w:val="Heading3"/>
        <w:rPr>
          <w:rtl/>
        </w:rPr>
      </w:pPr>
      <w:bookmarkStart w:id="7" w:name="_Toc432143068"/>
      <w:r>
        <w:rPr>
          <w:rFonts w:hint="cs"/>
          <w:rtl/>
        </w:rPr>
        <w:t>تأثیر زمان و مکان بر اجتهاد</w:t>
      </w:r>
      <w:bookmarkEnd w:id="7"/>
    </w:p>
    <w:p w:rsidR="009B4AEB" w:rsidRDefault="009B4AEB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مقدمه دوازدهم،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بحثی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تا حدی در عناوین قبلی وارد بود اما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ازآنجایی‌که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عصر ما و خصوصاً در کلام امام مورد تأیید بوده به آن مستقلاً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ی‌پردازیم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آن،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نقش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و مکان در قبال اجتهاد 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امری است که در اجتهاد شیعه وجود داشته و تحولات زمانی بر موضوعات تأثیر به خصوصی داشته 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E52DAC">
        <w:rPr>
          <w:rFonts w:ascii="IRBadr" w:hAnsi="IRBadr" w:cs="IRBadr" w:hint="cs"/>
          <w:sz w:val="28"/>
          <w:szCs w:val="28"/>
          <w:rtl/>
          <w:lang w:bidi="fa-IR"/>
        </w:rPr>
        <w:t xml:space="preserve"> بخش زیادی از فقه درگیر مسائل خارجی است.</w:t>
      </w:r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عصر ما طبعاً حضرت امام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ازآنجایی‌که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حکومت شدند،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لسان ایشان صادر شد و کمک نمود این بحث دامنه بیشتری را پیدا کند.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طرفی دیگر به دلیل مباحث روشنفکری است که در عصر ما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آمده که بخشی از کلام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بحث زمان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پرداخته‌شده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این امور کمک نمود که این بحث بیشتر جاافتادگی پیدا کند.</w:t>
      </w:r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ظاهراً چندین سال پیش همایشی تحت عنوان نقش زمان و مکان در اجتهاد با تأکید بر اندیشه امام بود که شامل مقالات و مصاحبات از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معتبر بوده که حاصل آن نزدیک به پانزده جلد کتاب شد که برخی از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مقالات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 xml:space="preserve"> آن واقعاً مثمر فائده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دنیای عرب نیز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جسته‌وگریخته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بدان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پرداخته‌شده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همه این امور باعث شد که این مقدمه به نحو مستقل بیان گردد.</w:t>
      </w:r>
    </w:p>
    <w:p w:rsidR="00E52DAC" w:rsidRDefault="00E52DAC" w:rsidP="00D86FA5">
      <w:pPr>
        <w:pStyle w:val="Heading3"/>
        <w:rPr>
          <w:rtl/>
        </w:rPr>
      </w:pPr>
      <w:bookmarkStart w:id="8" w:name="_Toc432143069"/>
      <w:r>
        <w:rPr>
          <w:rFonts w:hint="cs"/>
          <w:rtl/>
        </w:rPr>
        <w:t>مراد از زمان و مکان در این مقام</w:t>
      </w:r>
      <w:bookmarkEnd w:id="8"/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دیگر در این مقام،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نقش زمان و مکان در اجتهاد دارای دو معنا است؛</w:t>
      </w:r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منظور بحث فلسفی آن نیست،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شرایط و اقتضاءات یک مقطع تاریخی و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محدوده‌ای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جغراف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 در پیدایش و سیری که در قبال ادیان وجود داشت نیز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تأثیرگذار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و یکی از عوامل مؤثر در نسخ دینی و آمدن دین جدید این ام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به دین اسلام ختم گردید.</w:t>
      </w:r>
    </w:p>
    <w:p w:rsidR="006C2F17" w:rsidRDefault="006C2F17" w:rsidP="00D86FA5">
      <w:pPr>
        <w:pStyle w:val="Heading3"/>
        <w:rPr>
          <w:rtl/>
        </w:rPr>
      </w:pPr>
      <w:bookmarkStart w:id="9" w:name="_Toc432143070"/>
      <w:r>
        <w:rPr>
          <w:rFonts w:hint="cs"/>
          <w:rtl/>
        </w:rPr>
        <w:t>مخرجات از بحث</w:t>
      </w:r>
      <w:bookmarkEnd w:id="9"/>
    </w:p>
    <w:p w:rsidR="006C2F17" w:rsidRPr="006C2F17" w:rsidRDefault="006C2F17" w:rsidP="00D86FA5">
      <w:pPr>
        <w:pStyle w:val="Heading3"/>
        <w:rPr>
          <w:rtl/>
        </w:rPr>
      </w:pPr>
      <w:bookmarkStart w:id="10" w:name="_Toc432143071"/>
      <w:r w:rsidRPr="006C2F17">
        <w:rPr>
          <w:rtl/>
        </w:rPr>
        <w:t xml:space="preserve">نقش </w:t>
      </w:r>
      <w:r>
        <w:rPr>
          <w:rFonts w:hint="cs"/>
          <w:rtl/>
        </w:rPr>
        <w:t xml:space="preserve">این دو </w:t>
      </w:r>
      <w:r w:rsidRPr="006C2F17">
        <w:rPr>
          <w:rtl/>
        </w:rPr>
        <w:t xml:space="preserve">در </w:t>
      </w:r>
      <w:r>
        <w:rPr>
          <w:rFonts w:hint="cs"/>
          <w:rtl/>
        </w:rPr>
        <w:t xml:space="preserve">قبال </w:t>
      </w:r>
      <w:r w:rsidRPr="006C2F17">
        <w:rPr>
          <w:rtl/>
        </w:rPr>
        <w:t>متعلق و موضوع احکام</w:t>
      </w:r>
      <w:bookmarkEnd w:id="10"/>
    </w:p>
    <w:p w:rsidR="00E52DAC" w:rsidRDefault="00E52DAC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نقش زمان و مکان در متعلق،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شرایط احکام نیز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به دو گروه موقت و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غیرموقت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تقسیم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از تکالیف هستند که زمان در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شرط است مانند صلوات خمس،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در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مکان‌ها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وجود دارد چراکه برخی اعمال منوط به مکان خاصی است </w:t>
      </w:r>
      <w:r w:rsidR="006C2F17">
        <w:rPr>
          <w:rFonts w:ascii="IRBadr" w:hAnsi="IRBadr" w:cs="IRBadr" w:hint="cs"/>
          <w:sz w:val="28"/>
          <w:szCs w:val="28"/>
          <w:rtl/>
          <w:lang w:bidi="fa-IR"/>
        </w:rPr>
        <w:t>همانند حج که متوقف بر مکان خاصی است.</w:t>
      </w:r>
    </w:p>
    <w:p w:rsidR="006C2F17" w:rsidRDefault="006C2F17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زمان و مکان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فی‌نفسه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زمان و مکان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تأثیرگذار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هستند،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بیع خون که امروزه دارای منفعت محلله شده است که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درگذشته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چندان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قابل‌درک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موضع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تغییر پیدا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این دو در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مصاد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تصرف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یکی از مصداق حکم دیگری قرار 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>م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C2F17" w:rsidRDefault="006C2F17" w:rsidP="00D86FA5">
      <w:pPr>
        <w:pStyle w:val="Heading3"/>
        <w:rPr>
          <w:rtl/>
        </w:rPr>
      </w:pPr>
      <w:bookmarkStart w:id="11" w:name="_Toc432143072"/>
      <w:r>
        <w:rPr>
          <w:rFonts w:hint="cs"/>
          <w:rtl/>
        </w:rPr>
        <w:lastRenderedPageBreak/>
        <w:t>تأثیر در قبال نسخ و جعل شرایع</w:t>
      </w:r>
      <w:bookmarkEnd w:id="11"/>
    </w:p>
    <w:p w:rsidR="006C2F17" w:rsidRDefault="006C2F17" w:rsidP="00D86F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تأثیر زمان و مکان در جعل و نسخ شرایع نیز مراد نیست چراکه برخی از ادیان زمان مند و برخی مکان مند و برای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منطقه‌ای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خاص بوده است.</w:t>
      </w:r>
      <w:r w:rsidR="00E95FCE">
        <w:rPr>
          <w:rFonts w:ascii="IRBadr" w:hAnsi="IRBadr" w:cs="IRBadr"/>
          <w:sz w:val="28"/>
          <w:szCs w:val="28"/>
          <w:rtl/>
          <w:lang w:bidi="fa-IR"/>
        </w:rPr>
        <w:t xml:space="preserve"> نسخ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احکام شریعت نیز </w:t>
      </w:r>
      <w:r w:rsidR="00E95FCE">
        <w:rPr>
          <w:rFonts w:ascii="IRBadr" w:hAnsi="IRBadr" w:cs="IRBadr" w:hint="cs"/>
          <w:sz w:val="28"/>
          <w:szCs w:val="28"/>
          <w:rtl/>
          <w:lang w:bidi="fa-IR"/>
        </w:rPr>
        <w:t>موردنظر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نبود.</w:t>
      </w:r>
    </w:p>
    <w:p w:rsidR="006C2F17" w:rsidRDefault="006C2F17" w:rsidP="006C2F1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FC1CBB" w:rsidRDefault="00FC1CBB" w:rsidP="00FC1CBB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2B606D" w:rsidRDefault="002B606D" w:rsidP="002B606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E24584" w:rsidRPr="00F00FC7" w:rsidRDefault="00E24584" w:rsidP="00E24584">
      <w:pPr>
        <w:bidi/>
        <w:rPr>
          <w:rFonts w:ascii="IRBadr" w:hAnsi="IRBadr" w:cs="IRBadr"/>
          <w:sz w:val="28"/>
          <w:szCs w:val="28"/>
          <w:rtl/>
          <w:lang w:bidi="fa-IR"/>
        </w:rPr>
      </w:pPr>
    </w:p>
    <w:sectPr w:rsidR="00E24584" w:rsidRPr="00F00FC7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40" w:rsidRDefault="00E55440" w:rsidP="000D5800">
      <w:pPr>
        <w:spacing w:after="0" w:line="240" w:lineRule="auto"/>
      </w:pPr>
      <w:r>
        <w:separator/>
      </w:r>
    </w:p>
  </w:endnote>
  <w:endnote w:type="continuationSeparator" w:id="0">
    <w:p w:rsidR="00E55440" w:rsidRDefault="00E5544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E" w:rsidRDefault="00E95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E" w:rsidRDefault="00E95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E" w:rsidRDefault="00E95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40" w:rsidRDefault="00E55440" w:rsidP="000D5800">
      <w:pPr>
        <w:spacing w:after="0" w:line="240" w:lineRule="auto"/>
      </w:pPr>
      <w:r>
        <w:separator/>
      </w:r>
    </w:p>
  </w:footnote>
  <w:footnote w:type="continuationSeparator" w:id="0">
    <w:p w:rsidR="00E55440" w:rsidRDefault="00E55440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E" w:rsidRDefault="00E95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00FC7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F4008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00FC7">
      <w:rPr>
        <w:rFonts w:ascii="IranNastaliq" w:hAnsi="IranNastaliq" w:cs="IranNastaliq" w:hint="cs"/>
        <w:sz w:val="40"/>
        <w:szCs w:val="40"/>
        <w:rtl/>
        <w:lang w:bidi="fa-IR"/>
      </w:rPr>
      <w:t>3786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E" w:rsidRDefault="00E95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B606D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5056C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C2F17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4AEB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19F5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6FA5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4584"/>
    <w:rsid w:val="00E52DAC"/>
    <w:rsid w:val="00E55440"/>
    <w:rsid w:val="00E55891"/>
    <w:rsid w:val="00E6283A"/>
    <w:rsid w:val="00E732A3"/>
    <w:rsid w:val="00E83A85"/>
    <w:rsid w:val="00E90FC4"/>
    <w:rsid w:val="00E95FCE"/>
    <w:rsid w:val="00EA01EC"/>
    <w:rsid w:val="00EA15B0"/>
    <w:rsid w:val="00EA5D97"/>
    <w:rsid w:val="00EC4393"/>
    <w:rsid w:val="00EE1C07"/>
    <w:rsid w:val="00EE2C91"/>
    <w:rsid w:val="00EE3979"/>
    <w:rsid w:val="00EF138C"/>
    <w:rsid w:val="00F00FC7"/>
    <w:rsid w:val="00F034CE"/>
    <w:rsid w:val="00F10A0F"/>
    <w:rsid w:val="00F1790B"/>
    <w:rsid w:val="00F40284"/>
    <w:rsid w:val="00F67976"/>
    <w:rsid w:val="00F70BE1"/>
    <w:rsid w:val="00FC0862"/>
    <w:rsid w:val="00FC1CBB"/>
    <w:rsid w:val="00FC70FB"/>
    <w:rsid w:val="00FD143D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9B79-FD9A-4A8C-A6AB-DCAF9BE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149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36</cp:revision>
  <dcterms:created xsi:type="dcterms:W3CDTF">2014-11-18T06:47:00Z</dcterms:created>
  <dcterms:modified xsi:type="dcterms:W3CDTF">2015-10-09T05:09:00Z</dcterms:modified>
</cp:coreProperties>
</file>