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5" w:rsidRDefault="008A6E65" w:rsidP="00940F75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2132E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940F7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940F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40F75">
        <w:rPr>
          <w:rFonts w:ascii="IRBadr" w:hAnsi="IRBadr" w:cs="IRBadr"/>
          <w:sz w:val="28"/>
          <w:szCs w:val="28"/>
          <w:lang w:bidi="fa-IR"/>
        </w:rPr>
        <w:instrText>TOC</w:instrText>
      </w:r>
      <w:r w:rsidR="00940F7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940F75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940F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40F7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48" w:history="1">
        <w:r w:rsidR="00940F75" w:rsidRPr="00A87894">
          <w:rPr>
            <w:rStyle w:val="Hyperlink"/>
            <w:rFonts w:hint="eastAsia"/>
            <w:noProof/>
            <w:rtl/>
          </w:rPr>
          <w:t>مباد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اجتهاد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_Toc432263148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2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49" w:history="1">
        <w:r w:rsidR="00940F75" w:rsidRPr="00A87894">
          <w:rPr>
            <w:rStyle w:val="Hyperlink"/>
            <w:rFonts w:hint="eastAsia"/>
            <w:noProof/>
            <w:rtl/>
          </w:rPr>
          <w:t>تأث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رات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زمان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و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مکان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_Toc432263149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2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0" w:history="1">
        <w:r w:rsidR="00940F75" w:rsidRPr="00A87894">
          <w:rPr>
            <w:rStyle w:val="Hyperlink"/>
            <w:rFonts w:hint="eastAsia"/>
            <w:noProof/>
            <w:rtl/>
          </w:rPr>
          <w:t>شناخت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تار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خ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فقه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_Toc432263150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2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1" w:history="1">
        <w:r w:rsidR="00940F75" w:rsidRPr="00A87894">
          <w:rPr>
            <w:rStyle w:val="Hyperlink"/>
            <w:rFonts w:hint="eastAsia"/>
            <w:noProof/>
            <w:rtl/>
          </w:rPr>
          <w:t>اهم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فلسفه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_Toc432263151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2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2" w:history="1">
        <w:r w:rsidR="00940F75" w:rsidRPr="00A87894">
          <w:rPr>
            <w:rStyle w:val="Hyperlink"/>
            <w:rFonts w:hint="eastAsia"/>
            <w:noProof/>
            <w:rtl/>
          </w:rPr>
          <w:t>سه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گروه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از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اخلاق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_Toc432263152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2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3" w:history="1">
        <w:r w:rsidR="00940F75" w:rsidRPr="00A87894">
          <w:rPr>
            <w:rStyle w:val="Hyperlink"/>
            <w:rFonts w:hint="eastAsia"/>
            <w:noProof/>
            <w:rtl/>
          </w:rPr>
          <w:t>توانا</w:t>
        </w:r>
        <w:r w:rsidR="00940F75" w:rsidRPr="00A87894">
          <w:rPr>
            <w:rStyle w:val="Hyperlink"/>
            <w:rFonts w:hint="cs"/>
            <w:noProof/>
            <w:rtl/>
          </w:rPr>
          <w:t>یی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ها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ذهن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فرد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_Toc432263153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3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4" w:history="1">
        <w:r w:rsidR="00940F75" w:rsidRPr="00A87894">
          <w:rPr>
            <w:rStyle w:val="Hyperlink"/>
            <w:rFonts w:hint="eastAsia"/>
            <w:noProof/>
            <w:rtl/>
          </w:rPr>
          <w:t>نسخ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و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تدر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ج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احکام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_Toc432263154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3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5" w:history="1">
        <w:r w:rsidR="00940F75" w:rsidRPr="00A87894">
          <w:rPr>
            <w:rStyle w:val="Hyperlink"/>
            <w:rFonts w:hint="eastAsia"/>
            <w:noProof/>
            <w:rtl/>
          </w:rPr>
          <w:t>تأث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زمان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و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مکان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موضوعات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_Toc432263155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3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6" w:history="1">
        <w:r w:rsidR="00940F75" w:rsidRPr="00A87894">
          <w:rPr>
            <w:rStyle w:val="Hyperlink"/>
            <w:rFonts w:hint="eastAsia"/>
            <w:noProof/>
            <w:rtl/>
          </w:rPr>
          <w:t>تشر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ح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تأث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موضوعات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اول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_Toc432263156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3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7" w:history="1">
        <w:r w:rsidR="00940F75" w:rsidRPr="00A87894">
          <w:rPr>
            <w:rStyle w:val="Hyperlink"/>
            <w:rFonts w:hint="eastAsia"/>
            <w:noProof/>
            <w:rtl/>
          </w:rPr>
          <w:t>تشر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ح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تأث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موضوعات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ثانو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_Toc432263157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4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8" w:history="1">
        <w:r w:rsidR="00940F75" w:rsidRPr="00A87894">
          <w:rPr>
            <w:rStyle w:val="Hyperlink"/>
            <w:rFonts w:hint="eastAsia"/>
            <w:noProof/>
            <w:rtl/>
          </w:rPr>
          <w:t>انعطاف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موجود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عناو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ثانو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_Toc432263158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4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59" w:history="1">
        <w:r w:rsidR="00940F75" w:rsidRPr="00A87894">
          <w:rPr>
            <w:rStyle w:val="Hyperlink"/>
            <w:rFonts w:hint="eastAsia"/>
            <w:noProof/>
            <w:rtl/>
          </w:rPr>
          <w:t>محدوده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زمان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عناو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ثانو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_Toc432263159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4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60" w:history="1">
        <w:r w:rsidR="00940F75" w:rsidRPr="00A87894">
          <w:rPr>
            <w:rStyle w:val="Hyperlink"/>
            <w:rFonts w:hint="eastAsia"/>
            <w:noProof/>
            <w:rtl/>
          </w:rPr>
          <w:t>تأث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رات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زمان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و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مکان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بر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احکام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ولا</w:t>
        </w:r>
        <w:r w:rsidR="00940F75" w:rsidRPr="00A87894">
          <w:rPr>
            <w:rStyle w:val="Hyperlink"/>
            <w:rFonts w:hint="cs"/>
            <w:noProof/>
            <w:rtl/>
          </w:rPr>
          <w:t>یی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_Toc432263160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4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61" w:history="1">
        <w:r w:rsidR="008A6E65">
          <w:rPr>
            <w:rStyle w:val="Hyperlink"/>
            <w:rFonts w:hint="eastAsia"/>
            <w:noProof/>
            <w:rtl/>
          </w:rPr>
          <w:t>تأثیرگذاری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بر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گسترش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فقه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_Toc432263161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4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62" w:history="1">
        <w:r w:rsidR="008A6E65">
          <w:rPr>
            <w:rStyle w:val="Hyperlink"/>
            <w:rFonts w:hint="eastAsia"/>
            <w:noProof/>
            <w:rtl/>
          </w:rPr>
          <w:t>تأثیرگذاری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بر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ظهور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ا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خفا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موضوعات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_Toc432263162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5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63163" w:history="1">
        <w:r w:rsidR="008A6E65">
          <w:rPr>
            <w:rStyle w:val="Hyperlink"/>
            <w:rFonts w:hint="eastAsia"/>
            <w:noProof/>
            <w:rtl/>
          </w:rPr>
          <w:t>تأثیرگذاری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بر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تکث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ا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تقل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ل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موضوعات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_Toc432263163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5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63164" w:history="1">
        <w:r w:rsidR="00940F75" w:rsidRPr="00A87894">
          <w:rPr>
            <w:rStyle w:val="Hyperlink"/>
            <w:rFonts w:hint="eastAsia"/>
            <w:noProof/>
            <w:rtl/>
          </w:rPr>
          <w:t>خطبه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اخلاق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8A6E65">
          <w:rPr>
            <w:rStyle w:val="Hyperlink"/>
            <w:rFonts w:hint="eastAsia"/>
            <w:noProof/>
            <w:rtl/>
          </w:rPr>
          <w:t>نهج‌البلاغه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_Toc432263164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5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63165" w:history="1">
        <w:r w:rsidR="00940F75" w:rsidRPr="00A87894">
          <w:rPr>
            <w:rStyle w:val="Hyperlink"/>
            <w:rFonts w:hint="eastAsia"/>
            <w:noProof/>
            <w:rtl/>
          </w:rPr>
          <w:t>شروع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خطبه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_Toc432263165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5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63166" w:history="1">
        <w:r w:rsidR="00940F75" w:rsidRPr="00A87894">
          <w:rPr>
            <w:rStyle w:val="Hyperlink"/>
            <w:rFonts w:hint="eastAsia"/>
            <w:noProof/>
            <w:rtl/>
          </w:rPr>
          <w:t>معا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نه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ح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ات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برزخ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_Toc432263166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6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01111D" w:rsidP="00940F7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63167" w:history="1">
        <w:r w:rsidR="00940F75" w:rsidRPr="00A87894">
          <w:rPr>
            <w:rStyle w:val="Hyperlink"/>
            <w:rFonts w:hint="eastAsia"/>
            <w:noProof/>
            <w:rtl/>
          </w:rPr>
          <w:t>زوا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ا</w:t>
        </w:r>
        <w:r w:rsidR="00940F75" w:rsidRPr="00A87894">
          <w:rPr>
            <w:rStyle w:val="Hyperlink"/>
            <w:rFonts w:hint="cs"/>
            <w:noProof/>
            <w:rtl/>
          </w:rPr>
          <w:t>یی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د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گر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از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</w:t>
        </w:r>
        <w:r w:rsidR="00940F75" w:rsidRPr="00A87894">
          <w:rPr>
            <w:rStyle w:val="Hyperlink"/>
            <w:noProof/>
            <w:rtl/>
          </w:rPr>
          <w:t xml:space="preserve"> </w:t>
        </w:r>
        <w:r w:rsidR="00940F75" w:rsidRPr="00A87894">
          <w:rPr>
            <w:rStyle w:val="Hyperlink"/>
            <w:rFonts w:hint="eastAsia"/>
            <w:noProof/>
            <w:rtl/>
          </w:rPr>
          <w:t>معا</w:t>
        </w:r>
        <w:r w:rsidR="00940F75" w:rsidRPr="00A87894">
          <w:rPr>
            <w:rStyle w:val="Hyperlink"/>
            <w:rFonts w:hint="cs"/>
            <w:noProof/>
            <w:rtl/>
          </w:rPr>
          <w:t>ی</w:t>
        </w:r>
        <w:r w:rsidR="00940F75" w:rsidRPr="00A87894">
          <w:rPr>
            <w:rStyle w:val="Hyperlink"/>
            <w:rFonts w:hint="eastAsia"/>
            <w:noProof/>
            <w:rtl/>
          </w:rPr>
          <w:t>نه</w:t>
        </w:r>
        <w:r w:rsidR="00940F75">
          <w:rPr>
            <w:noProof/>
            <w:webHidden/>
          </w:rPr>
          <w:tab/>
        </w:r>
        <w:r w:rsidR="00940F75">
          <w:rPr>
            <w:rStyle w:val="Hyperlink"/>
            <w:noProof/>
            <w:rtl/>
          </w:rPr>
          <w:fldChar w:fldCharType="begin"/>
        </w:r>
        <w:r w:rsidR="00940F75">
          <w:rPr>
            <w:noProof/>
            <w:webHidden/>
          </w:rPr>
          <w:instrText xml:space="preserve"> PAGEREF _Toc432263167 \h </w:instrText>
        </w:r>
        <w:r w:rsidR="00940F75">
          <w:rPr>
            <w:rStyle w:val="Hyperlink"/>
            <w:noProof/>
            <w:rtl/>
          </w:rPr>
        </w:r>
        <w:r w:rsidR="00940F75">
          <w:rPr>
            <w:rStyle w:val="Hyperlink"/>
            <w:noProof/>
            <w:rtl/>
          </w:rPr>
          <w:fldChar w:fldCharType="separate"/>
        </w:r>
        <w:r w:rsidR="00940F75">
          <w:rPr>
            <w:noProof/>
            <w:webHidden/>
          </w:rPr>
          <w:t>6</w:t>
        </w:r>
        <w:r w:rsidR="00940F75">
          <w:rPr>
            <w:rStyle w:val="Hyperlink"/>
            <w:noProof/>
            <w:rtl/>
          </w:rPr>
          <w:fldChar w:fldCharType="end"/>
        </w:r>
      </w:hyperlink>
    </w:p>
    <w:p w:rsidR="00940F75" w:rsidRDefault="00940F75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40F75" w:rsidRDefault="00940F75">
      <w:pPr>
        <w:spacing w:after="0" w:line="240" w:lineRule="auto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F76400" w:rsidRDefault="00F76400" w:rsidP="00940F75">
      <w:pPr>
        <w:pStyle w:val="Heading1"/>
        <w:rPr>
          <w:rtl/>
        </w:rPr>
      </w:pPr>
      <w:bookmarkStart w:id="0" w:name="_Toc432263148"/>
      <w:r>
        <w:rPr>
          <w:rFonts w:hint="cs"/>
          <w:rtl/>
        </w:rPr>
        <w:lastRenderedPageBreak/>
        <w:t>مبادی اجتهاد</w:t>
      </w:r>
      <w:bookmarkEnd w:id="0"/>
    </w:p>
    <w:p w:rsidR="00F76400" w:rsidRDefault="00F76400" w:rsidP="00940F75">
      <w:pPr>
        <w:pStyle w:val="Heading1"/>
        <w:rPr>
          <w:rtl/>
        </w:rPr>
      </w:pPr>
      <w:bookmarkStart w:id="1" w:name="_Toc432263149"/>
      <w:r>
        <w:rPr>
          <w:rFonts w:hint="cs"/>
          <w:rtl/>
        </w:rPr>
        <w:t>تأثیرات زمان و مکان</w:t>
      </w:r>
      <w:bookmarkEnd w:id="1"/>
    </w:p>
    <w:p w:rsidR="00F76400" w:rsidRPr="00F76400" w:rsidRDefault="00F76400" w:rsidP="00940F75">
      <w:pPr>
        <w:pStyle w:val="Heading1"/>
        <w:rPr>
          <w:rtl/>
        </w:rPr>
      </w:pPr>
      <w:bookmarkStart w:id="2" w:name="_Toc432263150"/>
      <w:r>
        <w:rPr>
          <w:rFonts w:hint="cs"/>
          <w:rtl/>
        </w:rPr>
        <w:t>شناخت تاریخ فقه</w:t>
      </w:r>
      <w:bookmarkEnd w:id="2"/>
    </w:p>
    <w:p w:rsidR="00D94D48" w:rsidRDefault="00D94D48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مقدمه هفتم تا مقدمه دوازدهم در حقیقت شاید مقدمات جدید بود که هریک قابل بسط بیشتری بود.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پرداختن به مقدمات دیگر لازم است،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استدراک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مقدمات سابق شود.</w:t>
      </w:r>
    </w:p>
    <w:p w:rsidR="00D94D48" w:rsidRDefault="00D94D48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اول در قبال مبادی اجتهاد بود،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 نیز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مبادی برمی شمرند که در انوار الفقاهة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به یک معنی صحیح است چراکه آشنایی با تاریخ فقه،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فقهاء و روند فقه امری ضروری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امور را مقدمه اجتهاد امروزی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آورد.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منظور مقدمیت جهت خود فقه باشد،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صحیحی نیست.</w:t>
      </w:r>
    </w:p>
    <w:p w:rsidR="00F76400" w:rsidRDefault="00F76400" w:rsidP="00940F75">
      <w:pPr>
        <w:pStyle w:val="Heading1"/>
        <w:rPr>
          <w:rtl/>
        </w:rPr>
      </w:pPr>
      <w:bookmarkStart w:id="3" w:name="_Toc432263151"/>
      <w:r>
        <w:rPr>
          <w:rFonts w:hint="cs"/>
          <w:rtl/>
        </w:rPr>
        <w:t>اهمیت فلسفه دین</w:t>
      </w:r>
      <w:bookmarkEnd w:id="3"/>
    </w:p>
    <w:p w:rsidR="00D94D48" w:rsidRDefault="00D94D48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دیگر در مبادی اجتهاد،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امور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فلسفه دین که مرتبط با کلام جدید است که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جزء کلام گذشته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آورد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اهمیت و کاربرد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مستقل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آورد،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فلسفه فقه نیز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76400" w:rsidRDefault="00F76400" w:rsidP="00940F75">
      <w:pPr>
        <w:pStyle w:val="Heading1"/>
        <w:rPr>
          <w:rtl/>
        </w:rPr>
      </w:pPr>
      <w:bookmarkStart w:id="4" w:name="_Toc432263152"/>
      <w:r>
        <w:rPr>
          <w:rFonts w:hint="cs"/>
          <w:rtl/>
        </w:rPr>
        <w:t>سه گروه از اخلاق</w:t>
      </w:r>
      <w:bookmarkEnd w:id="4"/>
    </w:p>
    <w:p w:rsidR="00F76400" w:rsidRDefault="008A6E65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مطالب دیگر تأثیرات احوال شخص بر اجتهاد او یا محیط اجتماعی بر فرد است که لازم است اخلاق خاص فقهی پدید آید.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اخلاق </w:t>
      </w:r>
      <w:r>
        <w:rPr>
          <w:rFonts w:ascii="IRBadr" w:hAnsi="IRBadr" w:cs="IRBadr" w:hint="cs"/>
          <w:sz w:val="28"/>
          <w:szCs w:val="28"/>
          <w:rtl/>
          <w:lang w:bidi="fa-IR"/>
        </w:rPr>
        <w:t>نظریه‌پردازی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و پژوهش،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ذیل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اخلاق </w:t>
      </w:r>
      <w:r>
        <w:rPr>
          <w:rFonts w:ascii="IRBadr" w:hAnsi="IRBadr" w:cs="IRBadr"/>
          <w:sz w:val="28"/>
          <w:szCs w:val="28"/>
          <w:rtl/>
          <w:lang w:bidi="fa-IR"/>
        </w:rPr>
        <w:t>پژوهش‌ها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دینی و در ذیل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اخلاق پژوهش فقهی است که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پرداخته شود.</w:t>
      </w:r>
    </w:p>
    <w:p w:rsidR="00D94D48" w:rsidRDefault="00D94D48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ذیل این مطلب از فوائد الحائریة مرحوم بهبهانی که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نشان‌دهنده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درگیری اخباری و اصولی است مطالبی در این زمینه وجود دارد 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اخلاق به شکلی دیگر در منیة المرید و کتب مربوط به اخلاق متعلم و معلم و همچنین قوانین مطالبی است که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</w:p>
    <w:p w:rsidR="00F76400" w:rsidRDefault="008A6E65" w:rsidP="00940F75">
      <w:pPr>
        <w:pStyle w:val="Heading1"/>
        <w:rPr>
          <w:rtl/>
        </w:rPr>
      </w:pPr>
      <w:bookmarkStart w:id="5" w:name="_Toc432263153"/>
      <w:r>
        <w:rPr>
          <w:rFonts w:hint="eastAsia"/>
          <w:rtl/>
        </w:rPr>
        <w:lastRenderedPageBreak/>
        <w:t>توانا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F76400">
        <w:rPr>
          <w:rFonts w:hint="cs"/>
          <w:rtl/>
        </w:rPr>
        <w:t xml:space="preserve"> ذهنی فرد</w:t>
      </w:r>
      <w:bookmarkEnd w:id="5"/>
    </w:p>
    <w:p w:rsidR="00D94D48" w:rsidRDefault="008A6E65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مطالب دیگری ضریب هوشی فرد است که جزء یکی از مقدمات اجتهاد است که </w:t>
      </w:r>
      <w:r>
        <w:rPr>
          <w:rFonts w:ascii="IRBadr" w:hAnsi="IRBadr" w:cs="IRBadr"/>
          <w:sz w:val="28"/>
          <w:szCs w:val="28"/>
          <w:rtl/>
          <w:lang w:bidi="fa-IR"/>
        </w:rPr>
        <w:t>توانا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یی‌های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ذهنی نقش به خصوصی در اجتهاد دارد که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به‌تناسب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ژنتیک و عوامل دیگر متفاوت 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درجه خاصی از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94D48">
        <w:rPr>
          <w:rFonts w:ascii="IRBadr" w:hAnsi="IRBadr" w:cs="IRBadr" w:hint="cs"/>
          <w:sz w:val="28"/>
          <w:szCs w:val="28"/>
          <w:rtl/>
          <w:lang w:bidi="fa-IR"/>
        </w:rPr>
        <w:t xml:space="preserve"> در اختیار شخص است.</w:t>
      </w:r>
    </w:p>
    <w:p w:rsidR="00F76400" w:rsidRDefault="00F76400" w:rsidP="00940F75">
      <w:pPr>
        <w:pStyle w:val="Heading2"/>
        <w:rPr>
          <w:rtl/>
        </w:rPr>
      </w:pPr>
      <w:bookmarkStart w:id="6" w:name="_Toc432263154"/>
      <w:r>
        <w:rPr>
          <w:rFonts w:hint="cs"/>
          <w:rtl/>
        </w:rPr>
        <w:t>نسخ و تدریجیت احکام</w:t>
      </w:r>
      <w:bookmarkEnd w:id="6"/>
    </w:p>
    <w:p w:rsidR="00F76400" w:rsidRDefault="00D94D48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بحث ما در مقدمه دوازدهم به دلیل حساسیت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جداگانه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بررسی قرار گرفت.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مقدمه در رابطه با نقش زمان و مکان بود.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این زمینه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مطالبی را ذکر کنیم که دیروز به نقش زمان و مکان در قبال نسخ شریعت و احکام بود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نظریه‌ای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که قائل به واقعیت نسخ قائل است که نظریه مشهور بوده و در مقابل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 قرار دارد.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83409">
        <w:rPr>
          <w:rFonts w:ascii="IRBadr" w:hAnsi="IRBadr" w:cs="IRBadr" w:hint="cs"/>
          <w:sz w:val="28"/>
          <w:szCs w:val="28"/>
          <w:rtl/>
          <w:lang w:bidi="fa-IR"/>
        </w:rPr>
        <w:t xml:space="preserve"> مورد سوم زمان و مکان قیدی برای تکلیف است.</w:t>
      </w:r>
    </w:p>
    <w:p w:rsidR="00383409" w:rsidRDefault="00383409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چهارم در قبال نقش زمان و مکان در بیان و تدریجیت احکام است که در تفاسیر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مشهور است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برخی احکام مانند خمر به نحو تدریجی تبیین شده است که متناسب با شرایط زمانی بوده است.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همه اعصار در تبلیغ احکام و معارف،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رعا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تدریج امری ضروری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اح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یاناً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اجرا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در مباحث حکومتی و ولایی نیز رعایت تدریج در مواردی ضروری است.</w:t>
      </w:r>
    </w:p>
    <w:p w:rsidR="00F76400" w:rsidRDefault="00F76400" w:rsidP="00940F75">
      <w:pPr>
        <w:pStyle w:val="Heading2"/>
        <w:rPr>
          <w:rtl/>
        </w:rPr>
      </w:pPr>
      <w:bookmarkStart w:id="7" w:name="_Toc432263155"/>
      <w:r>
        <w:rPr>
          <w:rFonts w:hint="cs"/>
          <w:rtl/>
        </w:rPr>
        <w:t>تأثیر زمان و مکان در موضوعات</w:t>
      </w:r>
      <w:bookmarkEnd w:id="7"/>
    </w:p>
    <w:p w:rsidR="00DB7786" w:rsidRDefault="008A6E65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مورد پنجم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نقش زمان و مکان در موضوعات احکام است که تاکنون تقریباً همه افراد بر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اتفاق‌نظر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به‌صورت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که تحولات تاریخی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 w:rsidR="00DB7786">
        <w:rPr>
          <w:rFonts w:ascii="IRBadr" w:hAnsi="IRBadr" w:cs="IRBadr" w:hint="cs"/>
          <w:sz w:val="28"/>
          <w:szCs w:val="28"/>
          <w:rtl/>
          <w:lang w:bidi="fa-IR"/>
        </w:rPr>
        <w:t xml:space="preserve"> موضوعات اهمیت دارد که به چند صورت است؛</w:t>
      </w:r>
    </w:p>
    <w:p w:rsidR="00F76400" w:rsidRDefault="00F76400" w:rsidP="00940F75">
      <w:pPr>
        <w:pStyle w:val="Heading2"/>
        <w:rPr>
          <w:rtl/>
        </w:rPr>
      </w:pPr>
      <w:bookmarkStart w:id="8" w:name="_Toc432263156"/>
      <w:r>
        <w:rPr>
          <w:rFonts w:hint="cs"/>
          <w:rtl/>
        </w:rPr>
        <w:t>تشریح تأثیر در موضوعات اولیه</w:t>
      </w:r>
      <w:bookmarkEnd w:id="8"/>
    </w:p>
    <w:p w:rsidR="00DB7786" w:rsidRDefault="00DB7786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این تغییر در موضوعات اولیه رخ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استحاله که موضوع به کلب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ولی با تحولی که در خارج رخ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کلب به ملح تبدیل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لذا موضوع نیز تغییر پیدا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تعبیر به انقلاب موضوع و استحاله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شارع تغییری نکرده است بلکه بحث تغییر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درزمینهٔ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مصداق است.</w:t>
      </w:r>
    </w:p>
    <w:p w:rsidR="00F76400" w:rsidRDefault="00F76400" w:rsidP="00940F75">
      <w:pPr>
        <w:pStyle w:val="Heading2"/>
        <w:rPr>
          <w:rtl/>
        </w:rPr>
      </w:pPr>
      <w:bookmarkStart w:id="9" w:name="_Toc432263157"/>
      <w:r>
        <w:rPr>
          <w:rFonts w:hint="cs"/>
          <w:rtl/>
        </w:rPr>
        <w:lastRenderedPageBreak/>
        <w:t>تشریح تأثیر در موضوعات ثانویه</w:t>
      </w:r>
      <w:bookmarkEnd w:id="9"/>
    </w:p>
    <w:p w:rsidR="00DB7786" w:rsidRDefault="00DB7786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نوع دوم در عناوین عامه و ثانویه است که در این قسمت تحول موضوع بسیار وسیع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موطن است که گفته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 و اسلام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تحولات زمانی و اقتضاءات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دهد.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مراد از عناوین ثانویه تنها اضطرار نیست بلکه حالت جنسی و نوعی برای موضوعات خاص خارجی ندارد همانند حفظ نظام که مفهوم انتزاعی کلی است که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هر امری همراه و از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جدا شود حتی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چراغ‌قرمز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عصر امروزی را دربر گیرد.</w:t>
      </w:r>
    </w:p>
    <w:p w:rsidR="00F76400" w:rsidRDefault="00F76400" w:rsidP="00940F75">
      <w:pPr>
        <w:pStyle w:val="Heading2"/>
        <w:rPr>
          <w:rtl/>
        </w:rPr>
      </w:pPr>
      <w:bookmarkStart w:id="10" w:name="_Toc432263158"/>
      <w:r>
        <w:rPr>
          <w:rFonts w:hint="cs"/>
          <w:rtl/>
        </w:rPr>
        <w:t>انعطاف موجود در عناوین ثانوی</w:t>
      </w:r>
      <w:bookmarkEnd w:id="10"/>
    </w:p>
    <w:p w:rsidR="00DB7786" w:rsidRDefault="00DB7786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انعطاف به خصوصی در این عناوین وجود دارد.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منفعة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محلله نیز از این قبیل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بخش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قواعد فقهی بدین شکل است که اصل قواعد را تشکیل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و مصداق ماهوی ندارد و مصداق ثابتی نداشته و انعطاف خاصی را در خود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جای‌داده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این قسم امکان جولان عوامل خارجی در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4C587C">
        <w:rPr>
          <w:rFonts w:ascii="IRBadr" w:hAnsi="IRBadr" w:cs="IRBadr" w:hint="cs"/>
          <w:sz w:val="28"/>
          <w:szCs w:val="28"/>
          <w:rtl/>
          <w:lang w:bidi="fa-IR"/>
        </w:rPr>
        <w:t xml:space="preserve"> گسترده است که گاهی در این احکام موضوع و گاهی متعلق یا متعلق متعلق است.</w:t>
      </w:r>
    </w:p>
    <w:p w:rsidR="00F76400" w:rsidRDefault="00F76400" w:rsidP="00940F75">
      <w:pPr>
        <w:pStyle w:val="Heading2"/>
        <w:rPr>
          <w:rtl/>
        </w:rPr>
      </w:pPr>
      <w:bookmarkStart w:id="11" w:name="_Toc432263159"/>
      <w:r>
        <w:rPr>
          <w:rFonts w:hint="cs"/>
          <w:rtl/>
        </w:rPr>
        <w:t>محدوده زمانی در عناوین ثانوی</w:t>
      </w:r>
      <w:bookmarkEnd w:id="11"/>
    </w:p>
    <w:p w:rsidR="004C587C" w:rsidRDefault="004C587C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ممکن است گاهی امری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قرن‌ها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مصداق عنوانی باشد که تصور بر اولیت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اما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کاشف از عنوان ثانوی بودن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حاصل شود مانند خون که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خریدوفروش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یا قضاء از باب حفظ نظام است و در آینده ممکن است به فرآیندهای امروزی حالاتی عارض شود که دیگر نیازی به قضاوت امروزی نباشد.</w:t>
      </w:r>
    </w:p>
    <w:p w:rsidR="00F76400" w:rsidRDefault="00F76400" w:rsidP="00940F75">
      <w:pPr>
        <w:pStyle w:val="Heading2"/>
        <w:rPr>
          <w:rtl/>
        </w:rPr>
      </w:pPr>
      <w:bookmarkStart w:id="12" w:name="_Toc432263160"/>
      <w:r>
        <w:rPr>
          <w:rFonts w:hint="cs"/>
          <w:rtl/>
        </w:rPr>
        <w:t>تأثیرات زمان و مکان بر احکام ولایی</w:t>
      </w:r>
      <w:bookmarkEnd w:id="12"/>
    </w:p>
    <w:p w:rsidR="004C587C" w:rsidRDefault="004C587C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سوم در قبال احکام ولایی است که چندان با اجتهاد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ثابت ارتباط ندارد و تابعی از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اوضاع‌واحوال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اجتماعی است.</w:t>
      </w:r>
    </w:p>
    <w:p w:rsidR="00F76400" w:rsidRDefault="008A6E65" w:rsidP="00940F75">
      <w:pPr>
        <w:pStyle w:val="Heading2"/>
        <w:rPr>
          <w:rtl/>
        </w:rPr>
      </w:pPr>
      <w:bookmarkStart w:id="13" w:name="_Toc432263161"/>
      <w:r>
        <w:rPr>
          <w:rFonts w:hint="cs"/>
          <w:rtl/>
        </w:rPr>
        <w:t>تأثیرگذاری</w:t>
      </w:r>
      <w:r w:rsidR="00F76400">
        <w:rPr>
          <w:rFonts w:hint="cs"/>
          <w:rtl/>
        </w:rPr>
        <w:t xml:space="preserve"> بر گسترش فقه</w:t>
      </w:r>
      <w:bookmarkEnd w:id="13"/>
    </w:p>
    <w:p w:rsidR="004C587C" w:rsidRDefault="004C587C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ششم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 خاطر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اهمیت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مستقلاً بیان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تأثیر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پیدایش و گسترش موضوعات و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به‌تبع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گسترش اجتهاد و فقه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تأث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یرات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شرایط اجتماعی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موضوعی برای فقه بسازد همانند بانک یا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رأی‌گیری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قسم موضوعات جدید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تأسیس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گسترش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موضوعات جدید گاهی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گسترده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فقه را با فصول یا کتاب جدیدی در مواجه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ی‌سازد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76400" w:rsidRDefault="008A6E65" w:rsidP="00940F75">
      <w:pPr>
        <w:pStyle w:val="Heading2"/>
        <w:rPr>
          <w:rtl/>
        </w:rPr>
      </w:pPr>
      <w:bookmarkStart w:id="14" w:name="_Toc432263162"/>
      <w:r>
        <w:rPr>
          <w:rFonts w:hint="cs"/>
          <w:rtl/>
        </w:rPr>
        <w:t>تأثیرگذاری</w:t>
      </w:r>
      <w:r w:rsidR="00F76400">
        <w:rPr>
          <w:rFonts w:hint="cs"/>
          <w:rtl/>
        </w:rPr>
        <w:t xml:space="preserve"> بر ظهور یا خفای موضوعات</w:t>
      </w:r>
      <w:bookmarkEnd w:id="14"/>
    </w:p>
    <w:p w:rsidR="004C587C" w:rsidRDefault="004C587C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مورد هفتم که باز در حوزه موضوعات است،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تأث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یرات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و مکان به گونه ایست که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بخشی از فقه را به محاق برده و یا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دهد مانند زمان تشکیل حکومت که بخش حکومت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بیش‌ازپیش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76400" w:rsidRDefault="008A6E65" w:rsidP="00940F75">
      <w:pPr>
        <w:pStyle w:val="Heading2"/>
        <w:rPr>
          <w:rtl/>
        </w:rPr>
      </w:pPr>
      <w:bookmarkStart w:id="15" w:name="_Toc432263163"/>
      <w:r>
        <w:rPr>
          <w:rFonts w:hint="cs"/>
          <w:rtl/>
        </w:rPr>
        <w:t>تأثیرگذاری</w:t>
      </w:r>
      <w:r w:rsidR="00F76400">
        <w:rPr>
          <w:rFonts w:hint="cs"/>
          <w:rtl/>
        </w:rPr>
        <w:t xml:space="preserve"> بر تکثیر یا تقلیل موضوعات</w:t>
      </w:r>
      <w:bookmarkEnd w:id="15"/>
    </w:p>
    <w:p w:rsidR="004C587C" w:rsidRDefault="004C587C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هشتمین تأث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یری که در اینجا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76400">
        <w:rPr>
          <w:rFonts w:ascii="IRBadr" w:hAnsi="IRBadr" w:cs="IRBadr" w:hint="cs"/>
          <w:sz w:val="28"/>
          <w:szCs w:val="28"/>
          <w:rtl/>
          <w:lang w:bidi="fa-IR"/>
        </w:rPr>
        <w:t xml:space="preserve"> ذکر کرد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مربوط به مبادی اجتهاد است که این اوضاع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جمع شدن و یا گشوده شدن مبانی اجتهاد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تأثیرگذار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مباد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در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زمان‌ها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اولیه از گسترش بسیار کمتری برخوردار بوده </w:t>
      </w:r>
      <w:r w:rsidR="00F0082A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بافاصله</w:t>
      </w:r>
      <w:r w:rsidR="00F0082A">
        <w:rPr>
          <w:rFonts w:ascii="IRBadr" w:hAnsi="IRBadr" w:cs="IRBadr" w:hint="cs"/>
          <w:sz w:val="28"/>
          <w:szCs w:val="28"/>
          <w:rtl/>
          <w:lang w:bidi="fa-IR"/>
        </w:rPr>
        <w:t xml:space="preserve"> گرفتن از عصور اولیه ظهور دین اسلام بسیاری از امور جزء مبادی اجتهاد نبوده است.</w:t>
      </w:r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چند قسم در موضوعات بود که ادامه روز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د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یگری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شاءالله بدان پرداخته خواهد شد.</w:t>
      </w:r>
    </w:p>
    <w:p w:rsidR="00F0082A" w:rsidRDefault="00F0082A" w:rsidP="00940F75">
      <w:pPr>
        <w:pStyle w:val="Heading3"/>
        <w:rPr>
          <w:rtl/>
        </w:rPr>
      </w:pPr>
      <w:bookmarkStart w:id="16" w:name="_Toc432263164"/>
      <w:r>
        <w:rPr>
          <w:rFonts w:hint="cs"/>
          <w:rtl/>
        </w:rPr>
        <w:t xml:space="preserve">خطبه اخلاقی </w:t>
      </w:r>
      <w:r w:rsidR="008A6E65">
        <w:rPr>
          <w:rFonts w:hint="cs"/>
          <w:rtl/>
        </w:rPr>
        <w:t>نهج‌البلاغه</w:t>
      </w:r>
      <w:bookmarkEnd w:id="16"/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جملات از اوائل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نهج‌البلاغه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خطبه بیستم است که چند جمله از خطبه مفصلی توسط مرحوم سید رضی آورده شده که در پاوری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خطبه مفصلی است که بخشی از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در کافی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0082A" w:rsidRDefault="00F0082A" w:rsidP="00940F75">
      <w:pPr>
        <w:pStyle w:val="Heading3"/>
        <w:rPr>
          <w:rtl/>
        </w:rPr>
      </w:pPr>
      <w:bookmarkStart w:id="17" w:name="_Toc432263165"/>
      <w:r>
        <w:rPr>
          <w:rFonts w:hint="cs"/>
          <w:rtl/>
        </w:rPr>
        <w:t>شروع خطبه</w:t>
      </w:r>
      <w:bookmarkEnd w:id="17"/>
    </w:p>
    <w:p w:rsidR="001B2086" w:rsidRDefault="00F0082A" w:rsidP="00940F75">
      <w:pPr>
        <w:pStyle w:val="NormalWeb"/>
        <w:bidi/>
        <w:jc w:val="both"/>
        <w:rPr>
          <w:rFonts w:ascii="Noor_Titr" w:hAnsi="Noor_Titr" w:cs="Noor_Titr"/>
          <w:color w:val="000000"/>
          <w:sz w:val="2"/>
          <w:szCs w:val="2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</w:t>
      </w:r>
      <w:r w:rsidR="002F7DDE">
        <w:rPr>
          <w:rFonts w:ascii="IRBadr" w:hAnsi="IRBadr" w:cs="IRBadr" w:hint="cs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در این خطبه </w:t>
      </w:r>
      <w:r w:rsidR="008A6E65">
        <w:rPr>
          <w:rFonts w:ascii="IRBadr" w:hAnsi="IRBadr" w:cs="IRBadr"/>
          <w:sz w:val="28"/>
          <w:szCs w:val="28"/>
          <w:rtl/>
        </w:rPr>
        <w:t>م</w:t>
      </w:r>
      <w:r w:rsidR="008A6E65">
        <w:rPr>
          <w:rFonts w:ascii="IRBadr" w:hAnsi="IRBadr" w:cs="IRBadr" w:hint="cs"/>
          <w:sz w:val="28"/>
          <w:szCs w:val="28"/>
          <w:rtl/>
        </w:rPr>
        <w:t>ی‌</w:t>
      </w:r>
      <w:r w:rsidR="008A6E65">
        <w:rPr>
          <w:rFonts w:ascii="IRBadr" w:hAnsi="IRBadr" w:cs="IRBadr" w:hint="eastAsia"/>
          <w:sz w:val="28"/>
          <w:szCs w:val="28"/>
          <w:rtl/>
        </w:rPr>
        <w:t>فرما</w:t>
      </w:r>
      <w:r w:rsidR="008A6E65">
        <w:rPr>
          <w:rFonts w:ascii="IRBadr" w:hAnsi="IRBadr" w:cs="IRBadr" w:hint="cs"/>
          <w:sz w:val="28"/>
          <w:szCs w:val="28"/>
          <w:rtl/>
        </w:rPr>
        <w:t>ی</w:t>
      </w:r>
      <w:r w:rsidR="008A6E65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1B2086" w:rsidRPr="001B2086" w:rsidRDefault="001B2086" w:rsidP="00940F7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«فَإِنَّ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لَوْ عَا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نْتُمْ مَا قَدْ عَا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مَنْ مَاتَ مِنْ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لَجَزِعْتُمْ وَ وَهِلْتُمْ وَ سَمِعْتُمْ وَ أَطَعْتُمْ وَ لَ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مَحْجُوبٌ عَنْ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مَا قَدْ عَا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نُوا وَ قَرِ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بٌ مَا 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طْرَحُ الْحِجَابُ وَ لَقَدْ بُصِّرْتُمْ 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آن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أَبْصَرْتُمْ وَ أُسْمِعْتُمْ 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آن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سَمِعْتُمْ وَ هُدِ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تُمْ 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آن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اهْتَدَ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B20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تُمْ» </w:t>
      </w:r>
      <w:r w:rsidRPr="001B2086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F7DDE" w:rsidRDefault="002F7DDE" w:rsidP="00940F75">
      <w:pPr>
        <w:pStyle w:val="Heading3"/>
        <w:rPr>
          <w:rtl/>
        </w:rPr>
      </w:pPr>
      <w:bookmarkStart w:id="19" w:name="_Toc432263166"/>
      <w:r>
        <w:rPr>
          <w:rFonts w:hint="cs"/>
          <w:rtl/>
        </w:rPr>
        <w:lastRenderedPageBreak/>
        <w:t>معاینه حیات برزخی</w:t>
      </w:r>
      <w:bookmarkEnd w:id="19"/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شما آنچه گذشتگان در برزخ با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مواجه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ی‌دیدید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لحظه‌ای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آرام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نبودید.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حیات برزخی برای همه بشر است مورد سؤال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همه بشر با حقایق جدیدی در ماورای این عالم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روبه‌رو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مسلم است.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استمرار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همه یا برجستگان و ابرار است،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اختلاف است؟</w:t>
      </w:r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به گمان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عموم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همه مسلم است که لیلة الدفن از این باب است، اما درجات دارد که هرچه درجه شخص بالاتر باشد،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بالاتر خواهد بود.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شهداء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همین باب است و عذاب افراد نیز در همین راستاست.</w:t>
      </w:r>
    </w:p>
    <w:p w:rsidR="002F7DDE" w:rsidRDefault="002F7DDE" w:rsidP="00940F75">
      <w:pPr>
        <w:pStyle w:val="Heading3"/>
        <w:rPr>
          <w:rtl/>
        </w:rPr>
      </w:pPr>
      <w:bookmarkStart w:id="20" w:name="_Toc432263167"/>
      <w:r>
        <w:rPr>
          <w:rFonts w:hint="cs"/>
          <w:rtl/>
        </w:rPr>
        <w:t>زوایایی دیگر از این معاینه</w:t>
      </w:r>
      <w:bookmarkEnd w:id="20"/>
    </w:p>
    <w:p w:rsidR="00AF798C" w:rsidRDefault="00F0082A" w:rsidP="00940F75">
      <w:pPr>
        <w:pStyle w:val="NormalWeb"/>
        <w:bidi/>
        <w:jc w:val="both"/>
        <w:rPr>
          <w:rFonts w:ascii="Noor_Nazli" w:hAnsi="Noor_Nazli" w:cs="Noor_Nazli"/>
          <w:color w:val="000000"/>
          <w:sz w:val="2"/>
          <w:szCs w:val="2"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امکان اینکه کسی در همین عالم برزخ را درک کند امری مسلم است چراکه این درجات درجات زمانی و مکانی نیست بلکه </w:t>
      </w:r>
      <w:r w:rsidR="008A6E65">
        <w:rPr>
          <w:rFonts w:ascii="IRBadr" w:hAnsi="IRBadr" w:cs="IRBadr" w:hint="cs"/>
          <w:sz w:val="28"/>
          <w:szCs w:val="28"/>
          <w:rtl/>
        </w:rPr>
        <w:t>درگرو</w:t>
      </w:r>
      <w:r>
        <w:rPr>
          <w:rFonts w:ascii="IRBadr" w:hAnsi="IRBadr" w:cs="IRBadr" w:hint="cs"/>
          <w:sz w:val="28"/>
          <w:szCs w:val="28"/>
          <w:rtl/>
        </w:rPr>
        <w:t xml:space="preserve"> درجات احاطه </w:t>
      </w:r>
      <w:r w:rsidR="008A6E65">
        <w:rPr>
          <w:rFonts w:ascii="IRBadr" w:hAnsi="IRBadr" w:cs="IRBadr" w:hint="cs"/>
          <w:sz w:val="28"/>
          <w:szCs w:val="28"/>
          <w:rtl/>
        </w:rPr>
        <w:t>افراد د</w:t>
      </w:r>
      <w:r>
        <w:rPr>
          <w:rFonts w:ascii="IRBadr" w:hAnsi="IRBadr" w:cs="IRBadr" w:hint="cs"/>
          <w:sz w:val="28"/>
          <w:szCs w:val="28"/>
          <w:rtl/>
        </w:rPr>
        <w:t>ر مجردات است.</w:t>
      </w:r>
      <w:r w:rsidR="008A6E65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8A6E65">
        <w:rPr>
          <w:rFonts w:ascii="IRBadr" w:hAnsi="IRBadr" w:cs="IRBadr"/>
          <w:sz w:val="28"/>
          <w:szCs w:val="28"/>
          <w:rtl/>
        </w:rPr>
        <w:t>م</w:t>
      </w:r>
      <w:r w:rsidR="008A6E65">
        <w:rPr>
          <w:rFonts w:ascii="IRBadr" w:hAnsi="IRBadr" w:cs="IRBadr" w:hint="cs"/>
          <w:sz w:val="28"/>
          <w:szCs w:val="28"/>
          <w:rtl/>
        </w:rPr>
        <w:t>ی‌</w:t>
      </w:r>
      <w:r w:rsidR="008A6E65">
        <w:rPr>
          <w:rFonts w:ascii="IRBadr" w:hAnsi="IRBadr" w:cs="IRBadr" w:hint="eastAsia"/>
          <w:sz w:val="28"/>
          <w:szCs w:val="28"/>
          <w:rtl/>
        </w:rPr>
        <w:t>کوشند</w:t>
      </w:r>
      <w:r>
        <w:rPr>
          <w:rFonts w:ascii="IRBadr" w:hAnsi="IRBadr" w:cs="IRBadr" w:hint="cs"/>
          <w:sz w:val="28"/>
          <w:szCs w:val="28"/>
          <w:rtl/>
        </w:rPr>
        <w:t xml:space="preserve"> تصویر شفافی را برای عموم افراد که از معاینه برزخ </w:t>
      </w:r>
      <w:r w:rsidR="008A6E65">
        <w:rPr>
          <w:rFonts w:ascii="IRBadr" w:hAnsi="IRBadr" w:cs="IRBadr"/>
          <w:sz w:val="28"/>
          <w:szCs w:val="28"/>
          <w:rtl/>
        </w:rPr>
        <w:t>محروم‌اند</w:t>
      </w:r>
      <w:r>
        <w:rPr>
          <w:rFonts w:ascii="IRBadr" w:hAnsi="IRBadr" w:cs="IRBadr" w:hint="cs"/>
          <w:sz w:val="28"/>
          <w:szCs w:val="28"/>
          <w:rtl/>
        </w:rPr>
        <w:t xml:space="preserve"> ارائه دهند.</w:t>
      </w:r>
      <w:r w:rsidR="008A6E65">
        <w:rPr>
          <w:rFonts w:ascii="IRBadr" w:hAnsi="IRBadr" w:cs="IRBadr"/>
          <w:sz w:val="28"/>
          <w:szCs w:val="28"/>
          <w:rtl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دیگر </w:t>
      </w:r>
      <w:r w:rsidR="008A6E65">
        <w:rPr>
          <w:rFonts w:ascii="IRBadr" w:hAnsi="IRBadr" w:cs="IRBadr"/>
          <w:sz w:val="28"/>
          <w:szCs w:val="28"/>
          <w:rtl/>
        </w:rPr>
        <w:t>م</w:t>
      </w:r>
      <w:r w:rsidR="008A6E65">
        <w:rPr>
          <w:rFonts w:ascii="IRBadr" w:hAnsi="IRBadr" w:cs="IRBadr" w:hint="cs"/>
          <w:sz w:val="28"/>
          <w:szCs w:val="28"/>
          <w:rtl/>
        </w:rPr>
        <w:t>ی‌</w:t>
      </w:r>
      <w:r w:rsidR="008A6E65">
        <w:rPr>
          <w:rFonts w:ascii="IRBadr" w:hAnsi="IRBadr" w:cs="IRBadr" w:hint="eastAsia"/>
          <w:sz w:val="28"/>
          <w:szCs w:val="28"/>
          <w:rtl/>
        </w:rPr>
        <w:t>فرما</w:t>
      </w:r>
      <w:r w:rsidR="008A6E65">
        <w:rPr>
          <w:rFonts w:ascii="IRBadr" w:hAnsi="IRBadr" w:cs="IRBadr" w:hint="cs"/>
          <w:sz w:val="28"/>
          <w:szCs w:val="28"/>
          <w:rtl/>
        </w:rPr>
        <w:t>ی</w:t>
      </w:r>
      <w:r w:rsidR="008A6E65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 که</w:t>
      </w:r>
      <w:r w:rsidR="00AF798C">
        <w:rPr>
          <w:rFonts w:ascii="Noor_Nazli" w:hAnsi="Noor_Nazli" w:cs="Noor_Nazli" w:hint="cs"/>
          <w:sz w:val="18"/>
          <w:szCs w:val="18"/>
          <w:rtl/>
        </w:rPr>
        <w:t>؛</w:t>
      </w:r>
    </w:p>
    <w:p w:rsidR="00AF798C" w:rsidRPr="00C21C54" w:rsidRDefault="00AF798C" w:rsidP="00940F7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C21C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لَوْ تَعْلَمُونَ مَا أَعْلَمُ مِمَّا طُوِ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21C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C21C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غَ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21C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بُهُ إِذاً لَخَرَجْتُمْ إِلَ</w:t>
      </w:r>
      <w:r w:rsidR="008A6E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21C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الصُّعُدَات» </w:t>
      </w:r>
      <w:r w:rsidR="00C21C54" w:rsidRPr="00C21C5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همین سبب برای همه این حالت مکشوف نیست چراکه در این صورت طبق این بیان همه به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کوه‌ها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آواره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دنیا از دنیا بودن خارج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افراد عزلت انتخاب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افراد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چشم برزخی دارند،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حالت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مستمری نیست اما در حالت باز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شدن گویا که او از دنیا خارج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دعای ابی حمزه و ادعیه مکرر این تصویر از جهان پس از مرگ تا قبل از قیامت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ارائه‌شده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0082A" w:rsidRDefault="00F0082A" w:rsidP="00940F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</w:t>
      </w:r>
      <w:r w:rsidR="00B70F08">
        <w:rPr>
          <w:rFonts w:ascii="IRBadr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ادامه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؛ و چیزهایی را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ی‌شنیدید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ی‌شنوید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به‌زودی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حجاب از شما برداشته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م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 xml:space="preserve"> علی‌رغم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عدم معاینه اما حجت بر شما تمام است چراکه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همه‌چیز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E6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اگر اهواء را کنار بگذارید همه </w:t>
      </w:r>
      <w:r w:rsidR="008A6E6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خواهید دید.</w:t>
      </w:r>
    </w:p>
    <w:p w:rsidR="00F0082A" w:rsidRPr="00B2132E" w:rsidRDefault="00F0082A" w:rsidP="00940F7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F0082A" w:rsidRPr="00B2132E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1D" w:rsidRDefault="0001111D" w:rsidP="000D5800">
      <w:pPr>
        <w:spacing w:after="0" w:line="240" w:lineRule="auto"/>
      </w:pPr>
      <w:r>
        <w:separator/>
      </w:r>
    </w:p>
  </w:endnote>
  <w:endnote w:type="continuationSeparator" w:id="0">
    <w:p w:rsidR="0001111D" w:rsidRDefault="0001111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Noor_Nazli">
    <w:panose1 w:val="01000506000000020004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5" w:rsidRDefault="008A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5" w:rsidRDefault="008A6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5" w:rsidRDefault="008A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1D" w:rsidRDefault="0001111D" w:rsidP="00C21C54">
      <w:pPr>
        <w:spacing w:after="0" w:line="240" w:lineRule="auto"/>
        <w:jc w:val="right"/>
      </w:pPr>
      <w:r>
        <w:separator/>
      </w:r>
    </w:p>
  </w:footnote>
  <w:footnote w:type="continuationSeparator" w:id="0">
    <w:p w:rsidR="0001111D" w:rsidRDefault="0001111D" w:rsidP="000D5800">
      <w:pPr>
        <w:spacing w:after="0" w:line="240" w:lineRule="auto"/>
      </w:pPr>
      <w:r>
        <w:continuationSeparator/>
      </w:r>
    </w:p>
  </w:footnote>
  <w:footnote w:id="1">
    <w:p w:rsidR="001B2086" w:rsidRPr="001B2086" w:rsidRDefault="001B2086">
      <w:pPr>
        <w:pStyle w:val="FootnoteText"/>
        <w:rPr>
          <w:rFonts w:ascii="IRBadr" w:hAnsi="IRBadr" w:cs="IRBadr"/>
        </w:rPr>
      </w:pPr>
      <w:r w:rsidRPr="001B2086">
        <w:rPr>
          <w:rStyle w:val="FootnoteReference"/>
          <w:rFonts w:ascii="IRBadr" w:hAnsi="IRBadr" w:cs="IRBadr"/>
        </w:rPr>
        <w:footnoteRef/>
      </w:r>
      <w:r w:rsidRPr="001B2086">
        <w:rPr>
          <w:rFonts w:ascii="IRBadr" w:hAnsi="IRBadr" w:cs="IRBadr"/>
          <w:rtl/>
        </w:rPr>
        <w:t>ـ</w:t>
      </w:r>
      <w:r w:rsidRPr="001B2086">
        <w:rPr>
          <w:rFonts w:ascii="IRBadr" w:hAnsi="IRBadr" w:cs="IRBadr"/>
          <w:color w:val="000000" w:themeColor="text1"/>
          <w:rtl/>
        </w:rPr>
        <w:t xml:space="preserve"> </w:t>
      </w:r>
      <w:bookmarkStart w:id="18" w:name="_GoBack"/>
      <w:r w:rsidRPr="001B2086">
        <w:rPr>
          <w:rFonts w:ascii="IRBadr" w:hAnsi="IRBadr" w:cs="IRBadr"/>
          <w:color w:val="000000" w:themeColor="text1"/>
          <w:rtl/>
        </w:rPr>
        <w:t>نهج</w:t>
      </w:r>
      <w:bookmarkEnd w:id="18"/>
      <w:r w:rsidRPr="001B2086">
        <w:rPr>
          <w:rFonts w:ascii="IRBadr" w:hAnsi="IRBadr" w:cs="IRBadr"/>
          <w:color w:val="000000" w:themeColor="text1"/>
          <w:rtl/>
        </w:rPr>
        <w:t xml:space="preserve"> البلاغة؛ ص: 28</w:t>
      </w:r>
      <w:r>
        <w:rPr>
          <w:rFonts w:ascii="IRBadr" w:hAnsi="IRBadr" w:cs="IRBadr" w:hint="cs"/>
          <w:rtl/>
        </w:rPr>
        <w:t>.</w:t>
      </w:r>
    </w:p>
  </w:footnote>
  <w:footnote w:id="2">
    <w:p w:rsidR="00C21C54" w:rsidRPr="00C21C54" w:rsidRDefault="00C21C54">
      <w:pPr>
        <w:pStyle w:val="FootnoteText"/>
        <w:rPr>
          <w:rFonts w:ascii="IRBadr" w:hAnsi="IRBadr" w:cs="IRBadr"/>
        </w:rPr>
      </w:pPr>
      <w:r w:rsidRPr="00C21C54">
        <w:rPr>
          <w:rStyle w:val="FootnoteReference"/>
          <w:rFonts w:ascii="IRBadr" w:hAnsi="IRBadr" w:cs="IRBadr"/>
        </w:rPr>
        <w:footnoteRef/>
      </w:r>
      <w:r w:rsidRPr="00C21C54">
        <w:rPr>
          <w:rFonts w:ascii="IRBadr" w:hAnsi="IRBadr" w:cs="IRBadr"/>
          <w:rtl/>
        </w:rPr>
        <w:t>ـ</w:t>
      </w:r>
      <w:r w:rsidRPr="00C21C54">
        <w:rPr>
          <w:rFonts w:ascii="IRBadr" w:hAnsi="IRBadr" w:cs="IRBadr"/>
          <w:color w:val="000000" w:themeColor="text1"/>
          <w:rtl/>
        </w:rPr>
        <w:t xml:space="preserve"> نهج البلاغة؛ ص: 136</w:t>
      </w:r>
      <w:r w:rsidRPr="00C21C54">
        <w:rPr>
          <w:rFonts w:ascii="IRBadr" w:hAnsi="IRBadr" w:cs="IRBadr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5" w:rsidRDefault="008A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2132E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9319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2132E">
      <w:rPr>
        <w:rFonts w:ascii="IranNastaliq" w:hAnsi="IranNastaliq" w:cs="IranNastaliq" w:hint="cs"/>
        <w:sz w:val="40"/>
        <w:szCs w:val="40"/>
        <w:rtl/>
        <w:lang w:bidi="fa-IR"/>
      </w:rPr>
      <w:t>3789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5" w:rsidRDefault="008A6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1111D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3CBC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2086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144"/>
    <w:rsid w:val="002C291B"/>
    <w:rsid w:val="002C56FD"/>
    <w:rsid w:val="002C7C91"/>
    <w:rsid w:val="002D49E4"/>
    <w:rsid w:val="002E450B"/>
    <w:rsid w:val="002E73F9"/>
    <w:rsid w:val="002F05B9"/>
    <w:rsid w:val="002F7DDE"/>
    <w:rsid w:val="003027A8"/>
    <w:rsid w:val="00303DB6"/>
    <w:rsid w:val="00340BA3"/>
    <w:rsid w:val="00366400"/>
    <w:rsid w:val="00383409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587C"/>
    <w:rsid w:val="004F292E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36193"/>
    <w:rsid w:val="008407A4"/>
    <w:rsid w:val="00845CC4"/>
    <w:rsid w:val="008644F4"/>
    <w:rsid w:val="008710EC"/>
    <w:rsid w:val="00883733"/>
    <w:rsid w:val="008965D2"/>
    <w:rsid w:val="008A236D"/>
    <w:rsid w:val="008A6E65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40F75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AF798C"/>
    <w:rsid w:val="00B06BB8"/>
    <w:rsid w:val="00B15027"/>
    <w:rsid w:val="00B2132E"/>
    <w:rsid w:val="00B21CF4"/>
    <w:rsid w:val="00B24300"/>
    <w:rsid w:val="00B31426"/>
    <w:rsid w:val="00B63F15"/>
    <w:rsid w:val="00B67C08"/>
    <w:rsid w:val="00B70F08"/>
    <w:rsid w:val="00B7512E"/>
    <w:rsid w:val="00B85A27"/>
    <w:rsid w:val="00BB5F7E"/>
    <w:rsid w:val="00BB6A1C"/>
    <w:rsid w:val="00BC26F6"/>
    <w:rsid w:val="00BD3122"/>
    <w:rsid w:val="00BD40DA"/>
    <w:rsid w:val="00C160AF"/>
    <w:rsid w:val="00C21C54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94D48"/>
    <w:rsid w:val="00DB28BB"/>
    <w:rsid w:val="00DB7786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3B94"/>
    <w:rsid w:val="00EA5D97"/>
    <w:rsid w:val="00EC4393"/>
    <w:rsid w:val="00EE1C07"/>
    <w:rsid w:val="00EE2C91"/>
    <w:rsid w:val="00EE3979"/>
    <w:rsid w:val="00EF138C"/>
    <w:rsid w:val="00F0082A"/>
    <w:rsid w:val="00F034CE"/>
    <w:rsid w:val="00F10A0F"/>
    <w:rsid w:val="00F40284"/>
    <w:rsid w:val="00F67976"/>
    <w:rsid w:val="00F70BE1"/>
    <w:rsid w:val="00F7640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2104-A36C-4FFC-A776-B966E6E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150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62</cp:revision>
  <dcterms:created xsi:type="dcterms:W3CDTF">2014-11-18T06:47:00Z</dcterms:created>
  <dcterms:modified xsi:type="dcterms:W3CDTF">2015-10-11T09:45:00Z</dcterms:modified>
</cp:coreProperties>
</file>