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C2" w:rsidRDefault="007E51D0" w:rsidP="002B5DC2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cs="B Badr" w:hint="cs"/>
          <w:sz w:val="28"/>
          <w:szCs w:val="28"/>
          <w:rtl/>
          <w:lang w:bidi="fa-IR"/>
        </w:rPr>
        <w:t>بسم‌الله</w:t>
      </w:r>
      <w:r w:rsidR="003E4ADF" w:rsidRPr="00B7512E">
        <w:rPr>
          <w:rFonts w:cs="B Badr" w:hint="cs"/>
          <w:sz w:val="28"/>
          <w:szCs w:val="28"/>
          <w:rtl/>
          <w:lang w:bidi="fa-IR"/>
        </w:rPr>
        <w:t xml:space="preserve"> </w:t>
      </w:r>
      <w:bookmarkEnd w:id="0"/>
      <w:r w:rsidR="003E4ADF" w:rsidRPr="00B7512E">
        <w:rPr>
          <w:rFonts w:cs="B Badr" w:hint="cs"/>
          <w:sz w:val="28"/>
          <w:szCs w:val="28"/>
          <w:rtl/>
          <w:lang w:bidi="fa-IR"/>
        </w:rPr>
        <w:t>الرحمن الرحیم</w:t>
      </w:r>
      <w:r w:rsidR="002B5DC2">
        <w:rPr>
          <w:rFonts w:cs="B Badr"/>
          <w:sz w:val="28"/>
          <w:szCs w:val="28"/>
          <w:rtl/>
          <w:lang w:bidi="fa-IR"/>
        </w:rPr>
        <w:fldChar w:fldCharType="begin"/>
      </w:r>
      <w:r w:rsidR="002B5DC2">
        <w:rPr>
          <w:rFonts w:cs="B Badr"/>
          <w:sz w:val="28"/>
          <w:szCs w:val="28"/>
          <w:rtl/>
          <w:lang w:bidi="fa-IR"/>
        </w:rPr>
        <w:instrText xml:space="preserve"> </w:instrText>
      </w:r>
      <w:r w:rsidR="002B5DC2">
        <w:rPr>
          <w:rFonts w:cs="B Badr"/>
          <w:sz w:val="28"/>
          <w:szCs w:val="28"/>
          <w:lang w:bidi="fa-IR"/>
        </w:rPr>
        <w:instrText>TOC</w:instrText>
      </w:r>
      <w:r w:rsidR="002B5DC2">
        <w:rPr>
          <w:rFonts w:cs="B Badr"/>
          <w:sz w:val="28"/>
          <w:szCs w:val="28"/>
          <w:rtl/>
          <w:lang w:bidi="fa-IR"/>
        </w:rPr>
        <w:instrText xml:space="preserve"> \</w:instrText>
      </w:r>
      <w:r w:rsidR="002B5DC2">
        <w:rPr>
          <w:rFonts w:cs="B Badr"/>
          <w:sz w:val="28"/>
          <w:szCs w:val="28"/>
          <w:lang w:bidi="fa-IR"/>
        </w:rPr>
        <w:instrText>o "1-6" \h \z \u</w:instrText>
      </w:r>
      <w:r w:rsidR="002B5DC2">
        <w:rPr>
          <w:rFonts w:cs="B Badr"/>
          <w:sz w:val="28"/>
          <w:szCs w:val="28"/>
          <w:rtl/>
          <w:lang w:bidi="fa-IR"/>
        </w:rPr>
        <w:instrText xml:space="preserve"> </w:instrText>
      </w:r>
      <w:r w:rsidR="002B5DC2">
        <w:rPr>
          <w:rFonts w:cs="B Badr"/>
          <w:sz w:val="28"/>
          <w:szCs w:val="28"/>
          <w:rtl/>
          <w:lang w:bidi="fa-IR"/>
        </w:rPr>
        <w:fldChar w:fldCharType="separate"/>
      </w:r>
    </w:p>
    <w:p w:rsidR="002B5DC2" w:rsidRDefault="002B5DC2" w:rsidP="002B5D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4" w:history="1">
        <w:r w:rsidRPr="006A0385">
          <w:rPr>
            <w:rStyle w:val="Hyperlink"/>
            <w:rFonts w:hint="eastAsia"/>
            <w:noProof/>
            <w:rtl/>
          </w:rPr>
          <w:t>نظام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ساز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در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5" w:history="1">
        <w:r w:rsidRPr="006A0385">
          <w:rPr>
            <w:rStyle w:val="Hyperlink"/>
            <w:rFonts w:hint="eastAsia"/>
            <w:noProof/>
            <w:rtl/>
          </w:rPr>
          <w:t>مرور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بحث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6" w:history="1">
        <w:r w:rsidRPr="006A0385">
          <w:rPr>
            <w:rStyle w:val="Hyperlink"/>
            <w:rFonts w:hint="eastAsia"/>
            <w:noProof/>
            <w:rtl/>
          </w:rPr>
          <w:t>حالات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مختلف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گزاره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ها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در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7" w:history="1">
        <w:r w:rsidRPr="006A0385">
          <w:rPr>
            <w:rStyle w:val="Hyperlink"/>
            <w:rFonts w:hint="eastAsia"/>
            <w:noProof/>
            <w:rtl/>
          </w:rPr>
          <w:t>اهم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ت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تنظ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م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8" w:history="1">
        <w:r w:rsidRPr="006A0385">
          <w:rPr>
            <w:rStyle w:val="Hyperlink"/>
            <w:rFonts w:hint="eastAsia"/>
            <w:noProof/>
            <w:rtl/>
          </w:rPr>
          <w:t>طبقه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بند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در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مسائل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مستحدثه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299" w:history="1">
        <w:r w:rsidRPr="006A0385">
          <w:rPr>
            <w:rStyle w:val="Hyperlink"/>
            <w:rFonts w:hint="eastAsia"/>
            <w:noProof/>
            <w:rtl/>
          </w:rPr>
          <w:t>نقش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تسه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ل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تنظ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م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_Toc432158299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0" w:history="1">
        <w:r w:rsidRPr="006A0385">
          <w:rPr>
            <w:rStyle w:val="Hyperlink"/>
            <w:rFonts w:hint="eastAsia"/>
            <w:noProof/>
            <w:rtl/>
          </w:rPr>
          <w:t>اثر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ثبوت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تنظ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م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1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2" w:history="1">
        <w:r w:rsidRPr="006A0385">
          <w:rPr>
            <w:rStyle w:val="Hyperlink"/>
            <w:rFonts w:hint="eastAsia"/>
            <w:noProof/>
            <w:rtl/>
          </w:rPr>
          <w:t>تمث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ل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3" w:history="1">
        <w:r w:rsidRPr="006A0385">
          <w:rPr>
            <w:rStyle w:val="Hyperlink"/>
            <w:rFonts w:hint="eastAsia"/>
            <w:noProof/>
            <w:rtl/>
          </w:rPr>
          <w:t>تأث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rFonts w:hint="eastAsia"/>
            <w:noProof/>
            <w:rtl/>
          </w:rPr>
          <w:t>رات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ذ</w:t>
        </w:r>
        <w:r w:rsidRPr="006A0385">
          <w:rPr>
            <w:rStyle w:val="Hyperlink"/>
            <w:rFonts w:hint="cs"/>
            <w:noProof/>
            <w:rtl/>
          </w:rPr>
          <w:t>ی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مراتب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4" w:history="1">
        <w:r w:rsidRPr="006A0385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6A038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A0385">
          <w:rPr>
            <w:rStyle w:val="Hyperlink"/>
            <w:rFonts w:ascii="IRBadr" w:hAnsi="IRBadr" w:cs="IRBadr" w:hint="eastAsia"/>
            <w:noProof/>
            <w:rtl/>
          </w:rPr>
          <w:t>مسائل</w:t>
        </w:r>
        <w:r w:rsidRPr="006A038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A0385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Pr="006A0385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5" w:history="1">
        <w:r w:rsidRPr="006A0385">
          <w:rPr>
            <w:rStyle w:val="Hyperlink"/>
            <w:rFonts w:hint="eastAsia"/>
            <w:noProof/>
            <w:rtl/>
          </w:rPr>
          <w:t>آثار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نظم</w:t>
        </w:r>
        <w:r w:rsidRPr="006A0385">
          <w:rPr>
            <w:rStyle w:val="Hyperlink"/>
            <w:noProof/>
            <w:rtl/>
          </w:rPr>
          <w:t xml:space="preserve"> </w:t>
        </w:r>
        <w:r w:rsidRPr="006A0385">
          <w:rPr>
            <w:rStyle w:val="Hyperlink"/>
            <w:rFonts w:hint="eastAsia"/>
            <w:noProof/>
            <w:rtl/>
          </w:rPr>
          <w:t>ظاهر</w:t>
        </w:r>
        <w:r w:rsidRPr="006A0385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6" w:history="1">
        <w:r w:rsidRPr="006A0385">
          <w:rPr>
            <w:rStyle w:val="Hyperlink"/>
            <w:rFonts w:ascii="IRBadr" w:hAnsi="IRBadr" w:cs="IRBadr" w:hint="eastAsia"/>
            <w:noProof/>
            <w:rtl/>
          </w:rPr>
          <w:t>ز</w:t>
        </w:r>
        <w:r w:rsidRPr="006A0385">
          <w:rPr>
            <w:rStyle w:val="Hyperlink"/>
            <w:rFonts w:ascii="IRBadr" w:hAnsi="IRBadr" w:cs="IRBadr" w:hint="cs"/>
            <w:noProof/>
            <w:rtl/>
          </w:rPr>
          <w:t>ی</w:t>
        </w:r>
        <w:r w:rsidRPr="006A0385">
          <w:rPr>
            <w:rStyle w:val="Hyperlink"/>
            <w:rFonts w:ascii="IRBadr" w:hAnsi="IRBadr" w:cs="IRBadr" w:hint="eastAsia"/>
            <w:noProof/>
            <w:rtl/>
          </w:rPr>
          <w:t>رمجموعه‌ها</w:t>
        </w:r>
        <w:r w:rsidRPr="006A0385">
          <w:rPr>
            <w:rStyle w:val="Hyperlink"/>
            <w:rFonts w:ascii="IRBadr" w:hAnsi="IRBadr" w:cs="IRBadr" w:hint="cs"/>
            <w:noProof/>
            <w:rtl/>
          </w:rPr>
          <w:t>ی</w:t>
        </w:r>
        <w:r w:rsidRPr="006A038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A0385">
          <w:rPr>
            <w:rStyle w:val="Hyperlink"/>
            <w:rFonts w:ascii="IRBadr" w:hAnsi="IRBadr" w:cs="IRBadr" w:hint="eastAsia"/>
            <w:noProof/>
            <w:rtl/>
          </w:rPr>
          <w:t>علوم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7" w:history="1">
        <w:r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58308" w:history="1">
        <w:r w:rsidRPr="006A0385">
          <w:rPr>
            <w:rStyle w:val="Hyperlink"/>
            <w:rFonts w:ascii="IRBadr" w:hAnsi="IRBadr" w:cs="IRBadr" w:hint="eastAsia"/>
            <w:noProof/>
            <w:rtl/>
          </w:rPr>
          <w:t>مرحله</w:t>
        </w:r>
        <w:r w:rsidRPr="006A0385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A0385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_Toc432158308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B5DC2" w:rsidRDefault="002B5DC2" w:rsidP="002B5DC2">
      <w:pPr>
        <w:bidi/>
        <w:spacing w:line="360" w:lineRule="auto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fldChar w:fldCharType="end"/>
      </w:r>
    </w:p>
    <w:p w:rsidR="002B5DC2" w:rsidRDefault="002B5DC2">
      <w:pPr>
        <w:spacing w:after="0" w:line="240" w:lineRule="auto"/>
        <w:rPr>
          <w:rFonts w:cs="B Badr"/>
          <w:sz w:val="28"/>
          <w:szCs w:val="28"/>
          <w:rtl/>
          <w:lang w:bidi="fa-IR"/>
        </w:rPr>
      </w:pPr>
      <w:r>
        <w:rPr>
          <w:rFonts w:cs="B Badr"/>
          <w:sz w:val="28"/>
          <w:szCs w:val="28"/>
          <w:rtl/>
          <w:lang w:bidi="fa-IR"/>
        </w:rPr>
        <w:br w:type="page"/>
      </w:r>
    </w:p>
    <w:p w:rsidR="00D926CB" w:rsidRPr="002B5DC2" w:rsidRDefault="00D926CB" w:rsidP="002B5DC2">
      <w:pPr>
        <w:pStyle w:val="Heading1"/>
        <w:rPr>
          <w:rFonts w:cs="B Badr" w:hint="cs"/>
          <w:szCs w:val="28"/>
          <w:rtl/>
        </w:rPr>
      </w:pPr>
      <w:bookmarkStart w:id="1" w:name="_Toc432158294"/>
      <w:r>
        <w:rPr>
          <w:rFonts w:hint="cs"/>
          <w:rtl/>
        </w:rPr>
        <w:lastRenderedPageBreak/>
        <w:t>نظام سازی در اجتهاد</w:t>
      </w:r>
      <w:bookmarkEnd w:id="1"/>
    </w:p>
    <w:p w:rsidR="00D926CB" w:rsidRDefault="00D926CB" w:rsidP="0063478A">
      <w:pPr>
        <w:pStyle w:val="Heading1"/>
        <w:rPr>
          <w:rtl/>
        </w:rPr>
      </w:pPr>
      <w:bookmarkStart w:id="2" w:name="_Toc432158295"/>
      <w:r>
        <w:rPr>
          <w:rFonts w:hint="cs"/>
          <w:rtl/>
        </w:rPr>
        <w:t>مرور بحث گذشته</w:t>
      </w:r>
      <w:bookmarkEnd w:id="2"/>
    </w:p>
    <w:p w:rsidR="00D926CB" w:rsidRDefault="00D926CB" w:rsidP="00D926C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سیزدهم در قبال اجتهادی بود که به هدف نظام سازی و برای اکتشاف مکتب و نظام انجام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ی‌پذیرد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مطلب برای این بیان شد که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نظام سازی امری متفاوت از اجتهادی بوده که تاکنون با آن سرو کار داشتیم.</w:t>
      </w:r>
    </w:p>
    <w:p w:rsidR="00D926CB" w:rsidRDefault="00D926CB" w:rsidP="0063478A">
      <w:pPr>
        <w:pStyle w:val="Heading2"/>
        <w:rPr>
          <w:rFonts w:hint="cs"/>
          <w:rtl/>
        </w:rPr>
      </w:pPr>
      <w:bookmarkStart w:id="3" w:name="_Toc432158296"/>
      <w:r>
        <w:rPr>
          <w:rFonts w:hint="cs"/>
          <w:rtl/>
        </w:rPr>
        <w:t xml:space="preserve">حالات مختلف </w:t>
      </w:r>
      <w:r w:rsidR="002B5DC2">
        <w:rPr>
          <w:rFonts w:hint="eastAsia"/>
          <w:rtl/>
        </w:rPr>
        <w:t>گزاره‌ها</w:t>
      </w:r>
      <w:r>
        <w:rPr>
          <w:rFonts w:hint="cs"/>
          <w:rtl/>
        </w:rPr>
        <w:t xml:space="preserve"> در علوم</w:t>
      </w:r>
      <w:bookmarkEnd w:id="3"/>
    </w:p>
    <w:p w:rsidR="00D926CB" w:rsidRDefault="00D926CB" w:rsidP="00D926C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به سراغ متون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ی‌رویم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دنبال پاسخ سؤال جزیی هستیم که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متون دینی به پاسخ آن بیابیم.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کشف تک گزاره،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وضعی یا تکلیفی آن را به دست آوریم.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نگاه به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نگاه تجمیعی است و در مواردی نیز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سنخ را با یکدیگر جمع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تبویب فقه به این ابواب بر اساس آن بوده است.</w:t>
      </w:r>
    </w:p>
    <w:p w:rsidR="00D926CB" w:rsidRDefault="00D926CB" w:rsidP="0063478A">
      <w:pPr>
        <w:pStyle w:val="Heading2"/>
        <w:rPr>
          <w:rFonts w:hint="cs"/>
          <w:rtl/>
        </w:rPr>
      </w:pPr>
      <w:bookmarkStart w:id="4" w:name="_Toc432158297"/>
      <w:r>
        <w:rPr>
          <w:rFonts w:hint="cs"/>
          <w:rtl/>
        </w:rPr>
        <w:t>اهمیت تنظیم علوم</w:t>
      </w:r>
      <w:bookmarkEnd w:id="4"/>
    </w:p>
    <w:p w:rsidR="00D926CB" w:rsidRDefault="00D926CB" w:rsidP="00D926CB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تنظیم در استنباط و اجتهاد بسیار مؤثر است.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تنظیم در قالب یک فصل و گاهی در قالب کتابی مانند طهارت است و در مواردی نیز فراتر خواهد بود و به بابی مانند عبادات را به وجود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طبقه بندی برای کشف نکات مؤثر در اجتهاد تک مسأله </w:t>
      </w:r>
      <w:r w:rsidR="00235AE3">
        <w:rPr>
          <w:rFonts w:ascii="IRBadr" w:hAnsi="IRBadr" w:cs="IRBadr" w:hint="cs"/>
          <w:sz w:val="28"/>
          <w:szCs w:val="28"/>
          <w:rtl/>
          <w:lang w:bidi="fa-IR"/>
        </w:rPr>
        <w:t>ای مؤثر است.</w:t>
      </w:r>
    </w:p>
    <w:p w:rsidR="00235AE3" w:rsidRDefault="00235AE3" w:rsidP="0063478A">
      <w:pPr>
        <w:pStyle w:val="Heading2"/>
        <w:rPr>
          <w:rtl/>
        </w:rPr>
      </w:pPr>
      <w:bookmarkStart w:id="5" w:name="_Toc432158298"/>
      <w:r>
        <w:rPr>
          <w:rFonts w:hint="cs"/>
          <w:rtl/>
        </w:rPr>
        <w:t>طبقه بندی در مسائل مستحدثه</w:t>
      </w:r>
      <w:bookmarkEnd w:id="5"/>
    </w:p>
    <w:p w:rsidR="00235AE3" w:rsidRPr="00D926CB" w:rsidRDefault="00235AE3" w:rsidP="00235AE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مسائل مستحدثه ای که معمولاً مشاهده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نظم به خصوصی برخوردار نیست.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ول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معمولاً دارای طبقه بندی است و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تک تک اجتهاد شده و یا این قابلیت را دارد،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دسته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بندی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دسته بندی به نحو طولی صورت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فصل به باب و کتاب منتهی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35AE3" w:rsidRDefault="00235AE3" w:rsidP="0063478A">
      <w:pPr>
        <w:pStyle w:val="Heading2"/>
        <w:rPr>
          <w:rtl/>
        </w:rPr>
      </w:pPr>
      <w:bookmarkStart w:id="6" w:name="_Toc432158299"/>
      <w:r>
        <w:rPr>
          <w:rFonts w:hint="cs"/>
          <w:rtl/>
        </w:rPr>
        <w:lastRenderedPageBreak/>
        <w:t>نقش تسهیلی تنظیم علوم</w:t>
      </w:r>
      <w:bookmarkEnd w:id="6"/>
    </w:p>
    <w:p w:rsidR="00235AE3" w:rsidRDefault="00235AE3" w:rsidP="00235AE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تنظیم علوم گاهی نقش تسهیل دریک علم را بر عهده دارد.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جمع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طبقات موجود در علوم در طبقه بالاتر قرار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هر تک مسأله ای در موضوع کلی علم قرار دارد.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علم چارچوب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روند تحقیق در علم را تسهیل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چارچوب کلی اموری صورت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تسهیل فرآیندها مؤثر است.</w:t>
      </w:r>
    </w:p>
    <w:p w:rsidR="00235AE3" w:rsidRDefault="00235AE3" w:rsidP="0063478A">
      <w:pPr>
        <w:pStyle w:val="Heading2"/>
        <w:rPr>
          <w:rFonts w:hint="cs"/>
          <w:rtl/>
        </w:rPr>
      </w:pPr>
      <w:bookmarkStart w:id="7" w:name="_Toc432158300"/>
      <w:r>
        <w:rPr>
          <w:rFonts w:hint="cs"/>
          <w:rtl/>
        </w:rPr>
        <w:t>اثر ثبوتی تنظیم علوم</w:t>
      </w:r>
      <w:bookmarkEnd w:id="7"/>
    </w:p>
    <w:p w:rsidR="00235AE3" w:rsidRDefault="00235AE3" w:rsidP="00235AE3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اثر دوم طبقه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بند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اثر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واقعی و ثبوتی است چراکه وقتی مسائل همگن در کنار یکدیگر قرار گیرد،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اصل اجتهاد و استنباط نیز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مؤثر باشد.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باعث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روابط بین علوم کشف شود.</w:t>
      </w:r>
    </w:p>
    <w:p w:rsidR="0063478A" w:rsidRDefault="002B5DC2" w:rsidP="0063478A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235AE3" w:rsidRDefault="00235AE3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در مقام تحلیل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مرحله‌اند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در حقیقت امری به هم پیوسته است.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 آوری در اجتهاد تک مسأله مؤثر است.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طبقه</w:t>
      </w:r>
      <w:r w:rsidR="0063478A">
        <w:rPr>
          <w:rFonts w:ascii="IRBadr" w:hAnsi="IRBadr" w:cs="IRBadr" w:hint="cs"/>
          <w:sz w:val="28"/>
          <w:szCs w:val="28"/>
          <w:rtl/>
          <w:lang w:bidi="fa-IR"/>
        </w:rPr>
        <w:t xml:space="preserve"> بندی هم ذو مراتب هستند و هم دارای اثباتی و ظاهری و احیاناً دارای اثر عمقی هستند.</w:t>
      </w:r>
    </w:p>
    <w:p w:rsidR="007B2F39" w:rsidRDefault="007B2F39" w:rsidP="007B2F39">
      <w:pPr>
        <w:pStyle w:val="Heading2"/>
        <w:rPr>
          <w:rtl/>
        </w:rPr>
      </w:pPr>
      <w:bookmarkStart w:id="8" w:name="_Toc432158302"/>
      <w:r>
        <w:rPr>
          <w:rFonts w:hint="cs"/>
          <w:rtl/>
        </w:rPr>
        <w:t>تمثیل بحث</w:t>
      </w:r>
      <w:bookmarkEnd w:id="8"/>
    </w:p>
    <w:p w:rsidR="0063478A" w:rsidRDefault="007B2F39" w:rsidP="007B2F3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برای مثال اگر احتمال داده شود که وقتی مجموعه مباحث ارث در کنار هم وقتی قرار بگیرد،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رسیدن به حکم کمک کند،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این کار را انجام دهد.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مسائل مستحدثه وقتی در کنار یکدیگر قرار بگیرد،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بس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مطالب مفی دیگر به دست خواهد آمد که در صورت تک مسأله گرایی بدان نکات نخواهیم رسید.</w:t>
      </w:r>
    </w:p>
    <w:p w:rsidR="007B2F39" w:rsidRDefault="007B2F39" w:rsidP="007B2F39">
      <w:pPr>
        <w:pStyle w:val="Heading2"/>
        <w:rPr>
          <w:rtl/>
        </w:rPr>
      </w:pPr>
      <w:bookmarkStart w:id="9" w:name="_Toc432158303"/>
      <w:r>
        <w:rPr>
          <w:rFonts w:hint="cs"/>
          <w:rtl/>
        </w:rPr>
        <w:t>تأثیرات ذی مراتب علوم</w:t>
      </w:r>
      <w:bookmarkEnd w:id="9"/>
    </w:p>
    <w:p w:rsidR="007B2F39" w:rsidRDefault="007B2F39" w:rsidP="007B2F39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تأثیر فلسفه و سایر علوم در قبال اجتهاد امری تشکیکی بوده و به مقداری که دارای اثر است باید بدان توجه شود.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مباحث حالت فلسفه علمی را داراست که کمک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رشد پیدا کند و هم اینکه اجتهاد او تقویت پیدا کند.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علوم اجتماعی و سایر علوم نیز بدین صورت است.</w:t>
      </w:r>
    </w:p>
    <w:p w:rsidR="007B2F39" w:rsidRPr="00235AE3" w:rsidRDefault="007B2F39" w:rsidP="007B2F3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لذا نظم ظاهری آثار عمقی ای را 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>م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استکشاف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علوم داشته باشد.</w:t>
      </w:r>
    </w:p>
    <w:p w:rsidR="00DF5659" w:rsidRPr="0063478A" w:rsidRDefault="00DF5659" w:rsidP="0063478A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158304"/>
      <w:r w:rsidRPr="0063478A">
        <w:rPr>
          <w:rFonts w:ascii="IRBadr" w:hAnsi="IRBadr" w:cs="IRBadr"/>
          <w:rtl/>
        </w:rPr>
        <w:t>انواع مسائل فقهی</w:t>
      </w:r>
      <w:bookmarkEnd w:id="10"/>
    </w:p>
    <w:p w:rsidR="0063478A" w:rsidRDefault="00DF5659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نگاه‌های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فقهی گاهی نظر به مسائل جزئی و گاهی نگاه به مسائل مرتبط در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یک‌فصل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2C7C91" w:rsidRPr="0063478A">
        <w:rPr>
          <w:rFonts w:ascii="IRBadr" w:hAnsi="IRBadr" w:cs="IRBadr"/>
          <w:sz w:val="28"/>
          <w:szCs w:val="28"/>
          <w:rtl/>
          <w:lang w:bidi="fa-IR"/>
        </w:rPr>
        <w:t xml:space="preserve"> طرفی دیگر اموری است که باید بدان توجه شود که؛ تعلم و نگارش علم برای تسهیل در فرآیند اجتهاد امری لازم است.</w:t>
      </w:r>
    </w:p>
    <w:p w:rsidR="00DF5659" w:rsidRPr="0063478A" w:rsidRDefault="007E51D0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>جنبه</w:t>
      </w:r>
      <w:r w:rsidR="002C7C91" w:rsidRPr="0063478A">
        <w:rPr>
          <w:rFonts w:ascii="IRBadr" w:hAnsi="IRBadr" w:cs="IRBadr"/>
          <w:sz w:val="28"/>
          <w:szCs w:val="28"/>
          <w:rtl/>
          <w:lang w:bidi="fa-IR"/>
        </w:rPr>
        <w:t xml:space="preserve"> دوم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طبقه‌بندی لازم در علوم است،</w:t>
      </w:r>
      <w:r w:rsidR="002B5DC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2B5DC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C7C91" w:rsidRPr="0063478A">
        <w:rPr>
          <w:rFonts w:ascii="IRBadr" w:hAnsi="IRBadr" w:cs="IRBadr"/>
          <w:sz w:val="28"/>
          <w:szCs w:val="28"/>
          <w:rtl/>
          <w:lang w:bidi="fa-IR"/>
        </w:rPr>
        <w:t xml:space="preserve"> عمل اثباتاً نیز اثر دارد.</w:t>
      </w:r>
    </w:p>
    <w:p w:rsidR="0063478A" w:rsidRDefault="0063478A" w:rsidP="0063478A">
      <w:pPr>
        <w:pStyle w:val="Heading2"/>
        <w:rPr>
          <w:rtl/>
        </w:rPr>
      </w:pPr>
      <w:bookmarkStart w:id="11" w:name="_Toc432158305"/>
      <w:r>
        <w:rPr>
          <w:rFonts w:hint="cs"/>
          <w:rtl/>
        </w:rPr>
        <w:t>آثار نظم ظاهری</w:t>
      </w:r>
      <w:bookmarkEnd w:id="11"/>
    </w:p>
    <w:p w:rsidR="00DF5659" w:rsidRPr="0063478A" w:rsidRDefault="003A7D46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نظم ظاهری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آثار عمیقی در استکشاف و استنباط داشته باشد.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جهتی دیگر تعبیر من این است که ما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هرکدام از علوم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برش‌های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متعددی را داشته باشیم.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از ابواب بر اساس حیثیتی که دارند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جنبه‌های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مختلف مورد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بهره‌گیری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قرار گیرند،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به‌عنوان‌مثال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ممکن است یک مسأله در ابواب عبادی،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اقتصادی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>،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 xml:space="preserve"> فرهنگی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و ...دارای اثر باشد.</w:t>
      </w:r>
    </w:p>
    <w:p w:rsidR="00DF5659" w:rsidRPr="0063478A" w:rsidRDefault="007E51D0" w:rsidP="0063478A">
      <w:pPr>
        <w:pStyle w:val="Heading2"/>
        <w:spacing w:line="360" w:lineRule="auto"/>
        <w:rPr>
          <w:rFonts w:ascii="IRBadr" w:hAnsi="IRBadr" w:cs="IRBadr"/>
          <w:sz w:val="42"/>
          <w:rtl/>
        </w:rPr>
      </w:pPr>
      <w:bookmarkStart w:id="12" w:name="_Toc432158306"/>
      <w:r w:rsidRPr="0063478A">
        <w:rPr>
          <w:rFonts w:ascii="IRBadr" w:hAnsi="IRBadr" w:cs="IRBadr"/>
          <w:sz w:val="42"/>
          <w:rtl/>
        </w:rPr>
        <w:t>زیرمجموعه‌های</w:t>
      </w:r>
      <w:r w:rsidR="002C291B" w:rsidRPr="0063478A">
        <w:rPr>
          <w:rFonts w:ascii="IRBadr" w:hAnsi="IRBadr" w:cs="IRBadr"/>
          <w:sz w:val="42"/>
          <w:rtl/>
        </w:rPr>
        <w:t xml:space="preserve"> علوم</w:t>
      </w:r>
      <w:bookmarkEnd w:id="12"/>
    </w:p>
    <w:p w:rsidR="0063478A" w:rsidRDefault="007E51D0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نیست که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زیرمجموعه‌های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علوم ثابت و لایتغیر باشند و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نکات دیگری که از اهمیت بالایی برخوردار است،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فلسفه علوم است.</w:t>
      </w:r>
    </w:p>
    <w:p w:rsidR="0063478A" w:rsidRDefault="002B5DC2" w:rsidP="0063478A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2C291B" w:rsidRPr="0063478A" w:rsidRDefault="007E51D0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تاکنون گفته شد که اجتهاد تک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گزاره‌ای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هسته اجتهاد پایه است.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اجتهاد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نیز در طول تاریخ روند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روبه‌جلو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تکامل‌یافته‌ای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داشته است.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2C291B" w:rsidRPr="0063478A">
        <w:rPr>
          <w:rFonts w:ascii="IRBadr" w:hAnsi="IRBadr" w:cs="IRBadr"/>
          <w:sz w:val="28"/>
          <w:szCs w:val="28"/>
          <w:rtl/>
          <w:lang w:bidi="fa-IR"/>
        </w:rPr>
        <w:t xml:space="preserve"> این تکامل به نحو تدریجی بوده است.</w:t>
      </w:r>
    </w:p>
    <w:p w:rsidR="002C291B" w:rsidRPr="0063478A" w:rsidRDefault="002C291B" w:rsidP="0063478A">
      <w:pPr>
        <w:pStyle w:val="Heading2"/>
        <w:spacing w:line="360" w:lineRule="auto"/>
        <w:rPr>
          <w:rFonts w:ascii="IRBadr" w:hAnsi="IRBadr" w:cs="IRBadr"/>
          <w:rtl/>
        </w:rPr>
      </w:pPr>
      <w:bookmarkStart w:id="13" w:name="_Toc432158308"/>
      <w:r w:rsidRPr="0063478A">
        <w:rPr>
          <w:rFonts w:ascii="IRBadr" w:hAnsi="IRBadr" w:cs="IRBadr"/>
          <w:rtl/>
        </w:rPr>
        <w:lastRenderedPageBreak/>
        <w:t>مرحله سوم</w:t>
      </w:r>
      <w:bookmarkEnd w:id="13"/>
    </w:p>
    <w:p w:rsid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اما مرحله سوم این است که </w:t>
      </w:r>
      <w:r w:rsidR="003E4ADF" w:rsidRPr="0063478A">
        <w:rPr>
          <w:rFonts w:ascii="IRBadr" w:hAnsi="IRBadr" w:cs="IRBadr"/>
          <w:sz w:val="28"/>
          <w:szCs w:val="28"/>
          <w:rtl/>
          <w:lang w:bidi="fa-IR"/>
        </w:rPr>
        <w:t xml:space="preserve">گزاره‌های فقهی مرتبط با یک مبحث 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را کنار هم بچینیم</w:t>
      </w:r>
      <w:r w:rsidR="003E4ADF" w:rsidRPr="0063478A">
        <w:rPr>
          <w:rFonts w:ascii="IRBadr" w:hAnsi="IRBadr" w:cs="IRBadr"/>
          <w:sz w:val="28"/>
          <w:szCs w:val="28"/>
          <w:rtl/>
          <w:lang w:bidi="fa-IR"/>
        </w:rPr>
        <w:t xml:space="preserve"> و از سطح به یک عمق پی ببریم. یعنی بگوییم بر این گزاره‌های متنوع و متعدد فقهی چه قوانین کلی‌تری حاکم است. این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4ADF" w:rsidRPr="0063478A">
        <w:rPr>
          <w:rFonts w:ascii="IRBadr" w:hAnsi="IRBadr" w:cs="IRBadr"/>
          <w:sz w:val="28"/>
          <w:szCs w:val="28"/>
          <w:rtl/>
          <w:lang w:bidi="fa-IR"/>
        </w:rPr>
        <w:t>کار تحلیلی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3E4ADF" w:rsidRPr="0063478A">
        <w:rPr>
          <w:rFonts w:ascii="IRBadr" w:hAnsi="IRBadr" w:cs="IRBadr"/>
          <w:sz w:val="28"/>
          <w:szCs w:val="28"/>
          <w:rtl/>
          <w:lang w:bidi="fa-IR"/>
        </w:rPr>
        <w:t xml:space="preserve"> عمقی است.</w:t>
      </w:r>
    </w:p>
    <w:p w:rsidR="002C291B" w:rsidRP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شهید صدر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مبدع این دیدگاه است که ما از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لایه‌های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اولیه رویین احکامی که در فقه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گذر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به قوانین کلی و جهت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دهنده‌ای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E51D0" w:rsidRPr="0063478A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Pr="0063478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C291B" w:rsidRP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C291B" w:rsidRP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C291B" w:rsidRP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C291B" w:rsidRPr="0063478A" w:rsidRDefault="002C291B" w:rsidP="0063478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63478A" w:rsidRDefault="00152670" w:rsidP="0063478A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63478A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CA" w:rsidRDefault="006F35CA" w:rsidP="000D5800">
      <w:pPr>
        <w:spacing w:after="0" w:line="240" w:lineRule="auto"/>
      </w:pPr>
      <w:r>
        <w:separator/>
      </w:r>
    </w:p>
  </w:endnote>
  <w:endnote w:type="continuationSeparator" w:id="0">
    <w:p w:rsidR="006F35CA" w:rsidRDefault="006F35C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C2" w:rsidRDefault="002B5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C2" w:rsidRDefault="002B5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C2" w:rsidRDefault="002B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CA" w:rsidRDefault="006F35CA" w:rsidP="000D5800">
      <w:pPr>
        <w:spacing w:after="0" w:line="240" w:lineRule="auto"/>
      </w:pPr>
      <w:r>
        <w:separator/>
      </w:r>
    </w:p>
  </w:footnote>
  <w:footnote w:type="continuationSeparator" w:id="0">
    <w:p w:rsidR="006F35CA" w:rsidRDefault="006F35CA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C2" w:rsidRDefault="002B5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E4AD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6DBA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7E51D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E4ADF">
      <w:rPr>
        <w:rFonts w:ascii="IranNastaliq" w:hAnsi="IranNastaliq" w:cs="IranNastaliq"/>
        <w:sz w:val="40"/>
        <w:szCs w:val="40"/>
      </w:rPr>
      <w:t>3796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C2" w:rsidRDefault="002B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5AE3"/>
    <w:rsid w:val="002376A5"/>
    <w:rsid w:val="002417C9"/>
    <w:rsid w:val="002529C5"/>
    <w:rsid w:val="00270294"/>
    <w:rsid w:val="002914BD"/>
    <w:rsid w:val="00297263"/>
    <w:rsid w:val="002B5DC2"/>
    <w:rsid w:val="002C291B"/>
    <w:rsid w:val="002C56FD"/>
    <w:rsid w:val="002C7C91"/>
    <w:rsid w:val="002D49E4"/>
    <w:rsid w:val="002E450B"/>
    <w:rsid w:val="002E73F9"/>
    <w:rsid w:val="002F05B9"/>
    <w:rsid w:val="00340BA3"/>
    <w:rsid w:val="00366400"/>
    <w:rsid w:val="00392E9A"/>
    <w:rsid w:val="00396F28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478A"/>
    <w:rsid w:val="00636EFA"/>
    <w:rsid w:val="0066229C"/>
    <w:rsid w:val="0069696C"/>
    <w:rsid w:val="006A085A"/>
    <w:rsid w:val="006B0BCE"/>
    <w:rsid w:val="006B1AE8"/>
    <w:rsid w:val="006D3A87"/>
    <w:rsid w:val="006F01B4"/>
    <w:rsid w:val="006F35CA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AF7"/>
    <w:rsid w:val="007B2F39"/>
    <w:rsid w:val="007B6FEB"/>
    <w:rsid w:val="007C1EF7"/>
    <w:rsid w:val="007C710E"/>
    <w:rsid w:val="007D0B88"/>
    <w:rsid w:val="007D1549"/>
    <w:rsid w:val="007E03E9"/>
    <w:rsid w:val="007E04EE"/>
    <w:rsid w:val="007E51D0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63F15"/>
    <w:rsid w:val="00B7512E"/>
    <w:rsid w:val="00BB5F7E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6E28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26CB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478A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478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0C15-5760-449B-B4DF-C23E0EA7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35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11</cp:revision>
  <dcterms:created xsi:type="dcterms:W3CDTF">2015-10-09T08:54:00Z</dcterms:created>
  <dcterms:modified xsi:type="dcterms:W3CDTF">2015-10-09T09:21:00Z</dcterms:modified>
</cp:coreProperties>
</file>