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B6" w:rsidRDefault="002B5455" w:rsidP="00DA577E">
      <w:pPr>
        <w:bidi/>
        <w:spacing w:line="360" w:lineRule="auto"/>
        <w:jc w:val="both"/>
        <w:rPr>
          <w:noProof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A4D57" w:rsidRPr="00DA577E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1A56B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1A56B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A56B6">
        <w:rPr>
          <w:rFonts w:ascii="IRBadr" w:hAnsi="IRBadr" w:cs="IRBadr"/>
          <w:sz w:val="28"/>
          <w:szCs w:val="28"/>
          <w:lang w:bidi="fa-IR"/>
        </w:rPr>
        <w:instrText>TOC</w:instrText>
      </w:r>
      <w:r w:rsidR="001A56B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1A56B6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1A56B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A56B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1A56B6" w:rsidRDefault="001A56B6" w:rsidP="001A56B6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"1-7"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1A56B6" w:rsidRDefault="001A56B6" w:rsidP="001A56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68" w:history="1">
        <w:r w:rsidRPr="00483339">
          <w:rPr>
            <w:rStyle w:val="Hyperlink"/>
            <w:rFonts w:ascii="IRBadr" w:hAnsi="IRBadr" w:cs="IRBadr" w:hint="eastAsia"/>
            <w:noProof/>
            <w:rtl/>
          </w:rPr>
          <w:t>مراحل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قبال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تک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گزاره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_Toc432162868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69" w:history="1">
        <w:r w:rsidRPr="00483339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_Toc432162869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70" w:history="1">
        <w:r w:rsidRPr="00483339">
          <w:rPr>
            <w:rStyle w:val="Hyperlink"/>
            <w:rFonts w:hint="eastAsia"/>
            <w:noProof/>
            <w:rtl/>
          </w:rPr>
          <w:t>شمول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rFonts w:hint="eastAsia"/>
            <w:noProof/>
            <w:rtl/>
          </w:rPr>
          <w:t>ت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حالت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اول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در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م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rFonts w:hint="eastAsia"/>
            <w:noProof/>
            <w:rtl/>
          </w:rPr>
          <w:t>ان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71" w:history="1">
        <w:r w:rsidRPr="00483339">
          <w:rPr>
            <w:rStyle w:val="Hyperlink"/>
            <w:rFonts w:ascii="IRBadr" w:hAnsi="IRBadr" w:cs="IRBadr" w:hint="eastAsia"/>
            <w:noProof/>
            <w:rtl/>
          </w:rPr>
          <w:t>نظام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ساز</w:t>
        </w:r>
        <w:r w:rsidRPr="00483339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72" w:history="1"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rFonts w:hint="eastAsia"/>
            <w:noProof/>
            <w:rtl/>
          </w:rPr>
          <w:t>کپارچگ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گزاره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ها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در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rFonts w:hint="eastAsia"/>
            <w:noProof/>
            <w:rtl/>
          </w:rPr>
          <w:t>ک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علم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73" w:history="1">
        <w:r w:rsidRPr="00483339">
          <w:rPr>
            <w:rStyle w:val="Hyperlink"/>
            <w:rFonts w:ascii="IRBadr" w:hAnsi="IRBadr" w:cs="IRBadr" w:hint="eastAsia"/>
            <w:noProof/>
            <w:rtl/>
          </w:rPr>
          <w:t>تمث</w:t>
        </w:r>
        <w:r w:rsidRPr="00483339">
          <w:rPr>
            <w:rStyle w:val="Hyperlink"/>
            <w:rFonts w:ascii="IRBadr" w:hAnsi="IRBadr" w:cs="IRBadr" w:hint="cs"/>
            <w:noProof/>
            <w:rtl/>
          </w:rPr>
          <w:t>ی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ل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74" w:history="1">
        <w:r w:rsidRPr="00483339">
          <w:rPr>
            <w:rStyle w:val="Hyperlink"/>
            <w:rFonts w:hint="eastAsia"/>
            <w:noProof/>
            <w:rtl/>
          </w:rPr>
          <w:t>انواع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مالک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rFonts w:hint="eastAsia"/>
            <w:noProof/>
            <w:rtl/>
          </w:rPr>
          <w:t>ت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در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اسلام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62875" w:history="1">
        <w:r w:rsidRPr="00483339">
          <w:rPr>
            <w:rStyle w:val="Hyperlink"/>
            <w:rFonts w:ascii="IRBadr" w:hAnsi="IRBadr" w:cs="IRBadr" w:hint="eastAsia"/>
            <w:noProof/>
            <w:rtl/>
          </w:rPr>
          <w:t>وصول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نظر</w:t>
        </w:r>
        <w:r w:rsidRPr="00483339">
          <w:rPr>
            <w:rStyle w:val="Hyperlink"/>
            <w:rFonts w:ascii="IRBadr" w:hAnsi="IRBadr" w:cs="IRBadr" w:hint="cs"/>
            <w:noProof/>
            <w:rtl/>
          </w:rPr>
          <w:t>ی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ات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پا</w:t>
        </w:r>
        <w:r w:rsidRPr="00483339">
          <w:rPr>
            <w:rStyle w:val="Hyperlink"/>
            <w:rFonts w:ascii="IRBadr" w:hAnsi="IRBadr" w:cs="IRBadr" w:hint="cs"/>
            <w:noProof/>
            <w:rtl/>
          </w:rPr>
          <w:t>ی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62876" w:history="1">
        <w:r w:rsidRPr="00483339">
          <w:rPr>
            <w:rStyle w:val="Hyperlink"/>
            <w:rFonts w:ascii="IRBadr" w:hAnsi="IRBadr" w:cs="IRBadr" w:hint="eastAsia"/>
            <w:noProof/>
            <w:rtl/>
          </w:rPr>
          <w:t>جعل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cs"/>
            <w:noProof/>
            <w:rtl/>
          </w:rPr>
          <w:t>ی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483339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483339">
          <w:rPr>
            <w:rStyle w:val="Hyperlink"/>
            <w:rFonts w:ascii="IRBadr" w:hAnsi="IRBadr" w:cs="IRBadr" w:hint="eastAsia"/>
            <w:noProof/>
            <w:rtl/>
          </w:rPr>
          <w:t>استخراج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62877" w:history="1">
        <w:r w:rsidRPr="00483339">
          <w:rPr>
            <w:rStyle w:val="Hyperlink"/>
            <w:rFonts w:hint="eastAsia"/>
            <w:noProof/>
            <w:rtl/>
          </w:rPr>
          <w:t>خطبه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اخلاق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نهج‌البلاغه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62878" w:history="1">
        <w:r w:rsidRPr="00483339">
          <w:rPr>
            <w:rStyle w:val="Hyperlink"/>
            <w:rFonts w:hint="eastAsia"/>
            <w:noProof/>
            <w:rtl/>
          </w:rPr>
          <w:t>چ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rFonts w:hint="eastAsia"/>
            <w:noProof/>
            <w:rtl/>
          </w:rPr>
          <w:t>رگ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عقل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و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هوا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62879" w:history="1">
        <w:r w:rsidRPr="00483339">
          <w:rPr>
            <w:rStyle w:val="Hyperlink"/>
            <w:rFonts w:hint="eastAsia"/>
            <w:noProof/>
            <w:rtl/>
          </w:rPr>
          <w:t>سه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دسته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از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مردم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در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باب</w:t>
        </w:r>
        <w:r w:rsidRPr="00483339">
          <w:rPr>
            <w:rStyle w:val="Hyperlink"/>
            <w:noProof/>
            <w:rtl/>
          </w:rPr>
          <w:t xml:space="preserve"> </w:t>
        </w:r>
        <w:r w:rsidRPr="00483339">
          <w:rPr>
            <w:rStyle w:val="Hyperlink"/>
            <w:rFonts w:hint="eastAsia"/>
            <w:noProof/>
            <w:rtl/>
          </w:rPr>
          <w:t>ا</w:t>
        </w:r>
        <w:r w:rsidRPr="00483339">
          <w:rPr>
            <w:rStyle w:val="Hyperlink"/>
            <w:rFonts w:hint="cs"/>
            <w:noProof/>
            <w:rtl/>
          </w:rPr>
          <w:t>ی</w:t>
        </w:r>
        <w:r w:rsidRPr="00483339">
          <w:rPr>
            <w:rStyle w:val="Hyperlink"/>
            <w:rFonts w:hint="eastAsia"/>
            <w:noProof/>
            <w:rtl/>
          </w:rPr>
          <w:t>مان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_Toc432162879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A56B6" w:rsidRDefault="001A56B6" w:rsidP="001A56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A56B6" w:rsidRDefault="001A56B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A577E" w:rsidRPr="00DA577E" w:rsidRDefault="00DA577E" w:rsidP="00DA577E">
      <w:pPr>
        <w:pStyle w:val="Heading1"/>
        <w:spacing w:line="360" w:lineRule="auto"/>
        <w:rPr>
          <w:rFonts w:ascii="IRBadr" w:hAnsi="IRBadr" w:cs="IRBadr"/>
          <w:rtl/>
        </w:rPr>
      </w:pPr>
      <w:bookmarkStart w:id="0" w:name="_Toc432162603"/>
      <w:bookmarkStart w:id="1" w:name="_Toc432162717"/>
      <w:bookmarkStart w:id="2" w:name="_Toc432162868"/>
      <w:r w:rsidRPr="00DA577E">
        <w:rPr>
          <w:rFonts w:ascii="IRBadr" w:hAnsi="IRBadr" w:cs="IRBadr"/>
          <w:rtl/>
        </w:rPr>
        <w:lastRenderedPageBreak/>
        <w:t xml:space="preserve">مراحل اول و دوم در قبال تک </w:t>
      </w:r>
      <w:bookmarkEnd w:id="0"/>
      <w:bookmarkEnd w:id="1"/>
      <w:bookmarkEnd w:id="2"/>
      <w:r w:rsidR="0067347A">
        <w:rPr>
          <w:rFonts w:ascii="IRBadr" w:hAnsi="IRBadr" w:cs="IRBadr"/>
          <w:rtl/>
        </w:rPr>
        <w:t>گزاره‌ها</w:t>
      </w:r>
    </w:p>
    <w:p w:rsidR="00DA577E" w:rsidRPr="00DA577E" w:rsidRDefault="00DA577E" w:rsidP="00DA577E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162604"/>
      <w:bookmarkStart w:id="4" w:name="_Toc432162718"/>
      <w:bookmarkStart w:id="5" w:name="_Toc432162869"/>
      <w:r w:rsidRPr="00DA577E">
        <w:rPr>
          <w:rFonts w:ascii="IRBadr" w:hAnsi="IRBadr" w:cs="IRBadr"/>
          <w:rtl/>
        </w:rPr>
        <w:t>مرور بحث گذشته</w:t>
      </w:r>
      <w:bookmarkEnd w:id="3"/>
      <w:bookmarkEnd w:id="4"/>
      <w:bookmarkEnd w:id="5"/>
    </w:p>
    <w:p w:rsidR="00583312" w:rsidRDefault="00DA577E" w:rsidP="0067347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مقدمه سیزدهم از مقدمات اجتهاد قبل از ورود به مباحث عروه این بود که مجموعه تک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فقهی را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در دو مرحله دیگر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جدید قرار داد که مجموعه اول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مجموعه‌سازی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و تبویب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فقهی بود که در میان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نوعی از مسانخت وجود دارد که ساختار فقه با این تجمیع و منظومه سازی به دست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A577E" w:rsidRPr="00DA577E" w:rsidRDefault="00DA577E" w:rsidP="00DA577E">
      <w:pPr>
        <w:pStyle w:val="Heading1"/>
        <w:rPr>
          <w:rtl/>
        </w:rPr>
      </w:pPr>
      <w:bookmarkStart w:id="6" w:name="_Toc432162605"/>
      <w:bookmarkStart w:id="7" w:name="_Toc432162719"/>
      <w:bookmarkStart w:id="8" w:name="_Toc432162870"/>
      <w:r>
        <w:rPr>
          <w:rFonts w:hint="cs"/>
          <w:rtl/>
        </w:rPr>
        <w:t>شمولیت حالت اول در میان علوم</w:t>
      </w:r>
      <w:bookmarkEnd w:id="6"/>
      <w:bookmarkEnd w:id="7"/>
      <w:bookmarkEnd w:id="8"/>
    </w:p>
    <w:p w:rsidR="00DA577E" w:rsidRPr="00DA577E" w:rsidRDefault="00DA577E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این حالت در همه علوم وجود دارد و به شکل ثابت همیشگی نیست و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مجموعه‌ها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نگاه‌ها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مختلف و رویکردهای متفاوت،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دست آید.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مرحله دوم که در دوران معاصر بیشتری شکل گرفت نظام و مکتب سازی بود.</w:t>
      </w:r>
    </w:p>
    <w:p w:rsidR="00DB111B" w:rsidRPr="00DA577E" w:rsidRDefault="00A80C46" w:rsidP="00DA577E">
      <w:pPr>
        <w:pStyle w:val="Heading1"/>
        <w:spacing w:line="360" w:lineRule="auto"/>
        <w:rPr>
          <w:rFonts w:ascii="IRBadr" w:hAnsi="IRBadr" w:cs="IRBadr"/>
          <w:rtl/>
        </w:rPr>
      </w:pPr>
      <w:bookmarkStart w:id="9" w:name="_Toc432162606"/>
      <w:bookmarkStart w:id="10" w:name="_Toc432162720"/>
      <w:bookmarkStart w:id="11" w:name="_Toc432162871"/>
      <w:r w:rsidRPr="00DA577E">
        <w:rPr>
          <w:rFonts w:ascii="IRBadr" w:hAnsi="IRBadr" w:cs="IRBadr"/>
          <w:rtl/>
        </w:rPr>
        <w:t>نظام سازی</w:t>
      </w:r>
      <w:bookmarkEnd w:id="9"/>
      <w:bookmarkEnd w:id="10"/>
      <w:bookmarkEnd w:id="11"/>
    </w:p>
    <w:p w:rsidR="00693356" w:rsidRDefault="00522940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در جلسه پیشین به مراحل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سه‌گانه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در سیر فقهی و مبنای شهید صدر در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راه‌یابی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از لایه رویین فقه به مباحث عمیق آن اشاره شد.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این زمینه گاهی تعبیر به مذهب و مکتب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با باطن کاملاً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به‌هم‌پیوسته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894349" w:rsidRPr="00DA577E">
        <w:rPr>
          <w:rFonts w:ascii="IRBadr" w:hAnsi="IRBadr" w:cs="IRBadr"/>
          <w:sz w:val="28"/>
          <w:szCs w:val="28"/>
          <w:rtl/>
          <w:lang w:bidi="fa-IR"/>
        </w:rPr>
        <w:t xml:space="preserve"> گاهی از آن تعبیر به فلسفه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94349" w:rsidRPr="00DA577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22940" w:rsidRDefault="00DA577E" w:rsidP="0069335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نظام سازی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لا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رویین به روح حاکم بر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متفرق برساند که 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مجموعه‌ای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قواعد موجود در علوم است.</w:t>
      </w:r>
    </w:p>
    <w:p w:rsidR="001A56B6" w:rsidRDefault="001A56B6" w:rsidP="001A56B6">
      <w:pPr>
        <w:pStyle w:val="Heading1"/>
        <w:rPr>
          <w:rFonts w:hint="cs"/>
          <w:rtl/>
        </w:rPr>
      </w:pPr>
      <w:bookmarkStart w:id="12" w:name="_Toc432162872"/>
      <w:r>
        <w:rPr>
          <w:rFonts w:hint="cs"/>
          <w:rtl/>
        </w:rPr>
        <w:lastRenderedPageBreak/>
        <w:t xml:space="preserve">یکپارچگی </w:t>
      </w:r>
      <w:r w:rsidR="0067347A">
        <w:rPr>
          <w:rFonts w:hint="eastAsia"/>
          <w:rtl/>
        </w:rPr>
        <w:t>گزاره‌ها</w:t>
      </w:r>
      <w:r>
        <w:rPr>
          <w:rFonts w:hint="cs"/>
          <w:rtl/>
        </w:rPr>
        <w:t xml:space="preserve"> در یک علم</w:t>
      </w:r>
      <w:bookmarkEnd w:id="12"/>
    </w:p>
    <w:p w:rsidR="00DA577E" w:rsidRPr="00DA577E" w:rsidRDefault="00DA577E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روح و قواعد حاکم مشخصی دارند،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نظام دارای معانی متفاوتی دارد.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قواعد باطنی کاملاً 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به‌هم‌پیوسته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 و در مواردی بدان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نظر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بنیادین در قبال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لا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رویین اطلاق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ما ب</w:t>
      </w:r>
      <w:r w:rsidR="00693356">
        <w:rPr>
          <w:rFonts w:ascii="IRBadr" w:hAnsi="IRBadr" w:cs="IRBadr" w:hint="cs"/>
          <w:sz w:val="28"/>
          <w:szCs w:val="28"/>
          <w:rtl/>
          <w:lang w:bidi="fa-IR"/>
        </w:rPr>
        <w:t xml:space="preserve">ا تحلیلی از سطح به عمق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ی‌رسیم</w:t>
      </w:r>
      <w:r w:rsidR="00693356">
        <w:rPr>
          <w:rFonts w:ascii="IRBadr" w:hAnsi="IRBadr" w:cs="IRBadr" w:hint="cs"/>
          <w:sz w:val="28"/>
          <w:szCs w:val="28"/>
          <w:rtl/>
          <w:lang w:bidi="fa-IR"/>
        </w:rPr>
        <w:t xml:space="preserve"> و به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ر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یشه‌ها</w:t>
      </w:r>
      <w:r w:rsidR="00693356">
        <w:rPr>
          <w:rFonts w:ascii="IRBadr" w:hAnsi="IRBadr" w:cs="IRBadr" w:hint="cs"/>
          <w:sz w:val="28"/>
          <w:szCs w:val="28"/>
          <w:rtl/>
          <w:lang w:bidi="fa-IR"/>
        </w:rPr>
        <w:t xml:space="preserve"> و مبانی دست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م</w:t>
      </w:r>
      <w:r w:rsidR="0067347A">
        <w:rPr>
          <w:rFonts w:ascii="IRBadr" w:hAnsi="IRBadr" w:cs="IRBadr" w:hint="cs"/>
          <w:sz w:val="28"/>
          <w:szCs w:val="28"/>
          <w:rtl/>
          <w:lang w:bidi="fa-IR"/>
        </w:rPr>
        <w:t>ی‌یابیم</w:t>
      </w:r>
      <w:r w:rsidR="0069335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C69FF" w:rsidRPr="00DA577E" w:rsidRDefault="00DA577E" w:rsidP="00DA577E">
      <w:pPr>
        <w:pStyle w:val="Heading1"/>
        <w:spacing w:line="360" w:lineRule="auto"/>
        <w:rPr>
          <w:rFonts w:ascii="IRBadr" w:hAnsi="IRBadr" w:cs="IRBadr"/>
          <w:rtl/>
        </w:rPr>
      </w:pPr>
      <w:bookmarkStart w:id="13" w:name="_Toc432162607"/>
      <w:bookmarkStart w:id="14" w:name="_Toc432162721"/>
      <w:bookmarkStart w:id="15" w:name="_Toc432162873"/>
      <w:r>
        <w:rPr>
          <w:rFonts w:ascii="IRBadr" w:hAnsi="IRBadr" w:cs="IRBadr" w:hint="cs"/>
          <w:rtl/>
        </w:rPr>
        <w:t>تمثیل</w:t>
      </w:r>
      <w:r w:rsidR="0067347A">
        <w:rPr>
          <w:rFonts w:ascii="IRBadr" w:hAnsi="IRBadr" w:cs="IRBadr"/>
          <w:rtl/>
        </w:rPr>
        <w:t xml:space="preserve"> </w:t>
      </w:r>
      <w:r w:rsidR="007C69FF" w:rsidRPr="00DA577E">
        <w:rPr>
          <w:rFonts w:ascii="IRBadr" w:hAnsi="IRBadr" w:cs="IRBadr"/>
          <w:rtl/>
        </w:rPr>
        <w:t>بحث</w:t>
      </w:r>
      <w:bookmarkEnd w:id="13"/>
      <w:bookmarkEnd w:id="14"/>
      <w:bookmarkEnd w:id="15"/>
    </w:p>
    <w:p w:rsidR="00DB111B" w:rsidRPr="00DA577E" w:rsidRDefault="00894349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در قبال این بحث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چنین مثالی را ذکر کرد که؛</w:t>
      </w:r>
    </w:p>
    <w:p w:rsidR="00894349" w:rsidRDefault="00894349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در قبال ارث و دیات باید در ابتدا این سؤال را مطرح نمود که </w:t>
      </w:r>
      <w:r w:rsidR="00A80C46" w:rsidRPr="00DA577E">
        <w:rPr>
          <w:rFonts w:ascii="IRBadr" w:hAnsi="IRBadr" w:cs="IRBadr"/>
          <w:sz w:val="28"/>
          <w:szCs w:val="28"/>
          <w:rtl/>
          <w:lang w:bidi="fa-IR"/>
        </w:rPr>
        <w:t xml:space="preserve">آیا انسان تنها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باکار</w:t>
      </w:r>
      <w:r w:rsidR="00A80C46" w:rsidRPr="00DA577E">
        <w:rPr>
          <w:rFonts w:ascii="IRBadr" w:hAnsi="IRBadr" w:cs="IRBadr"/>
          <w:sz w:val="28"/>
          <w:szCs w:val="28"/>
          <w:rtl/>
          <w:lang w:bidi="fa-IR"/>
        </w:rPr>
        <w:t xml:space="preserve"> مالک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80C46" w:rsidRPr="00DA577E">
        <w:rPr>
          <w:rFonts w:ascii="IRBadr" w:hAnsi="IRBadr" w:cs="IRBadr"/>
          <w:sz w:val="28"/>
          <w:szCs w:val="28"/>
          <w:rtl/>
          <w:lang w:bidi="fa-IR"/>
        </w:rPr>
        <w:t xml:space="preserve"> یا با امور دیگری نیز این امر میسر است؟ شما در این زمینه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="00A80C46" w:rsidRPr="00DA577E">
        <w:rPr>
          <w:rFonts w:ascii="IRBadr" w:hAnsi="IRBadr" w:cs="IRBadr"/>
          <w:sz w:val="28"/>
          <w:szCs w:val="28"/>
          <w:rtl/>
          <w:lang w:bidi="fa-IR"/>
        </w:rPr>
        <w:t xml:space="preserve"> مختلفی را در کنار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یکدیگری</w:t>
      </w:r>
      <w:r w:rsidR="00A80C46" w:rsidRPr="00DA577E">
        <w:rPr>
          <w:rFonts w:ascii="IRBadr" w:hAnsi="IRBadr" w:cs="IRBadr"/>
          <w:sz w:val="28"/>
          <w:szCs w:val="28"/>
          <w:rtl/>
          <w:lang w:bidi="fa-IR"/>
        </w:rPr>
        <w:t xml:space="preserve"> گذارید و مشخص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80C46" w:rsidRPr="00DA577E">
        <w:rPr>
          <w:rFonts w:ascii="IRBadr" w:hAnsi="IRBadr" w:cs="IRBadr"/>
          <w:sz w:val="28"/>
          <w:szCs w:val="28"/>
          <w:rtl/>
          <w:lang w:bidi="fa-IR"/>
        </w:rPr>
        <w:t xml:space="preserve"> که مالکیت ناشی از کار است.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معنای</w:t>
      </w:r>
      <w:r w:rsidR="00A80C46" w:rsidRPr="00DA577E">
        <w:rPr>
          <w:rFonts w:ascii="IRBadr" w:hAnsi="IRBadr" w:cs="IRBadr"/>
          <w:sz w:val="28"/>
          <w:szCs w:val="28"/>
          <w:rtl/>
          <w:lang w:bidi="fa-IR"/>
        </w:rPr>
        <w:t xml:space="preserve"> این عمل نظام سازی است.</w:t>
      </w:r>
    </w:p>
    <w:p w:rsidR="00693356" w:rsidRPr="00DA577E" w:rsidRDefault="00693356" w:rsidP="00693356">
      <w:pPr>
        <w:pStyle w:val="Heading1"/>
        <w:rPr>
          <w:rtl/>
        </w:rPr>
      </w:pPr>
      <w:bookmarkStart w:id="16" w:name="_Toc432162608"/>
      <w:bookmarkStart w:id="17" w:name="_Toc432162722"/>
      <w:bookmarkStart w:id="18" w:name="_Toc432162874"/>
      <w:r>
        <w:rPr>
          <w:rFonts w:hint="cs"/>
          <w:rtl/>
        </w:rPr>
        <w:t>انواع مالکیت در اسلام</w:t>
      </w:r>
      <w:bookmarkEnd w:id="16"/>
      <w:bookmarkEnd w:id="17"/>
      <w:bookmarkEnd w:id="18"/>
    </w:p>
    <w:p w:rsidR="00DB111B" w:rsidRPr="00DA577E" w:rsidRDefault="00A80C46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همچنین در قبال مالکیت وقتی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مختلف را در کنار یکدیگر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می‌گذاریم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مشخص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که در اسلام سه نوع مالکیت داریم؛ خصوصی،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عمومی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و دولتی.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این امر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مثال‌های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متعدد دیگری نیز در سایر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نظام‌های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موجود در جامعه وجود دارد.</w:t>
      </w:r>
    </w:p>
    <w:p w:rsidR="007C69FF" w:rsidRPr="00DA577E" w:rsidRDefault="007C69FF" w:rsidP="00DA577E">
      <w:pPr>
        <w:pStyle w:val="Heading2"/>
        <w:spacing w:line="360" w:lineRule="auto"/>
        <w:rPr>
          <w:rFonts w:ascii="IRBadr" w:hAnsi="IRBadr" w:cs="IRBadr"/>
          <w:rtl/>
        </w:rPr>
      </w:pPr>
      <w:bookmarkStart w:id="19" w:name="_Toc432162609"/>
      <w:bookmarkStart w:id="20" w:name="_Toc432162723"/>
      <w:bookmarkStart w:id="21" w:name="_Toc432162875"/>
      <w:r w:rsidRPr="00DA577E">
        <w:rPr>
          <w:rFonts w:ascii="IRBadr" w:hAnsi="IRBadr" w:cs="IRBadr"/>
          <w:rtl/>
        </w:rPr>
        <w:t>وصول به نظریات پایه</w:t>
      </w:r>
      <w:bookmarkEnd w:id="19"/>
      <w:bookmarkEnd w:id="20"/>
      <w:bookmarkEnd w:id="21"/>
    </w:p>
    <w:p w:rsidR="00DA577E" w:rsidRDefault="007C69FF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در این راستا </w:t>
      </w:r>
      <w:r w:rsidR="008A4D57" w:rsidRPr="00DA577E">
        <w:rPr>
          <w:rFonts w:ascii="IRBadr" w:hAnsi="IRBadr" w:cs="IRBadr"/>
          <w:sz w:val="28"/>
          <w:szCs w:val="28"/>
          <w:rtl/>
          <w:lang w:bidi="fa-IR"/>
        </w:rPr>
        <w:t xml:space="preserve">حجم گزاره‌های مرتبط هر چه بیشتر بشود، ما به قواعد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کلی‌تری</w:t>
      </w:r>
      <w:r w:rsidR="008A4D57" w:rsidRPr="00DA577E">
        <w:rPr>
          <w:rFonts w:ascii="IRBadr" w:hAnsi="IRBadr" w:cs="IRBadr"/>
          <w:sz w:val="28"/>
          <w:szCs w:val="28"/>
          <w:rtl/>
          <w:lang w:bidi="fa-IR"/>
        </w:rPr>
        <w:t xml:space="preserve"> می‌رسیم.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در این مسیر ممکن است گاهی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تئوری‌های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جدید موارد گذشته را نقض یا اصلاح کند.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به‌عنوان‌مثال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در بیع و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اجاره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مطالبی بیان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اما در خمس و زکات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اقتصادی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کلام‌های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جدیدی ارائه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C69FF" w:rsidRPr="00DA577E" w:rsidRDefault="007C69FF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گاهی از این قوانین فقهی به نظریات پایه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می‌رسیم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و گاهی نظریات پایه وجود دارد و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از آن استفاده نمود.</w:t>
      </w:r>
    </w:p>
    <w:p w:rsidR="007C69FF" w:rsidRPr="00DA577E" w:rsidRDefault="007C69FF" w:rsidP="00DA577E">
      <w:pPr>
        <w:pStyle w:val="Heading3"/>
        <w:spacing w:line="360" w:lineRule="auto"/>
        <w:rPr>
          <w:rFonts w:ascii="IRBadr" w:hAnsi="IRBadr" w:cs="IRBadr"/>
          <w:rtl/>
        </w:rPr>
      </w:pPr>
      <w:bookmarkStart w:id="22" w:name="_Toc432162610"/>
      <w:bookmarkStart w:id="23" w:name="_Toc432162724"/>
      <w:bookmarkStart w:id="24" w:name="_Toc432162876"/>
      <w:r w:rsidRPr="00DA577E">
        <w:rPr>
          <w:rFonts w:ascii="IRBadr" w:hAnsi="IRBadr" w:cs="IRBadr"/>
          <w:rtl/>
        </w:rPr>
        <w:lastRenderedPageBreak/>
        <w:t>جعل یا استخراج</w:t>
      </w:r>
      <w:bookmarkEnd w:id="22"/>
      <w:bookmarkEnd w:id="23"/>
      <w:bookmarkEnd w:id="24"/>
    </w:p>
    <w:p w:rsidR="007C69FF" w:rsidRPr="00DA577E" w:rsidRDefault="007C69FF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مطلب دیگری که دارای اهمیت است و مرحوم شهید صدر بدان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پرداخته‌اند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این است که شما در نظام سازی و تئوری پردازی کارتان استخراج است یا جعل؟</w:t>
      </w:r>
    </w:p>
    <w:p w:rsidR="001A56B6" w:rsidRDefault="007C69FF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در قبال این سؤال باید گفت که 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کسی که دین را پاسخگو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طبعاً کار استکشاف را بر </w:t>
      </w:r>
      <w:r w:rsidR="0067347A">
        <w:rPr>
          <w:rFonts w:ascii="IRBadr" w:hAnsi="IRBadr" w:cs="IRBadr"/>
          <w:sz w:val="28"/>
          <w:szCs w:val="28"/>
          <w:rtl/>
          <w:lang w:bidi="fa-IR"/>
        </w:rPr>
        <w:t>عهده‌داریم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و ساختنی در کار نیست.</w:t>
      </w:r>
    </w:p>
    <w:p w:rsidR="007C69FF" w:rsidRPr="00DA577E" w:rsidRDefault="002B5455" w:rsidP="001A56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دیگر این است که منطق ما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درحرکت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به‌سوی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لایه‌های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عمیق منطق استقرایی است،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معمولاً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نیز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استقراءها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ناقص است و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تام باشد.</w:t>
      </w:r>
    </w:p>
    <w:p w:rsidR="007C69FF" w:rsidRPr="00DA577E" w:rsidRDefault="000D2B4E" w:rsidP="001A56B6">
      <w:pPr>
        <w:pStyle w:val="Heading4"/>
        <w:rPr>
          <w:rtl/>
        </w:rPr>
      </w:pPr>
      <w:bookmarkStart w:id="25" w:name="_Toc432162611"/>
      <w:bookmarkStart w:id="26" w:name="_Toc432162725"/>
      <w:bookmarkStart w:id="27" w:name="_Toc432162877"/>
      <w:r w:rsidRPr="00DA577E">
        <w:rPr>
          <w:rtl/>
        </w:rPr>
        <w:t xml:space="preserve">خطبه اخلاقی </w:t>
      </w:r>
      <w:r w:rsidR="002B5455" w:rsidRPr="00DA577E">
        <w:rPr>
          <w:rtl/>
        </w:rPr>
        <w:t>نهج‌البلاغه</w:t>
      </w:r>
      <w:bookmarkEnd w:id="25"/>
      <w:bookmarkEnd w:id="26"/>
      <w:bookmarkEnd w:id="27"/>
    </w:p>
    <w:p w:rsidR="0061487B" w:rsidRPr="00DA577E" w:rsidRDefault="000D2B4E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در خطبه شانزدهم امام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فرمودند که؛</w:t>
      </w:r>
    </w:p>
    <w:p w:rsidR="0061487B" w:rsidRPr="00DA577E" w:rsidRDefault="0061487B" w:rsidP="00DA577E">
      <w:pPr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bookmarkStart w:id="28" w:name="_GoBack"/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بَلِ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</w:t>
      </w:r>
      <w:bookmarkEnd w:id="28"/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قَدْ عَادَتْ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ئَتِهَا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وْمَ بَعَثَ اللَّهُ نب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 صل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الله عل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 و اله وَ الَّذِ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بَعَثَهُ بِالْحَقِّ لَتُبَلْبَلُنَّ بَلْبَلَةً وَ لَتُغَرْبَلُنَّ غَرْبَلَةً وَ لَتُسَاطُنَّ سَوْطَ الْقِدْرِ حَتَّ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عُودَ أَسْفَلُ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أَعْلَا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وَ أَعْلَا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أَسْفَلَ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وَ لَ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سْبِقَنَّ سَابِقُونَ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انُوا قَصَّرُوا وَ لَ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قْصِرَنَّ سَبَّاقُونَ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انُوا سَبَقُوا وَ اللَّهِ مَا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تَمْتُ وَشْمَةً وَ لَا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ذَبْتُ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ذْبَةً وَ لَقَدْ نُبِّئْتُ بِهَذَا الْمَقَامِ وَ هَذَا الْ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وْمِ أَلَا وَ إِنَّ الْخَطَا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خَ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لٌ شُمُسٌ حُمِلَ عَلَ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أَهْلُهَا وَ خُلِعَتْ لُجُمُهَا فَتَقَحَّمَتْ بِهِمْ فِ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النَّارِ أَلَا وَ إِنَّ التَّقْوَ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مَطَا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ذُلُلٌ حُمِلَ عَلَ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أَهْلُهَا وَ أُعْطُوا أَزِمَّتَهَا فَأَوْرَدَتْهُمُ الْجَنَّةَ حَقٌّ وَ بَاطِلٌ وَ لِ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لٍّ أَهْلٌ فَلَئِنْ أَمِرَ الْبَاطِلُ لَقَدِ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ماً فَعَلَ وَ لَئِنْ قَلَّ الْحَقُّ فَلَرُبَّمَا وَ لَعَلَّ وَ لَقَلَّمَا أَدْبَرَ شَ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‌ءٌ </w:t>
      </w:r>
      <w:r w:rsidR="002B5455" w:rsidRPr="00DA577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فَأَقْبَلَ»</w:t>
      </w:r>
      <w:r w:rsidRPr="00DA577E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0D2B4E" w:rsidRPr="00DA577E" w:rsidRDefault="008A4D57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به خدا قسم که من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هیچ‌چیزی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را مخفی نکردم، و هیچ دروغی نگفتم، و این موقعیت را به من گفته بودند. 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>این نقشه برای من تصویر شده بود و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برای من چیز جدیدی نیست.</w:t>
      </w:r>
    </w:p>
    <w:p w:rsidR="00717A14" w:rsidRPr="00DA577E" w:rsidRDefault="00717A14" w:rsidP="001A56B6">
      <w:pPr>
        <w:pStyle w:val="Heading4"/>
        <w:rPr>
          <w:rtl/>
        </w:rPr>
      </w:pPr>
      <w:bookmarkStart w:id="29" w:name="_Toc432162612"/>
      <w:bookmarkStart w:id="30" w:name="_Toc432162726"/>
      <w:bookmarkStart w:id="31" w:name="_Toc432162878"/>
      <w:r w:rsidRPr="00DA577E">
        <w:rPr>
          <w:rtl/>
        </w:rPr>
        <w:t>چیرگی عقل و هوا</w:t>
      </w:r>
      <w:bookmarkEnd w:id="29"/>
      <w:bookmarkEnd w:id="30"/>
      <w:bookmarkEnd w:id="31"/>
    </w:p>
    <w:p w:rsidR="001A56B6" w:rsidRDefault="002B5455" w:rsidP="00DA577E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lastRenderedPageBreak/>
        <w:t>ازآنجاکه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درون ما بعد شیطانی وجود دارد هواهای نفسانی بر اساس آن شکل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و به تعبیر امام افراد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دو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گروه‌اند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>؛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گروهی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که عقل و علمشان سوار بر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شده و افرادی که هوای نفسشان بر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A577E">
        <w:rPr>
          <w:rFonts w:ascii="IRBadr" w:hAnsi="IRBadr" w:cs="IRBadr"/>
          <w:sz w:val="28"/>
          <w:szCs w:val="28"/>
          <w:rtl/>
          <w:lang w:bidi="fa-IR"/>
        </w:rPr>
        <w:t>می‌تازد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A56B6" w:rsidRPr="001A56B6" w:rsidRDefault="001A56B6" w:rsidP="001A56B6">
      <w:pPr>
        <w:pStyle w:val="Heading4"/>
        <w:rPr>
          <w:rtl/>
        </w:rPr>
      </w:pPr>
      <w:bookmarkStart w:id="32" w:name="_Toc432162727"/>
      <w:bookmarkStart w:id="33" w:name="_Toc432162879"/>
      <w:r w:rsidRPr="001A56B6">
        <w:rPr>
          <w:rtl/>
        </w:rPr>
        <w:t>سه دسته از مردم در باب ایمان</w:t>
      </w:r>
      <w:bookmarkEnd w:id="32"/>
      <w:bookmarkEnd w:id="33"/>
    </w:p>
    <w:p w:rsidR="001A56B6" w:rsidRDefault="002B5455" w:rsidP="001A56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A577E">
        <w:rPr>
          <w:rFonts w:ascii="IRBadr" w:hAnsi="IRBadr" w:cs="IRBadr"/>
          <w:sz w:val="28"/>
          <w:szCs w:val="28"/>
          <w:rtl/>
          <w:lang w:bidi="fa-IR"/>
        </w:rPr>
        <w:t xml:space="preserve"> همه‌کسانی</w:t>
      </w:r>
      <w:r w:rsidR="008A4D57" w:rsidRPr="00DA577E">
        <w:rPr>
          <w:rFonts w:ascii="IRBadr" w:hAnsi="IRBadr" w:cs="IRBadr"/>
          <w:sz w:val="28"/>
          <w:szCs w:val="28"/>
          <w:rtl/>
          <w:lang w:bidi="fa-IR"/>
        </w:rPr>
        <w:t xml:space="preserve"> که در برابر یک فتنه بزرگ و حادثه عظیم قرار گرفتید، بدانید که این هواهای نفس و کشش‌های شیطانی، اسب‌های چموش هستند. آن‌هایی که بر این اسب‌های چموش سوار شدند، بدانند که پایان کار آن‌ها آتش است.</w:t>
      </w:r>
    </w:p>
    <w:p w:rsidR="000D2B4E" w:rsidRPr="00DA577E" w:rsidRDefault="001A56B6" w:rsidP="001A56B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D2B4E" w:rsidRPr="00DA577E">
        <w:rPr>
          <w:rFonts w:ascii="IRBadr" w:hAnsi="IRBadr" w:cs="IRBadr"/>
          <w:sz w:val="28"/>
          <w:szCs w:val="28"/>
          <w:rtl/>
          <w:lang w:bidi="fa-IR"/>
        </w:rPr>
        <w:t>در نقطه مقابل اهل ایمان با اخلاص و ایمان خود هستند که مرکبی رام و ذلیل در برابر خداوند دارند.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717A14" w:rsidRPr="00DA577E">
        <w:rPr>
          <w:rFonts w:ascii="IRBadr" w:hAnsi="IRBadr" w:cs="IRBadr"/>
          <w:sz w:val="28"/>
          <w:szCs w:val="28"/>
          <w:rtl/>
          <w:lang w:bidi="fa-IR"/>
        </w:rPr>
        <w:t xml:space="preserve"> مردم سه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دسته‌اند</w:t>
      </w:r>
      <w:r w:rsidR="00717A14" w:rsidRPr="00DA577E">
        <w:rPr>
          <w:rFonts w:ascii="IRBadr" w:hAnsi="IRBadr" w:cs="IRBadr"/>
          <w:sz w:val="28"/>
          <w:szCs w:val="28"/>
          <w:rtl/>
          <w:lang w:bidi="fa-IR"/>
        </w:rPr>
        <w:t>؛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="00717A14" w:rsidRPr="00DA577E">
        <w:rPr>
          <w:rFonts w:ascii="IRBadr" w:hAnsi="IRBadr" w:cs="IRBadr"/>
          <w:sz w:val="28"/>
          <w:szCs w:val="28"/>
          <w:rtl/>
          <w:lang w:bidi="fa-IR"/>
        </w:rPr>
        <w:t xml:space="preserve"> با سرعت،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="00717A14" w:rsidRPr="00DA577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لنگان‌لنگان</w:t>
      </w:r>
      <w:r w:rsidR="00717A14" w:rsidRPr="00DA577E">
        <w:rPr>
          <w:rFonts w:ascii="IRBadr" w:hAnsi="IRBadr" w:cs="IRBadr"/>
          <w:sz w:val="28"/>
          <w:szCs w:val="28"/>
          <w:rtl/>
          <w:lang w:bidi="fa-IR"/>
        </w:rPr>
        <w:t xml:space="preserve"> عبور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717A14" w:rsidRPr="00DA577E">
        <w:rPr>
          <w:rFonts w:ascii="IRBadr" w:hAnsi="IRBadr" w:cs="IRBadr"/>
          <w:sz w:val="28"/>
          <w:szCs w:val="28"/>
          <w:rtl/>
          <w:lang w:bidi="fa-IR"/>
        </w:rPr>
        <w:t xml:space="preserve"> و برخی نیز سقوط </w:t>
      </w:r>
      <w:r w:rsidR="002B5455" w:rsidRPr="00DA577E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717A14" w:rsidRPr="00DA577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17A14" w:rsidRPr="00DA577E" w:rsidRDefault="00717A14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A4D57" w:rsidRPr="00DA577E" w:rsidRDefault="008A4D57" w:rsidP="00DA577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DA577E" w:rsidRDefault="00152670" w:rsidP="00DA577E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DA577E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38" w:rsidRDefault="00003738" w:rsidP="000D5800">
      <w:pPr>
        <w:spacing w:after="0" w:line="240" w:lineRule="auto"/>
      </w:pPr>
      <w:r>
        <w:separator/>
      </w:r>
    </w:p>
  </w:endnote>
  <w:endnote w:type="continuationSeparator" w:id="0">
    <w:p w:rsidR="00003738" w:rsidRDefault="0000373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7A" w:rsidRDefault="00673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7A" w:rsidRDefault="006734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7A" w:rsidRDefault="00673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38" w:rsidRDefault="00003738" w:rsidP="001A56B6">
      <w:pPr>
        <w:spacing w:after="0" w:line="240" w:lineRule="auto"/>
        <w:jc w:val="right"/>
      </w:pPr>
      <w:r>
        <w:separator/>
      </w:r>
    </w:p>
  </w:footnote>
  <w:footnote w:type="continuationSeparator" w:id="0">
    <w:p w:rsidR="00003738" w:rsidRDefault="00003738" w:rsidP="000D5800">
      <w:pPr>
        <w:spacing w:after="0" w:line="240" w:lineRule="auto"/>
      </w:pPr>
      <w:r>
        <w:continuationSeparator/>
      </w:r>
    </w:p>
  </w:footnote>
  <w:footnote w:id="1">
    <w:p w:rsidR="0061487B" w:rsidRDefault="0061487B">
      <w:pPr>
        <w:pStyle w:val="FootnoteText"/>
        <w:rPr>
          <w:rtl/>
        </w:rPr>
      </w:pPr>
      <w:r w:rsidRPr="0061487B">
        <w:rPr>
          <w:rFonts w:ascii="Noor_Titr" w:hAnsi="Noor_Titr" w:cs="B Badr" w:hint="cs"/>
          <w:color w:val="000000" w:themeColor="text1"/>
          <w:rtl/>
        </w:rPr>
        <w:t>نهج البلاغة؛ ص: 24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7A" w:rsidRDefault="00673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A4D57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3C2A8D3" wp14:editId="1DD3871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7382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34" w:name="OLE_LINK1"/>
    <w:bookmarkStart w:id="35" w:name="OLE_LINK2"/>
    <w:r>
      <w:rPr>
        <w:noProof/>
        <w:lang w:bidi="fa-IR"/>
      </w:rPr>
      <w:drawing>
        <wp:inline distT="0" distB="0" distL="0" distR="0" wp14:anchorId="56F22810" wp14:editId="22F7DC2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4"/>
    <w:bookmarkEnd w:id="35"/>
    <w:r w:rsidR="002B545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A4D57">
      <w:rPr>
        <w:rFonts w:ascii="IranNastaliq" w:hAnsi="IranNastaliq" w:cs="IranNastaliq"/>
        <w:sz w:val="40"/>
        <w:szCs w:val="40"/>
      </w:rPr>
      <w:t>3799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7A" w:rsidRDefault="00673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57"/>
    <w:rsid w:val="00003738"/>
    <w:rsid w:val="000228A2"/>
    <w:rsid w:val="000324F1"/>
    <w:rsid w:val="00043EE0"/>
    <w:rsid w:val="00052BA3"/>
    <w:rsid w:val="0006363E"/>
    <w:rsid w:val="00080DFF"/>
    <w:rsid w:val="00085ED5"/>
    <w:rsid w:val="000A1A51"/>
    <w:rsid w:val="000D2B4E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35B2"/>
    <w:rsid w:val="00150D4B"/>
    <w:rsid w:val="00152670"/>
    <w:rsid w:val="00166DD8"/>
    <w:rsid w:val="001712D6"/>
    <w:rsid w:val="001757C8"/>
    <w:rsid w:val="00177934"/>
    <w:rsid w:val="00192A6A"/>
    <w:rsid w:val="00197CDD"/>
    <w:rsid w:val="001A56B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B545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22940"/>
    <w:rsid w:val="00564B1F"/>
    <w:rsid w:val="00572E2D"/>
    <w:rsid w:val="00583312"/>
    <w:rsid w:val="00592103"/>
    <w:rsid w:val="005A545E"/>
    <w:rsid w:val="005A5862"/>
    <w:rsid w:val="005B0852"/>
    <w:rsid w:val="005C06AE"/>
    <w:rsid w:val="00610C18"/>
    <w:rsid w:val="0061376C"/>
    <w:rsid w:val="0061487B"/>
    <w:rsid w:val="00636EFA"/>
    <w:rsid w:val="0066229C"/>
    <w:rsid w:val="0067347A"/>
    <w:rsid w:val="00693356"/>
    <w:rsid w:val="0069696C"/>
    <w:rsid w:val="006A085A"/>
    <w:rsid w:val="006B75F6"/>
    <w:rsid w:val="006D3A87"/>
    <w:rsid w:val="006F01B4"/>
    <w:rsid w:val="00717A1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69FF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644F4"/>
    <w:rsid w:val="00883733"/>
    <w:rsid w:val="00894349"/>
    <w:rsid w:val="008965D2"/>
    <w:rsid w:val="008A236D"/>
    <w:rsid w:val="008A4D57"/>
    <w:rsid w:val="008B565A"/>
    <w:rsid w:val="008C3414"/>
    <w:rsid w:val="008D36D5"/>
    <w:rsid w:val="008F63E3"/>
    <w:rsid w:val="00913C3B"/>
    <w:rsid w:val="00915509"/>
    <w:rsid w:val="00927388"/>
    <w:rsid w:val="009274FE"/>
    <w:rsid w:val="00936DA6"/>
    <w:rsid w:val="009401AC"/>
    <w:rsid w:val="009613AC"/>
    <w:rsid w:val="00980643"/>
    <w:rsid w:val="009B46BC"/>
    <w:rsid w:val="009B61C3"/>
    <w:rsid w:val="009C7B4F"/>
    <w:rsid w:val="009E6102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0C46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0351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A577E"/>
    <w:rsid w:val="00DB111B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1CD5"/>
    <w:rsid w:val="00EE2C91"/>
    <w:rsid w:val="00EE3979"/>
    <w:rsid w:val="00EF138C"/>
    <w:rsid w:val="00F034CE"/>
    <w:rsid w:val="00F062C6"/>
    <w:rsid w:val="00F10A0F"/>
    <w:rsid w:val="00F14230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CACD94-B0DF-42AF-B22D-D1CB079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8A4D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A56B6"/>
    <w:pPr>
      <w:ind w:firstLine="0"/>
      <w:outlineLvl w:val="3"/>
    </w:pPr>
    <w:rPr>
      <w:rFonts w:ascii="IRBadr" w:hAnsi="IRBadr" w:cs="IRBad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A56B6"/>
    <w:rPr>
      <w:rFonts w:ascii="IRBadr" w:eastAsia="2  Lotus" w:hAnsi="IRBadr" w:cs="IR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148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5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CA66-D016-42C6-83A3-D3650F2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52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اشراق</dc:creator>
  <cp:lastModifiedBy>ac</cp:lastModifiedBy>
  <cp:revision>12</cp:revision>
  <dcterms:created xsi:type="dcterms:W3CDTF">2015-10-09T10:29:00Z</dcterms:created>
  <dcterms:modified xsi:type="dcterms:W3CDTF">2015-10-09T10:37:00Z</dcterms:modified>
</cp:coreProperties>
</file>