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54646" w:rsidRPr="00F41A63" w:rsidTr="000E4965">
        <w:tc>
          <w:tcPr>
            <w:tcW w:w="4788" w:type="dxa"/>
          </w:tcPr>
          <w:p w:rsidR="00C54646" w:rsidRPr="00F41A63" w:rsidRDefault="00C54646" w:rsidP="001F1E7D">
            <w:pPr>
              <w:bidi/>
              <w:jc w:val="both"/>
              <w:rPr>
                <w:rFonts w:ascii="IRBadr" w:hAnsi="IRBadr" w:cs="IRBadr"/>
                <w:sz w:val="28"/>
                <w:szCs w:val="28"/>
                <w:rtl/>
                <w:lang w:bidi="fa-IR"/>
              </w:rPr>
            </w:pPr>
            <w:bookmarkStart w:id="0" w:name="_GoBack" w:colFirst="0" w:colLast="0"/>
          </w:p>
        </w:tc>
        <w:tc>
          <w:tcPr>
            <w:tcW w:w="4788" w:type="dxa"/>
          </w:tcPr>
          <w:p w:rsidR="00C54646" w:rsidRPr="00F41A63" w:rsidRDefault="00C54646" w:rsidP="001F1E7D">
            <w:pPr>
              <w:bidi/>
              <w:jc w:val="both"/>
              <w:rPr>
                <w:rFonts w:ascii="IRBadr" w:hAnsi="IRBadr" w:cs="IRBadr"/>
                <w:sz w:val="28"/>
                <w:szCs w:val="28"/>
                <w:rtl/>
                <w:lang w:bidi="fa-IR"/>
              </w:rPr>
            </w:pPr>
          </w:p>
        </w:tc>
      </w:tr>
    </w:tbl>
    <w:bookmarkEnd w:id="0"/>
    <w:p w:rsidR="00C54646" w:rsidRDefault="009F24A3" w:rsidP="001F1E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41A63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C54646" w:rsidRPr="00F41A63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</w:p>
    <w:p w:rsidR="00F41A63" w:rsidRDefault="00F41A63" w:rsidP="00F41A6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فهرست مطالب:</w:t>
      </w:r>
    </w:p>
    <w:p w:rsidR="00F41A63" w:rsidRDefault="00F41A63" w:rsidP="00F41A63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</w:instrText>
      </w:r>
      <w:r>
        <w:rPr>
          <w:rFonts w:ascii="IRBadr" w:hAnsi="IRBadr" w:cs="IRBadr"/>
          <w:sz w:val="28"/>
          <w:rtl/>
        </w:rPr>
        <w:instrText>1-4</w:instrText>
      </w:r>
      <w:r>
        <w:rPr>
          <w:rFonts w:ascii="IRBadr" w:hAnsi="IRBadr" w:cs="IRBadr"/>
          <w:sz w:val="28"/>
        </w:rPr>
        <w:instrText>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8701330" w:history="1">
        <w:r w:rsidRPr="009E1874">
          <w:rPr>
            <w:rStyle w:val="Hyperlink"/>
            <w:rFonts w:ascii="IRBadr" w:hAnsi="IRBadr" w:cs="IRBadr" w:hint="eastAsia"/>
            <w:noProof/>
            <w:rtl/>
          </w:rPr>
          <w:t>ابعاد</w:t>
        </w:r>
        <w:r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9E1874">
          <w:rPr>
            <w:rStyle w:val="Hyperlink"/>
            <w:rFonts w:ascii="IRBadr" w:hAnsi="IRBadr" w:cs="IRBadr" w:hint="eastAsia"/>
            <w:noProof/>
            <w:rtl/>
          </w:rPr>
          <w:t>زندگ</w:t>
        </w:r>
        <w:r w:rsidRPr="009E1874">
          <w:rPr>
            <w:rStyle w:val="Hyperlink"/>
            <w:rFonts w:ascii="IRBadr" w:hAnsi="IRBadr" w:cs="IRBadr" w:hint="cs"/>
            <w:noProof/>
            <w:rtl/>
          </w:rPr>
          <w:t>ی</w:t>
        </w:r>
        <w:r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9E1874">
          <w:rPr>
            <w:rStyle w:val="Hyperlink"/>
            <w:rFonts w:ascii="IRBadr" w:hAnsi="IRBadr" w:cs="IRBadr" w:hint="eastAsia"/>
            <w:noProof/>
            <w:rtl/>
          </w:rPr>
          <w:t>انسان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_Toc428701330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F41A63" w:rsidRDefault="00E61D9B" w:rsidP="00F41A63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701331" w:history="1"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مرور</w:t>
        </w:r>
        <w:r w:rsidR="00F41A63"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="00F41A63"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گذشته</w:t>
        </w:r>
        <w:r w:rsidR="00F41A63">
          <w:rPr>
            <w:noProof/>
            <w:webHidden/>
          </w:rPr>
          <w:tab/>
        </w:r>
        <w:r w:rsidR="00F41A63">
          <w:rPr>
            <w:rStyle w:val="Hyperlink"/>
            <w:noProof/>
            <w:rtl/>
          </w:rPr>
          <w:fldChar w:fldCharType="begin"/>
        </w:r>
        <w:r w:rsidR="00F41A63">
          <w:rPr>
            <w:noProof/>
            <w:webHidden/>
          </w:rPr>
          <w:instrText xml:space="preserve"> PAGEREF _Toc428701331 \h </w:instrText>
        </w:r>
        <w:r w:rsidR="00F41A63">
          <w:rPr>
            <w:rStyle w:val="Hyperlink"/>
            <w:noProof/>
            <w:rtl/>
          </w:rPr>
        </w:r>
        <w:r w:rsidR="00F41A63">
          <w:rPr>
            <w:rStyle w:val="Hyperlink"/>
            <w:noProof/>
            <w:rtl/>
          </w:rPr>
          <w:fldChar w:fldCharType="separate"/>
        </w:r>
        <w:r w:rsidR="00F41A63">
          <w:rPr>
            <w:noProof/>
            <w:webHidden/>
          </w:rPr>
          <w:t>1</w:t>
        </w:r>
        <w:r w:rsidR="00F41A63">
          <w:rPr>
            <w:rStyle w:val="Hyperlink"/>
            <w:noProof/>
            <w:rtl/>
          </w:rPr>
          <w:fldChar w:fldCharType="end"/>
        </w:r>
      </w:hyperlink>
    </w:p>
    <w:p w:rsidR="00F41A63" w:rsidRDefault="00E61D9B" w:rsidP="00F41A63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701332" w:history="1"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رابطه</w:t>
        </w:r>
        <w:r w:rsidR="00F41A63"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اجتهاد</w:t>
        </w:r>
        <w:r w:rsidR="00F41A63"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با</w:t>
        </w:r>
        <w:r w:rsidR="00F41A63"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ابعاد</w:t>
        </w:r>
        <w:r w:rsidR="00F41A63"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زندگ</w:t>
        </w:r>
        <w:r w:rsidR="00F41A63" w:rsidRPr="009E1874">
          <w:rPr>
            <w:rStyle w:val="Hyperlink"/>
            <w:rFonts w:ascii="IRBadr" w:hAnsi="IRBadr" w:cs="IRBadr" w:hint="cs"/>
            <w:noProof/>
            <w:rtl/>
          </w:rPr>
          <w:t>ی</w:t>
        </w:r>
        <w:r w:rsidR="00F41A63"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بشر</w:t>
        </w:r>
        <w:r w:rsidR="00F41A63">
          <w:rPr>
            <w:noProof/>
            <w:webHidden/>
          </w:rPr>
          <w:tab/>
        </w:r>
        <w:r w:rsidR="00F41A63">
          <w:rPr>
            <w:rStyle w:val="Hyperlink"/>
            <w:noProof/>
            <w:rtl/>
          </w:rPr>
          <w:fldChar w:fldCharType="begin"/>
        </w:r>
        <w:r w:rsidR="00F41A63">
          <w:rPr>
            <w:noProof/>
            <w:webHidden/>
          </w:rPr>
          <w:instrText xml:space="preserve"> PAGEREF _Toc428701332 \h </w:instrText>
        </w:r>
        <w:r w:rsidR="00F41A63">
          <w:rPr>
            <w:rStyle w:val="Hyperlink"/>
            <w:noProof/>
            <w:rtl/>
          </w:rPr>
        </w:r>
        <w:r w:rsidR="00F41A63">
          <w:rPr>
            <w:rStyle w:val="Hyperlink"/>
            <w:noProof/>
            <w:rtl/>
          </w:rPr>
          <w:fldChar w:fldCharType="separate"/>
        </w:r>
        <w:r w:rsidR="00F41A63">
          <w:rPr>
            <w:noProof/>
            <w:webHidden/>
          </w:rPr>
          <w:t>2</w:t>
        </w:r>
        <w:r w:rsidR="00F41A63">
          <w:rPr>
            <w:rStyle w:val="Hyperlink"/>
            <w:noProof/>
            <w:rtl/>
          </w:rPr>
          <w:fldChar w:fldCharType="end"/>
        </w:r>
      </w:hyperlink>
    </w:p>
    <w:p w:rsidR="00F41A63" w:rsidRDefault="00E61D9B" w:rsidP="00F41A63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701333" w:history="1"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جا</w:t>
        </w:r>
        <w:r w:rsidR="00F41A63" w:rsidRPr="009E1874">
          <w:rPr>
            <w:rStyle w:val="Hyperlink"/>
            <w:rFonts w:ascii="IRBadr" w:hAnsi="IRBadr" w:cs="IRBadr" w:hint="cs"/>
            <w:noProof/>
            <w:rtl/>
          </w:rPr>
          <w:t>ی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گاه</w:t>
        </w:r>
        <w:r w:rsidR="00F41A63"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="00F41A63"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تأث</w:t>
        </w:r>
        <w:r w:rsidR="00F41A63" w:rsidRPr="009E1874">
          <w:rPr>
            <w:rStyle w:val="Hyperlink"/>
            <w:rFonts w:ascii="IRBadr" w:hAnsi="IRBadr" w:cs="IRBadr" w:hint="cs"/>
            <w:noProof/>
            <w:rtl/>
          </w:rPr>
          <w:t>ی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رات</w:t>
        </w:r>
        <w:r w:rsidR="00F41A63"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و</w:t>
        </w:r>
        <w:r w:rsidR="00F41A63"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تأثرات</w:t>
        </w:r>
        <w:r w:rsidR="00F41A63">
          <w:rPr>
            <w:noProof/>
            <w:webHidden/>
          </w:rPr>
          <w:tab/>
        </w:r>
        <w:r w:rsidR="00F41A63">
          <w:rPr>
            <w:rStyle w:val="Hyperlink"/>
            <w:noProof/>
            <w:rtl/>
          </w:rPr>
          <w:fldChar w:fldCharType="begin"/>
        </w:r>
        <w:r w:rsidR="00F41A63">
          <w:rPr>
            <w:noProof/>
            <w:webHidden/>
          </w:rPr>
          <w:instrText xml:space="preserve"> PAGEREF _Toc428701333 \h </w:instrText>
        </w:r>
        <w:r w:rsidR="00F41A63">
          <w:rPr>
            <w:rStyle w:val="Hyperlink"/>
            <w:noProof/>
            <w:rtl/>
          </w:rPr>
        </w:r>
        <w:r w:rsidR="00F41A63">
          <w:rPr>
            <w:rStyle w:val="Hyperlink"/>
            <w:noProof/>
            <w:rtl/>
          </w:rPr>
          <w:fldChar w:fldCharType="separate"/>
        </w:r>
        <w:r w:rsidR="00F41A63">
          <w:rPr>
            <w:noProof/>
            <w:webHidden/>
          </w:rPr>
          <w:t>2</w:t>
        </w:r>
        <w:r w:rsidR="00F41A63">
          <w:rPr>
            <w:rStyle w:val="Hyperlink"/>
            <w:noProof/>
            <w:rtl/>
          </w:rPr>
          <w:fldChar w:fldCharType="end"/>
        </w:r>
      </w:hyperlink>
    </w:p>
    <w:p w:rsidR="00F41A63" w:rsidRDefault="00E61D9B" w:rsidP="00F41A63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701334" w:history="1"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رد</w:t>
        </w:r>
        <w:r w:rsidR="00F41A63"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نسب</w:t>
        </w:r>
        <w:r w:rsidR="00F41A63" w:rsidRPr="009E1874">
          <w:rPr>
            <w:rStyle w:val="Hyperlink"/>
            <w:rFonts w:ascii="IRBadr" w:hAnsi="IRBadr" w:cs="IRBadr" w:hint="cs"/>
            <w:noProof/>
            <w:rtl/>
          </w:rPr>
          <w:t>ی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F41A63"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مطلق</w:t>
        </w:r>
        <w:r w:rsidR="00F41A63">
          <w:rPr>
            <w:noProof/>
            <w:webHidden/>
          </w:rPr>
          <w:tab/>
        </w:r>
        <w:r w:rsidR="00F41A63">
          <w:rPr>
            <w:rStyle w:val="Hyperlink"/>
            <w:noProof/>
            <w:rtl/>
          </w:rPr>
          <w:fldChar w:fldCharType="begin"/>
        </w:r>
        <w:r w:rsidR="00F41A63">
          <w:rPr>
            <w:noProof/>
            <w:webHidden/>
          </w:rPr>
          <w:instrText xml:space="preserve"> PAGEREF _Toc428701334 \h </w:instrText>
        </w:r>
        <w:r w:rsidR="00F41A63">
          <w:rPr>
            <w:rStyle w:val="Hyperlink"/>
            <w:noProof/>
            <w:rtl/>
          </w:rPr>
        </w:r>
        <w:r w:rsidR="00F41A63">
          <w:rPr>
            <w:rStyle w:val="Hyperlink"/>
            <w:noProof/>
            <w:rtl/>
          </w:rPr>
          <w:fldChar w:fldCharType="separate"/>
        </w:r>
        <w:r w:rsidR="00F41A63">
          <w:rPr>
            <w:noProof/>
            <w:webHidden/>
          </w:rPr>
          <w:t>2</w:t>
        </w:r>
        <w:r w:rsidR="00F41A63">
          <w:rPr>
            <w:rStyle w:val="Hyperlink"/>
            <w:noProof/>
            <w:rtl/>
          </w:rPr>
          <w:fldChar w:fldCharType="end"/>
        </w:r>
      </w:hyperlink>
    </w:p>
    <w:p w:rsidR="00F41A63" w:rsidRDefault="00E61D9B" w:rsidP="00F41A63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701335" w:history="1"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سبک</w:t>
        </w:r>
        <w:r w:rsidR="00F41A63"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زندگ</w:t>
        </w:r>
        <w:r w:rsidR="00F41A63" w:rsidRPr="009E1874">
          <w:rPr>
            <w:rStyle w:val="Hyperlink"/>
            <w:rFonts w:ascii="IRBadr" w:hAnsi="IRBadr" w:cs="IRBadr" w:hint="cs"/>
            <w:noProof/>
            <w:rtl/>
          </w:rPr>
          <w:t>ی</w:t>
        </w:r>
        <w:r w:rsidR="00F41A63"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فرد</w:t>
        </w:r>
        <w:r w:rsidR="00F41A63" w:rsidRPr="009E1874">
          <w:rPr>
            <w:rStyle w:val="Hyperlink"/>
            <w:rFonts w:ascii="IRBadr" w:hAnsi="IRBadr" w:cs="IRBadr" w:hint="cs"/>
            <w:noProof/>
            <w:rtl/>
          </w:rPr>
          <w:t>ی</w:t>
        </w:r>
        <w:r w:rsidR="00F41A63"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و</w:t>
        </w:r>
        <w:r w:rsidR="00F41A63"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اجتماع</w:t>
        </w:r>
        <w:r w:rsidR="00F41A63" w:rsidRPr="009E1874">
          <w:rPr>
            <w:rStyle w:val="Hyperlink"/>
            <w:rFonts w:ascii="IRBadr" w:hAnsi="IRBadr" w:cs="IRBadr" w:hint="cs"/>
            <w:noProof/>
            <w:rtl/>
          </w:rPr>
          <w:t>ی</w:t>
        </w:r>
        <w:r w:rsidR="00F41A63">
          <w:rPr>
            <w:noProof/>
            <w:webHidden/>
          </w:rPr>
          <w:tab/>
        </w:r>
        <w:r w:rsidR="00F41A63">
          <w:rPr>
            <w:rStyle w:val="Hyperlink"/>
            <w:noProof/>
            <w:rtl/>
          </w:rPr>
          <w:fldChar w:fldCharType="begin"/>
        </w:r>
        <w:r w:rsidR="00F41A63">
          <w:rPr>
            <w:noProof/>
            <w:webHidden/>
          </w:rPr>
          <w:instrText xml:space="preserve"> PAGEREF _Toc428701335 \h </w:instrText>
        </w:r>
        <w:r w:rsidR="00F41A63">
          <w:rPr>
            <w:rStyle w:val="Hyperlink"/>
            <w:noProof/>
            <w:rtl/>
          </w:rPr>
        </w:r>
        <w:r w:rsidR="00F41A63">
          <w:rPr>
            <w:rStyle w:val="Hyperlink"/>
            <w:noProof/>
            <w:rtl/>
          </w:rPr>
          <w:fldChar w:fldCharType="separate"/>
        </w:r>
        <w:r w:rsidR="00F41A63">
          <w:rPr>
            <w:noProof/>
            <w:webHidden/>
          </w:rPr>
          <w:t>2</w:t>
        </w:r>
        <w:r w:rsidR="00F41A63">
          <w:rPr>
            <w:rStyle w:val="Hyperlink"/>
            <w:noProof/>
            <w:rtl/>
          </w:rPr>
          <w:fldChar w:fldCharType="end"/>
        </w:r>
      </w:hyperlink>
    </w:p>
    <w:p w:rsidR="00F41A63" w:rsidRDefault="00E61D9B" w:rsidP="00F41A63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701336" w:history="1"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اهم</w:t>
        </w:r>
        <w:r w:rsidR="00F41A63" w:rsidRPr="009E1874">
          <w:rPr>
            <w:rStyle w:val="Hyperlink"/>
            <w:rFonts w:ascii="IRBadr" w:hAnsi="IRBadr" w:cs="IRBadr" w:hint="cs"/>
            <w:noProof/>
            <w:rtl/>
          </w:rPr>
          <w:t>ی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F41A63"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اجتهاد</w:t>
        </w:r>
        <w:r w:rsidR="00F41A63"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F41A63"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ا</w:t>
        </w:r>
        <w:r w:rsidR="00F41A63" w:rsidRPr="009E1874">
          <w:rPr>
            <w:rStyle w:val="Hyperlink"/>
            <w:rFonts w:ascii="IRBadr" w:hAnsi="IRBadr" w:cs="IRBadr" w:hint="cs"/>
            <w:noProof/>
            <w:rtl/>
          </w:rPr>
          <w:t>ی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ن</w:t>
        </w:r>
        <w:r w:rsidR="00F41A63"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باب</w:t>
        </w:r>
        <w:r w:rsidR="00F41A63">
          <w:rPr>
            <w:noProof/>
            <w:webHidden/>
          </w:rPr>
          <w:tab/>
        </w:r>
        <w:r w:rsidR="00F41A63">
          <w:rPr>
            <w:rStyle w:val="Hyperlink"/>
            <w:noProof/>
            <w:rtl/>
          </w:rPr>
          <w:fldChar w:fldCharType="begin"/>
        </w:r>
        <w:r w:rsidR="00F41A63">
          <w:rPr>
            <w:noProof/>
            <w:webHidden/>
          </w:rPr>
          <w:instrText xml:space="preserve"> PAGEREF _Toc428701336 \h </w:instrText>
        </w:r>
        <w:r w:rsidR="00F41A63">
          <w:rPr>
            <w:rStyle w:val="Hyperlink"/>
            <w:noProof/>
            <w:rtl/>
          </w:rPr>
        </w:r>
        <w:r w:rsidR="00F41A63">
          <w:rPr>
            <w:rStyle w:val="Hyperlink"/>
            <w:noProof/>
            <w:rtl/>
          </w:rPr>
          <w:fldChar w:fldCharType="separate"/>
        </w:r>
        <w:r w:rsidR="00F41A63">
          <w:rPr>
            <w:noProof/>
            <w:webHidden/>
          </w:rPr>
          <w:t>3</w:t>
        </w:r>
        <w:r w:rsidR="00F41A63">
          <w:rPr>
            <w:rStyle w:val="Hyperlink"/>
            <w:noProof/>
            <w:rtl/>
          </w:rPr>
          <w:fldChar w:fldCharType="end"/>
        </w:r>
      </w:hyperlink>
    </w:p>
    <w:p w:rsidR="00F41A63" w:rsidRDefault="00E61D9B" w:rsidP="00F41A63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701337" w:history="1"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جمع‌بند</w:t>
        </w:r>
        <w:r w:rsidR="00F41A63" w:rsidRPr="009E1874">
          <w:rPr>
            <w:rStyle w:val="Hyperlink"/>
            <w:rFonts w:ascii="IRBadr" w:hAnsi="IRBadr" w:cs="IRBadr" w:hint="cs"/>
            <w:noProof/>
            <w:rtl/>
          </w:rPr>
          <w:t>ی</w:t>
        </w:r>
        <w:r w:rsidR="00F41A63">
          <w:rPr>
            <w:noProof/>
            <w:webHidden/>
          </w:rPr>
          <w:tab/>
        </w:r>
        <w:r w:rsidR="00F41A63">
          <w:rPr>
            <w:rStyle w:val="Hyperlink"/>
            <w:noProof/>
            <w:rtl/>
          </w:rPr>
          <w:fldChar w:fldCharType="begin"/>
        </w:r>
        <w:r w:rsidR="00F41A63">
          <w:rPr>
            <w:noProof/>
            <w:webHidden/>
          </w:rPr>
          <w:instrText xml:space="preserve"> PAGEREF _Toc428701337 \h </w:instrText>
        </w:r>
        <w:r w:rsidR="00F41A63">
          <w:rPr>
            <w:rStyle w:val="Hyperlink"/>
            <w:noProof/>
            <w:rtl/>
          </w:rPr>
        </w:r>
        <w:r w:rsidR="00F41A63">
          <w:rPr>
            <w:rStyle w:val="Hyperlink"/>
            <w:noProof/>
            <w:rtl/>
          </w:rPr>
          <w:fldChar w:fldCharType="separate"/>
        </w:r>
        <w:r w:rsidR="00F41A63">
          <w:rPr>
            <w:noProof/>
            <w:webHidden/>
          </w:rPr>
          <w:t>3</w:t>
        </w:r>
        <w:r w:rsidR="00F41A63">
          <w:rPr>
            <w:rStyle w:val="Hyperlink"/>
            <w:noProof/>
            <w:rtl/>
          </w:rPr>
          <w:fldChar w:fldCharType="end"/>
        </w:r>
      </w:hyperlink>
    </w:p>
    <w:p w:rsidR="00F41A63" w:rsidRDefault="00E61D9B" w:rsidP="00F41A63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701338" w:history="1"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نگاه</w:t>
        </w:r>
        <w:r w:rsidR="00F41A63"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تار</w:t>
        </w:r>
        <w:r w:rsidR="00F41A63" w:rsidRPr="009E1874">
          <w:rPr>
            <w:rStyle w:val="Hyperlink"/>
            <w:rFonts w:ascii="IRBadr" w:hAnsi="IRBadr" w:cs="IRBadr" w:hint="cs"/>
            <w:noProof/>
            <w:rtl/>
          </w:rPr>
          <w:t>ی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خ</w:t>
        </w:r>
        <w:r w:rsidR="00F41A63" w:rsidRPr="009E1874">
          <w:rPr>
            <w:rStyle w:val="Hyperlink"/>
            <w:rFonts w:ascii="IRBadr" w:hAnsi="IRBadr" w:cs="IRBadr" w:hint="cs"/>
            <w:noProof/>
            <w:rtl/>
          </w:rPr>
          <w:t>ی</w:t>
        </w:r>
        <w:r w:rsidR="00F41A63"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به</w:t>
        </w:r>
        <w:r w:rsidR="00F41A63"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فقه</w:t>
        </w:r>
        <w:r w:rsidR="00F41A63">
          <w:rPr>
            <w:noProof/>
            <w:webHidden/>
          </w:rPr>
          <w:tab/>
        </w:r>
        <w:r w:rsidR="00F41A63">
          <w:rPr>
            <w:rStyle w:val="Hyperlink"/>
            <w:noProof/>
            <w:rtl/>
          </w:rPr>
          <w:fldChar w:fldCharType="begin"/>
        </w:r>
        <w:r w:rsidR="00F41A63">
          <w:rPr>
            <w:noProof/>
            <w:webHidden/>
          </w:rPr>
          <w:instrText xml:space="preserve"> PAGEREF _Toc428701338 \h </w:instrText>
        </w:r>
        <w:r w:rsidR="00F41A63">
          <w:rPr>
            <w:rStyle w:val="Hyperlink"/>
            <w:noProof/>
            <w:rtl/>
          </w:rPr>
        </w:r>
        <w:r w:rsidR="00F41A63">
          <w:rPr>
            <w:rStyle w:val="Hyperlink"/>
            <w:noProof/>
            <w:rtl/>
          </w:rPr>
          <w:fldChar w:fldCharType="separate"/>
        </w:r>
        <w:r w:rsidR="00F41A63">
          <w:rPr>
            <w:noProof/>
            <w:webHidden/>
          </w:rPr>
          <w:t>3</w:t>
        </w:r>
        <w:r w:rsidR="00F41A63">
          <w:rPr>
            <w:rStyle w:val="Hyperlink"/>
            <w:noProof/>
            <w:rtl/>
          </w:rPr>
          <w:fldChar w:fldCharType="end"/>
        </w:r>
      </w:hyperlink>
    </w:p>
    <w:p w:rsidR="00F41A63" w:rsidRDefault="00E61D9B" w:rsidP="00F41A63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701339" w:history="1"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مراحل</w:t>
        </w:r>
        <w:r w:rsidR="00F41A63"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فقه</w:t>
        </w:r>
        <w:r w:rsidR="00F41A63"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ش</w:t>
        </w:r>
        <w:r w:rsidR="00F41A63" w:rsidRPr="009E1874">
          <w:rPr>
            <w:rStyle w:val="Hyperlink"/>
            <w:rFonts w:ascii="IRBadr" w:hAnsi="IRBadr" w:cs="IRBadr" w:hint="cs"/>
            <w:noProof/>
            <w:rtl/>
          </w:rPr>
          <w:t>ی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عه</w:t>
        </w:r>
        <w:r w:rsidR="00F41A63">
          <w:rPr>
            <w:noProof/>
            <w:webHidden/>
          </w:rPr>
          <w:tab/>
        </w:r>
        <w:r w:rsidR="00F41A63">
          <w:rPr>
            <w:rStyle w:val="Hyperlink"/>
            <w:noProof/>
            <w:rtl/>
          </w:rPr>
          <w:fldChar w:fldCharType="begin"/>
        </w:r>
        <w:r w:rsidR="00F41A63">
          <w:rPr>
            <w:noProof/>
            <w:webHidden/>
          </w:rPr>
          <w:instrText xml:space="preserve"> PAGEREF _Toc428701339 \h </w:instrText>
        </w:r>
        <w:r w:rsidR="00F41A63">
          <w:rPr>
            <w:rStyle w:val="Hyperlink"/>
            <w:noProof/>
            <w:rtl/>
          </w:rPr>
        </w:r>
        <w:r w:rsidR="00F41A63">
          <w:rPr>
            <w:rStyle w:val="Hyperlink"/>
            <w:noProof/>
            <w:rtl/>
          </w:rPr>
          <w:fldChar w:fldCharType="separate"/>
        </w:r>
        <w:r w:rsidR="00F41A63">
          <w:rPr>
            <w:noProof/>
            <w:webHidden/>
          </w:rPr>
          <w:t>3</w:t>
        </w:r>
        <w:r w:rsidR="00F41A63">
          <w:rPr>
            <w:rStyle w:val="Hyperlink"/>
            <w:noProof/>
            <w:rtl/>
          </w:rPr>
          <w:fldChar w:fldCharType="end"/>
        </w:r>
      </w:hyperlink>
    </w:p>
    <w:p w:rsidR="00F41A63" w:rsidRDefault="00E61D9B" w:rsidP="00F41A63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701340" w:history="1"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مرحله</w:t>
        </w:r>
        <w:r w:rsidR="00F41A63"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چهارم</w:t>
        </w:r>
        <w:r w:rsidR="00F41A63">
          <w:rPr>
            <w:noProof/>
            <w:webHidden/>
          </w:rPr>
          <w:tab/>
        </w:r>
        <w:r w:rsidR="00F41A63">
          <w:rPr>
            <w:rStyle w:val="Hyperlink"/>
            <w:noProof/>
            <w:rtl/>
          </w:rPr>
          <w:fldChar w:fldCharType="begin"/>
        </w:r>
        <w:r w:rsidR="00F41A63">
          <w:rPr>
            <w:noProof/>
            <w:webHidden/>
          </w:rPr>
          <w:instrText xml:space="preserve"> PAGEREF _Toc428701340 \h </w:instrText>
        </w:r>
        <w:r w:rsidR="00F41A63">
          <w:rPr>
            <w:rStyle w:val="Hyperlink"/>
            <w:noProof/>
            <w:rtl/>
          </w:rPr>
        </w:r>
        <w:r w:rsidR="00F41A63">
          <w:rPr>
            <w:rStyle w:val="Hyperlink"/>
            <w:noProof/>
            <w:rtl/>
          </w:rPr>
          <w:fldChar w:fldCharType="separate"/>
        </w:r>
        <w:r w:rsidR="00F41A63">
          <w:rPr>
            <w:noProof/>
            <w:webHidden/>
          </w:rPr>
          <w:t>4</w:t>
        </w:r>
        <w:r w:rsidR="00F41A63">
          <w:rPr>
            <w:rStyle w:val="Hyperlink"/>
            <w:noProof/>
            <w:rtl/>
          </w:rPr>
          <w:fldChar w:fldCharType="end"/>
        </w:r>
      </w:hyperlink>
    </w:p>
    <w:p w:rsidR="00F41A63" w:rsidRDefault="00E61D9B" w:rsidP="00F41A63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701341" w:history="1"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مرحله</w:t>
        </w:r>
        <w:r w:rsidR="00F41A63"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پنجم</w:t>
        </w:r>
        <w:r w:rsidR="00F41A63">
          <w:rPr>
            <w:noProof/>
            <w:webHidden/>
          </w:rPr>
          <w:tab/>
        </w:r>
        <w:r w:rsidR="00F41A63">
          <w:rPr>
            <w:rStyle w:val="Hyperlink"/>
            <w:noProof/>
            <w:rtl/>
          </w:rPr>
          <w:fldChar w:fldCharType="begin"/>
        </w:r>
        <w:r w:rsidR="00F41A63">
          <w:rPr>
            <w:noProof/>
            <w:webHidden/>
          </w:rPr>
          <w:instrText xml:space="preserve"> PAGEREF _Toc428701341 \h </w:instrText>
        </w:r>
        <w:r w:rsidR="00F41A63">
          <w:rPr>
            <w:rStyle w:val="Hyperlink"/>
            <w:noProof/>
            <w:rtl/>
          </w:rPr>
        </w:r>
        <w:r w:rsidR="00F41A63">
          <w:rPr>
            <w:rStyle w:val="Hyperlink"/>
            <w:noProof/>
            <w:rtl/>
          </w:rPr>
          <w:fldChar w:fldCharType="separate"/>
        </w:r>
        <w:r w:rsidR="00F41A63">
          <w:rPr>
            <w:noProof/>
            <w:webHidden/>
          </w:rPr>
          <w:t>4</w:t>
        </w:r>
        <w:r w:rsidR="00F41A63">
          <w:rPr>
            <w:rStyle w:val="Hyperlink"/>
            <w:noProof/>
            <w:rtl/>
          </w:rPr>
          <w:fldChar w:fldCharType="end"/>
        </w:r>
      </w:hyperlink>
    </w:p>
    <w:p w:rsidR="00F41A63" w:rsidRDefault="00E61D9B" w:rsidP="00F41A63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701342" w:history="1"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مرحله</w:t>
        </w:r>
        <w:r w:rsidR="00F41A63" w:rsidRPr="009E187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F41A63" w:rsidRPr="009E1874">
          <w:rPr>
            <w:rStyle w:val="Hyperlink"/>
            <w:rFonts w:ascii="IRBadr" w:hAnsi="IRBadr" w:cs="IRBadr" w:hint="eastAsia"/>
            <w:noProof/>
            <w:rtl/>
          </w:rPr>
          <w:t>ششم</w:t>
        </w:r>
        <w:r w:rsidR="00F41A63">
          <w:rPr>
            <w:noProof/>
            <w:webHidden/>
          </w:rPr>
          <w:tab/>
        </w:r>
        <w:r w:rsidR="00F41A63">
          <w:rPr>
            <w:rStyle w:val="Hyperlink"/>
            <w:noProof/>
            <w:rtl/>
          </w:rPr>
          <w:fldChar w:fldCharType="begin"/>
        </w:r>
        <w:r w:rsidR="00F41A63">
          <w:rPr>
            <w:noProof/>
            <w:webHidden/>
          </w:rPr>
          <w:instrText xml:space="preserve"> PAGEREF _Toc428701342 \h </w:instrText>
        </w:r>
        <w:r w:rsidR="00F41A63">
          <w:rPr>
            <w:rStyle w:val="Hyperlink"/>
            <w:noProof/>
            <w:rtl/>
          </w:rPr>
        </w:r>
        <w:r w:rsidR="00F41A63">
          <w:rPr>
            <w:rStyle w:val="Hyperlink"/>
            <w:noProof/>
            <w:rtl/>
          </w:rPr>
          <w:fldChar w:fldCharType="separate"/>
        </w:r>
        <w:r w:rsidR="00F41A63">
          <w:rPr>
            <w:noProof/>
            <w:webHidden/>
          </w:rPr>
          <w:t>4</w:t>
        </w:r>
        <w:r w:rsidR="00F41A63">
          <w:rPr>
            <w:rStyle w:val="Hyperlink"/>
            <w:noProof/>
            <w:rtl/>
          </w:rPr>
          <w:fldChar w:fldCharType="end"/>
        </w:r>
      </w:hyperlink>
    </w:p>
    <w:p w:rsidR="00F41A63" w:rsidRPr="00F41A63" w:rsidRDefault="00F41A63" w:rsidP="00F41A6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AB3D1F" w:rsidRDefault="00AB3D1F">
      <w:pPr>
        <w:spacing w:after="0" w:line="240" w:lineRule="auto"/>
        <w:rPr>
          <w:rFonts w:ascii="IRBadr" w:eastAsia="2  Lotus" w:hAnsi="IRBadr" w:cs="IRBadr"/>
          <w:bCs/>
          <w:sz w:val="44"/>
          <w:szCs w:val="42"/>
          <w:rtl/>
          <w:lang w:bidi="fa-IR"/>
        </w:rPr>
      </w:pPr>
      <w:bookmarkStart w:id="1" w:name="_Toc428701330"/>
      <w:r>
        <w:rPr>
          <w:rFonts w:ascii="IRBadr" w:hAnsi="IRBadr" w:cs="IRBadr"/>
          <w:rtl/>
        </w:rPr>
        <w:br w:type="page"/>
      </w:r>
    </w:p>
    <w:p w:rsidR="000E4965" w:rsidRPr="00F41A63" w:rsidRDefault="000E4965" w:rsidP="001F1E7D">
      <w:pPr>
        <w:pStyle w:val="Heading1"/>
        <w:rPr>
          <w:rFonts w:ascii="IRBadr" w:hAnsi="IRBadr" w:cs="IRBadr"/>
          <w:rtl/>
        </w:rPr>
      </w:pPr>
      <w:r w:rsidRPr="00F41A63">
        <w:rPr>
          <w:rFonts w:ascii="IRBadr" w:hAnsi="IRBadr" w:cs="IRBadr"/>
          <w:rtl/>
        </w:rPr>
        <w:lastRenderedPageBreak/>
        <w:t>ابعاد زندگی انسان</w:t>
      </w:r>
      <w:bookmarkEnd w:id="1"/>
    </w:p>
    <w:p w:rsidR="000E4965" w:rsidRPr="00F41A63" w:rsidRDefault="000E4965" w:rsidP="001F1E7D">
      <w:pPr>
        <w:pStyle w:val="Heading1"/>
        <w:rPr>
          <w:rFonts w:ascii="IRBadr" w:hAnsi="IRBadr" w:cs="IRBadr"/>
          <w:rtl/>
        </w:rPr>
      </w:pPr>
      <w:bookmarkStart w:id="2" w:name="_Toc428701331"/>
      <w:r w:rsidRPr="00F41A63">
        <w:rPr>
          <w:rFonts w:ascii="IRBadr" w:hAnsi="IRBadr" w:cs="IRBadr"/>
          <w:rtl/>
        </w:rPr>
        <w:t>مرور بحث گذشته</w:t>
      </w:r>
      <w:bookmarkEnd w:id="2"/>
    </w:p>
    <w:p w:rsidR="000E4965" w:rsidRPr="00F41A63" w:rsidRDefault="000E4965" w:rsidP="001F1E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41A63">
        <w:rPr>
          <w:rFonts w:ascii="IRBadr" w:hAnsi="IRBadr" w:cs="IRBadr"/>
          <w:sz w:val="28"/>
          <w:szCs w:val="28"/>
          <w:rtl/>
          <w:lang w:bidi="fa-IR"/>
        </w:rPr>
        <w:t>در جلسه پیشین گفته شد که زندگی انسان دارای چند محور است؛</w:t>
      </w:r>
    </w:p>
    <w:p w:rsidR="000E4965" w:rsidRPr="00F41A63" w:rsidRDefault="00D9711E" w:rsidP="001F1E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یکی از موضوعات مطرح در این زمینه 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>سبک‌های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زندگی فردی و اجتماعی افراد است که فعلاً 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>،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 xml:space="preserve"> زمینه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>نرم‌افزاری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آن است،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 xml:space="preserve"> بخش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اول از زندگی انسان،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 xml:space="preserve"> بخشی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است که در متون دینی 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مصرح بدان 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>پرداخته‌شده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93841">
        <w:rPr>
          <w:rFonts w:ascii="IRBadr" w:hAnsi="IRBadr" w:cs="IRBadr"/>
          <w:sz w:val="28"/>
          <w:szCs w:val="28"/>
          <w:rtl/>
          <w:lang w:bidi="fa-IR"/>
        </w:rPr>
        <w:t>بخش‌های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دیگری نیز وجود دارد که به آن تصریح نشده است که 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>سبک‌های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هنری،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 xml:space="preserve"> معماری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و سایر ابعاد زندگی بشر را دربر 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586919" w:rsidRPr="00F41A63" w:rsidRDefault="00D9711E" w:rsidP="001F1E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41A63">
        <w:rPr>
          <w:rFonts w:ascii="IRBadr" w:hAnsi="IRBadr" w:cs="IRBadr"/>
          <w:sz w:val="28"/>
          <w:szCs w:val="28"/>
          <w:rtl/>
          <w:lang w:bidi="fa-IR"/>
        </w:rPr>
        <w:t>هرچه قدر به بالا نگاه داشته باشیم،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 xml:space="preserve"> اهمیت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این نوع از اجتهاد عمقی بیشتر نمود پیدا 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586919" w:rsidRPr="00F41A63" w:rsidRDefault="00586919" w:rsidP="00586919">
      <w:pPr>
        <w:pStyle w:val="Heading1"/>
        <w:rPr>
          <w:rFonts w:ascii="IRBadr" w:hAnsi="IRBadr" w:cs="IRBadr"/>
          <w:rtl/>
        </w:rPr>
      </w:pPr>
      <w:bookmarkStart w:id="3" w:name="_Toc428701332"/>
      <w:r w:rsidRPr="00F41A63">
        <w:rPr>
          <w:rFonts w:ascii="IRBadr" w:hAnsi="IRBadr" w:cs="IRBadr"/>
          <w:rtl/>
        </w:rPr>
        <w:t>رابطه اجتهاد با ابعاد زندگی بشر</w:t>
      </w:r>
      <w:bookmarkEnd w:id="3"/>
    </w:p>
    <w:p w:rsidR="00586919" w:rsidRPr="00F41A63" w:rsidRDefault="00586919" w:rsidP="0058691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اجتهاد و فراورده اجتهاد که فقه و احکام و شریعت باشد، با حوزه‌های معرفتی بشر برقرار می‌کند، اعم از معارف عقلی یا معارف طبیعی یا معارف علوم انسانی. </w:t>
      </w:r>
      <w:r w:rsidR="001927CE" w:rsidRPr="00F41A63">
        <w:rPr>
          <w:rFonts w:ascii="IRBadr" w:hAnsi="IRBadr" w:cs="IRBadr"/>
          <w:sz w:val="28"/>
          <w:szCs w:val="28"/>
          <w:rtl/>
          <w:lang w:bidi="fa-IR"/>
        </w:rPr>
        <w:t>این‌یک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حوزه بود که حوزه مهمی است. دیروز دورنمای بحث را عرض کردیم و گفتیم این ارتباط در آن درجه از اهمیت است و تأثیر و تأثر در آن </w:t>
      </w:r>
      <w:r w:rsidR="001927CE" w:rsidRPr="00F41A63">
        <w:rPr>
          <w:rFonts w:ascii="IRBadr" w:hAnsi="IRBadr" w:cs="IRBadr"/>
          <w:sz w:val="28"/>
          <w:szCs w:val="28"/>
          <w:rtl/>
          <w:lang w:bidi="fa-IR"/>
        </w:rPr>
        <w:t>درجه‌ای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است که نیازمند به اجتهاد است. و با یک نگاه اجتهادی می‌شود در این بحث ترابط و تواصل و اتصال بین حوزه‌های معرفتی دینی و معارف دیگر، از معارف بشری کسی ورود کند.</w:t>
      </w:r>
    </w:p>
    <w:p w:rsidR="00586919" w:rsidRPr="00F41A63" w:rsidRDefault="00586919" w:rsidP="00586919">
      <w:pPr>
        <w:pStyle w:val="Heading2"/>
        <w:rPr>
          <w:rFonts w:ascii="IRBadr" w:hAnsi="IRBadr" w:cs="IRBadr"/>
          <w:rtl/>
        </w:rPr>
      </w:pPr>
      <w:bookmarkStart w:id="4" w:name="_Toc428701333"/>
      <w:r w:rsidRPr="00F41A63">
        <w:rPr>
          <w:rFonts w:ascii="IRBadr" w:hAnsi="IRBadr" w:cs="IRBadr"/>
          <w:rtl/>
        </w:rPr>
        <w:t>جایگاه بحث تأثیرات و تأثرات</w:t>
      </w:r>
      <w:bookmarkEnd w:id="4"/>
    </w:p>
    <w:p w:rsidR="00586919" w:rsidRPr="00F41A63" w:rsidRDefault="00586919" w:rsidP="0058691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و این بحثی است که در دوره متأخر، از قدیم مطرح بوده، یعنی بحث </w:t>
      </w:r>
      <w:r w:rsidR="001927CE" w:rsidRPr="00F41A63">
        <w:rPr>
          <w:rFonts w:ascii="IRBadr" w:hAnsi="IRBadr" w:cs="IRBadr"/>
          <w:sz w:val="28"/>
          <w:szCs w:val="28"/>
          <w:rtl/>
          <w:lang w:bidi="fa-IR"/>
        </w:rPr>
        <w:t>سابقه‌داری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است. ولی در دوره متأخر هم مباحث فراوانی در بحث‌های غربی‌ها در این زمینه وجود داشته است، هم در کشورهای اسلامی و خود کشور ما، </w:t>
      </w:r>
      <w:r w:rsidR="001927CE" w:rsidRPr="00F41A63">
        <w:rPr>
          <w:rFonts w:ascii="IRBadr" w:hAnsi="IRBadr" w:cs="IRBadr"/>
          <w:sz w:val="28"/>
          <w:szCs w:val="28"/>
          <w:rtl/>
          <w:lang w:bidi="fa-IR"/>
        </w:rPr>
        <w:t>این‌یک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بحث بود که دیروز دورنمای بحث را عرض کردیم، نه اینکه وارد تفصیل مباحث بشویم.</w:t>
      </w:r>
    </w:p>
    <w:p w:rsidR="00586919" w:rsidRPr="00F41A63" w:rsidRDefault="00586919" w:rsidP="0058691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فقط تأکید ما روی این نکته بود که این تأثیر و تأثر در </w:t>
      </w:r>
      <w:r w:rsidR="001927CE" w:rsidRPr="00F41A63">
        <w:rPr>
          <w:rFonts w:ascii="IRBadr" w:hAnsi="IRBadr" w:cs="IRBadr"/>
          <w:sz w:val="28"/>
          <w:szCs w:val="28"/>
          <w:rtl/>
          <w:lang w:bidi="fa-IR"/>
        </w:rPr>
        <w:t>درجه‌ای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است که تعیین مرزها و کیفیت آن به لحاظ کبروی و صغروی نیازمند اجتهاد است، یعنی یک مجتهد به معنای جامع می‌تواند در این قلمرو ورود کند. بعد از فراغ از مباحث کبروی </w:t>
      </w:r>
      <w:r w:rsidR="001927CE" w:rsidRPr="00F41A63">
        <w:rPr>
          <w:rFonts w:ascii="IRBadr" w:hAnsi="IRBadr" w:cs="IRBadr"/>
          <w:sz w:val="28"/>
          <w:szCs w:val="28"/>
          <w:rtl/>
          <w:lang w:bidi="fa-IR"/>
        </w:rPr>
        <w:t>آن‌که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927CE" w:rsidRPr="00F41A63">
        <w:rPr>
          <w:rFonts w:ascii="IRBadr" w:hAnsi="IRBadr" w:cs="IRBadr"/>
          <w:sz w:val="28"/>
          <w:szCs w:val="28"/>
          <w:rtl/>
          <w:lang w:bidi="fa-IR"/>
        </w:rPr>
        <w:t>آن‌هم</w:t>
      </w:r>
      <w:r w:rsidR="00193841">
        <w:rPr>
          <w:rFonts w:ascii="IRBadr" w:hAnsi="IRBadr" w:cs="IRBadr"/>
          <w:sz w:val="28"/>
          <w:szCs w:val="28"/>
          <w:rtl/>
          <w:lang w:bidi="fa-IR"/>
        </w:rPr>
        <w:t xml:space="preserve"> اجتهاد جامعی می‌خواهد، در صغر</w:t>
      </w:r>
      <w:r w:rsidR="0019384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>ات بحث هم نیاز به اجتهاد است و تأثیر و تأثر هم متقابل است.</w:t>
      </w:r>
    </w:p>
    <w:p w:rsidR="00586919" w:rsidRPr="00F41A63" w:rsidRDefault="00586919" w:rsidP="00586919">
      <w:pPr>
        <w:pStyle w:val="Heading2"/>
        <w:rPr>
          <w:rFonts w:ascii="IRBadr" w:hAnsi="IRBadr" w:cs="IRBadr"/>
          <w:rtl/>
        </w:rPr>
      </w:pPr>
      <w:bookmarkStart w:id="5" w:name="_Toc428701334"/>
      <w:r w:rsidRPr="00F41A63">
        <w:rPr>
          <w:rFonts w:ascii="IRBadr" w:hAnsi="IRBadr" w:cs="IRBadr"/>
          <w:rtl/>
        </w:rPr>
        <w:lastRenderedPageBreak/>
        <w:t>رد نسبیت مطلق</w:t>
      </w:r>
      <w:bookmarkEnd w:id="5"/>
    </w:p>
    <w:p w:rsidR="00586919" w:rsidRPr="00F41A63" w:rsidRDefault="00586919" w:rsidP="0058691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البته ما قائل به تأثیر و تأثری نیستیم که به نسبیت مطلق بکشد، ولی به یک نوع تأثیر و تأثری که موجب تطور علم می‌شود و در یک فرایند تدریجی تکاملی را ایجاد می‌کند معتقدیم و این فرایند باید در زیر چتر یک نگاه اجتهادی تحقق پیدا بکند. </w:t>
      </w:r>
      <w:r w:rsidR="001927CE" w:rsidRPr="00F41A63">
        <w:rPr>
          <w:rFonts w:ascii="IRBadr" w:hAnsi="IRBadr" w:cs="IRBadr"/>
          <w:sz w:val="28"/>
          <w:szCs w:val="28"/>
          <w:rtl/>
          <w:lang w:bidi="fa-IR"/>
        </w:rPr>
        <w:t>این‌یک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مبحث در این قسمت بود. علاوه بر این،</w:t>
      </w:r>
      <w:r w:rsidR="001927CE" w:rsidRPr="00F41A63">
        <w:rPr>
          <w:rFonts w:ascii="IRBadr" w:hAnsi="IRBadr" w:cs="IRBadr"/>
          <w:sz w:val="28"/>
          <w:szCs w:val="28"/>
          <w:rtl/>
          <w:lang w:bidi="fa-IR"/>
        </w:rPr>
        <w:t xml:space="preserve"> چند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موضو</w:t>
      </w:r>
      <w:r w:rsidR="00193841">
        <w:rPr>
          <w:rFonts w:ascii="IRBadr" w:hAnsi="IRBadr" w:cs="IRBadr"/>
          <w:sz w:val="28"/>
          <w:szCs w:val="28"/>
          <w:rtl/>
          <w:lang w:bidi="fa-IR"/>
        </w:rPr>
        <w:t>ع دیگر هم هست که آن‌ها را اشاره</w:t>
      </w:r>
      <w:r w:rsidR="00193841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>وار مطرح می‌کنیم.</w:t>
      </w:r>
    </w:p>
    <w:p w:rsidR="00586919" w:rsidRPr="00F41A63" w:rsidRDefault="00586919" w:rsidP="00586919">
      <w:pPr>
        <w:pStyle w:val="Heading2"/>
        <w:rPr>
          <w:rFonts w:ascii="IRBadr" w:hAnsi="IRBadr" w:cs="IRBadr"/>
          <w:rtl/>
        </w:rPr>
      </w:pPr>
      <w:bookmarkStart w:id="6" w:name="_Toc428701335"/>
      <w:r w:rsidRPr="00F41A63">
        <w:rPr>
          <w:rFonts w:ascii="IRBadr" w:hAnsi="IRBadr" w:cs="IRBadr"/>
          <w:rtl/>
        </w:rPr>
        <w:t>سبک زندگی فردی و اجتماعی</w:t>
      </w:r>
      <w:bookmarkEnd w:id="6"/>
    </w:p>
    <w:p w:rsidR="00586919" w:rsidRPr="00F41A63" w:rsidRDefault="00586919" w:rsidP="0058691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یکی سبک‌های زندگی فردی و خانوادگی و اجتماعی است و ارتباطی که با حوزه‌های دینی پیدا می‌کند. این سبک‌ها که </w:t>
      </w:r>
      <w:r w:rsidR="001927CE" w:rsidRPr="00F41A63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بحثمان فعلاً </w:t>
      </w:r>
      <w:r w:rsidR="001927CE" w:rsidRPr="00F41A63">
        <w:rPr>
          <w:rFonts w:ascii="IRBadr" w:hAnsi="IRBadr" w:cs="IRBadr"/>
          <w:sz w:val="28"/>
          <w:szCs w:val="28"/>
          <w:rtl/>
          <w:lang w:bidi="fa-IR"/>
        </w:rPr>
        <w:t>نرم‌افزاری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است، کار به </w:t>
      </w:r>
      <w:r w:rsidR="001927CE" w:rsidRPr="00F41A63">
        <w:rPr>
          <w:rFonts w:ascii="IRBadr" w:hAnsi="IRBadr" w:cs="IRBadr"/>
          <w:sz w:val="28"/>
          <w:szCs w:val="28"/>
          <w:rtl/>
          <w:lang w:bidi="fa-IR"/>
        </w:rPr>
        <w:t>فن‌آوری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و صنعت نداریم. گرچه با </w:t>
      </w:r>
      <w:r w:rsidR="001927CE" w:rsidRPr="00F41A63">
        <w:rPr>
          <w:rFonts w:ascii="IRBadr" w:hAnsi="IRBadr" w:cs="IRBadr"/>
          <w:sz w:val="28"/>
          <w:szCs w:val="28"/>
          <w:rtl/>
          <w:lang w:bidi="fa-IR"/>
        </w:rPr>
        <w:t>آن‌هم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ارتباط دارد، این سبک زندگی، ولی اینجا بیشتر نگاهمان در حوزه </w:t>
      </w:r>
      <w:r w:rsidR="001927CE" w:rsidRPr="00F41A63">
        <w:rPr>
          <w:rFonts w:ascii="IRBadr" w:hAnsi="IRBadr" w:cs="IRBadr"/>
          <w:sz w:val="28"/>
          <w:szCs w:val="28"/>
          <w:rtl/>
          <w:lang w:bidi="fa-IR"/>
        </w:rPr>
        <w:t>سخت‌افزار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نیست، بلکه امر ظریف‌تری است. نوع سلوکی که فرد با دیگران و جامعه دارد.</w:t>
      </w:r>
    </w:p>
    <w:p w:rsidR="00586919" w:rsidRPr="00F41A63" w:rsidRDefault="001D71CA" w:rsidP="001D71CA">
      <w:pPr>
        <w:pStyle w:val="Heading2"/>
        <w:rPr>
          <w:rFonts w:ascii="IRBadr" w:hAnsi="IRBadr" w:cs="IRBadr"/>
          <w:rtl/>
        </w:rPr>
      </w:pPr>
      <w:bookmarkStart w:id="7" w:name="_Toc428701336"/>
      <w:r w:rsidRPr="00F41A63">
        <w:rPr>
          <w:rFonts w:ascii="IRBadr" w:hAnsi="IRBadr" w:cs="IRBadr"/>
          <w:rtl/>
        </w:rPr>
        <w:t>اهمیت اجتهاد در این باب</w:t>
      </w:r>
      <w:bookmarkEnd w:id="7"/>
    </w:p>
    <w:p w:rsidR="001D71CA" w:rsidRPr="00F41A63" w:rsidRDefault="001927CE" w:rsidP="001D71C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41A63">
        <w:rPr>
          <w:rFonts w:ascii="IRBadr" w:hAnsi="IRBadr" w:cs="IRBadr"/>
          <w:sz w:val="28"/>
          <w:szCs w:val="28"/>
          <w:rtl/>
          <w:lang w:bidi="fa-IR"/>
        </w:rPr>
        <w:t>این‌یک</w:t>
      </w:r>
      <w:r w:rsidR="00586919" w:rsidRPr="00F41A63">
        <w:rPr>
          <w:rFonts w:ascii="IRBadr" w:hAnsi="IRBadr" w:cs="IRBadr"/>
          <w:sz w:val="28"/>
          <w:szCs w:val="28"/>
          <w:rtl/>
          <w:lang w:bidi="fa-IR"/>
        </w:rPr>
        <w:t xml:space="preserve"> بخش است که سبک و سلوک و آداب و سلوک زندگی می‌شود. و یک بخش هم 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>فن‌آوری‌ها</w:t>
      </w:r>
      <w:r w:rsidR="00586919" w:rsidRPr="00F41A63">
        <w:rPr>
          <w:rFonts w:ascii="IRBadr" w:hAnsi="IRBadr" w:cs="IRBadr"/>
          <w:sz w:val="28"/>
          <w:szCs w:val="28"/>
          <w:rtl/>
          <w:lang w:bidi="fa-IR"/>
        </w:rPr>
        <w:t xml:space="preserve"> و تکنولوژی‌ها می‌شود </w:t>
      </w:r>
      <w:r w:rsidR="001D71CA" w:rsidRPr="00F41A63">
        <w:rPr>
          <w:rFonts w:ascii="IRBadr" w:hAnsi="IRBadr" w:cs="IRBadr"/>
          <w:sz w:val="28"/>
          <w:szCs w:val="28"/>
          <w:rtl/>
          <w:lang w:bidi="fa-IR"/>
        </w:rPr>
        <w:t>و</w:t>
      </w:r>
      <w:r w:rsidR="00586919" w:rsidRPr="00F41A63">
        <w:rPr>
          <w:rFonts w:ascii="IRBadr" w:hAnsi="IRBadr" w:cs="IRBadr"/>
          <w:sz w:val="28"/>
          <w:szCs w:val="28"/>
          <w:rtl/>
          <w:lang w:bidi="fa-IR"/>
        </w:rPr>
        <w:t xml:space="preserve"> تنظیماتی که در تصرف بشر در طبیعت وجود دارد. این هم دو بخش است. اما بخش اول که سبک‌ها باشد، 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>یک‌بخشی</w:t>
      </w:r>
      <w:r w:rsidR="00586919" w:rsidRPr="00F41A63">
        <w:rPr>
          <w:rFonts w:ascii="IRBadr" w:hAnsi="IRBadr" w:cs="IRBadr"/>
          <w:sz w:val="28"/>
          <w:szCs w:val="28"/>
          <w:rtl/>
          <w:lang w:bidi="fa-IR"/>
        </w:rPr>
        <w:t xml:space="preserve"> از این سبک‌ها 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>به‌طور</w:t>
      </w:r>
      <w:r w:rsidR="00586919" w:rsidRPr="00F41A63">
        <w:rPr>
          <w:rFonts w:ascii="IRBadr" w:hAnsi="IRBadr" w:cs="IRBadr"/>
          <w:sz w:val="28"/>
          <w:szCs w:val="28"/>
          <w:rtl/>
          <w:lang w:bidi="fa-IR"/>
        </w:rPr>
        <w:t xml:space="preserve"> مصرح در متون دینی، 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="00586919" w:rsidRPr="00F41A63">
        <w:rPr>
          <w:rFonts w:ascii="IRBadr" w:hAnsi="IRBadr" w:cs="IRBadr"/>
          <w:sz w:val="28"/>
          <w:szCs w:val="28"/>
          <w:rtl/>
          <w:lang w:bidi="fa-IR"/>
        </w:rPr>
        <w:t xml:space="preserve"> الزامی یا ترجیحی </w:t>
      </w:r>
      <w:r w:rsidR="001D71CA" w:rsidRPr="00F41A63">
        <w:rPr>
          <w:rFonts w:ascii="IRBadr" w:hAnsi="IRBadr" w:cs="IRBadr"/>
          <w:sz w:val="28"/>
          <w:szCs w:val="28"/>
          <w:rtl/>
          <w:lang w:bidi="fa-IR"/>
        </w:rPr>
        <w:t xml:space="preserve">آمده است 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>آن‌یک</w:t>
      </w:r>
      <w:r w:rsidR="00586919" w:rsidRPr="00F41A63">
        <w:rPr>
          <w:rFonts w:ascii="IRBadr" w:hAnsi="IRBadr" w:cs="IRBadr"/>
          <w:sz w:val="28"/>
          <w:szCs w:val="28"/>
          <w:rtl/>
          <w:lang w:bidi="fa-IR"/>
        </w:rPr>
        <w:t xml:space="preserve"> بخش است که 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>تصریح‌شده</w:t>
      </w:r>
      <w:r w:rsidR="00586919" w:rsidRPr="00F41A63">
        <w:rPr>
          <w:rFonts w:ascii="IRBadr" w:hAnsi="IRBadr" w:cs="IRBadr"/>
          <w:sz w:val="28"/>
          <w:szCs w:val="28"/>
          <w:rtl/>
          <w:lang w:bidi="fa-IR"/>
        </w:rPr>
        <w:t xml:space="preserve"> و استخراج این سبک طبعاً در حوزه اجتهاد و فقاهت قرار می‌گیرد، برای اینکه ذات این‌ها ذات فقهی است و این سبک‌های مصرح و مورد تصریح متون چیزی است که بایستی استخراج کرد و این هم کار اجتهادی می‌خواهد.</w:t>
      </w:r>
    </w:p>
    <w:p w:rsidR="001D71CA" w:rsidRPr="00F41A63" w:rsidRDefault="001927CE" w:rsidP="001D71CA">
      <w:pPr>
        <w:pStyle w:val="Heading2"/>
        <w:rPr>
          <w:rFonts w:ascii="IRBadr" w:hAnsi="IRBadr" w:cs="IRBadr"/>
          <w:rtl/>
        </w:rPr>
      </w:pPr>
      <w:bookmarkStart w:id="8" w:name="_Toc428701337"/>
      <w:r w:rsidRPr="00F41A63">
        <w:rPr>
          <w:rFonts w:ascii="IRBadr" w:hAnsi="IRBadr" w:cs="IRBadr"/>
          <w:rtl/>
        </w:rPr>
        <w:t>جمع‌بندی</w:t>
      </w:r>
      <w:bookmarkEnd w:id="8"/>
    </w:p>
    <w:p w:rsidR="001D71CA" w:rsidRPr="00F41A63" w:rsidRDefault="00586919" w:rsidP="001D71C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بنابراین در سبک‌ها و شیوه‌های زندگی فردی و اجتماعی یک </w:t>
      </w:r>
      <w:r w:rsidR="001927CE" w:rsidRPr="00F41A63">
        <w:rPr>
          <w:rFonts w:ascii="IRBadr" w:hAnsi="IRBadr" w:cs="IRBadr"/>
          <w:sz w:val="28"/>
          <w:szCs w:val="28"/>
          <w:rtl/>
          <w:lang w:bidi="fa-IR"/>
        </w:rPr>
        <w:t>بخش‌داریم</w:t>
      </w:r>
      <w:r w:rsidR="001D71CA" w:rsidRPr="00F41A63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0E4965" w:rsidRPr="00F41A63" w:rsidRDefault="00586919" w:rsidP="001927C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41A63">
        <w:rPr>
          <w:rFonts w:ascii="IRBadr" w:hAnsi="IRBadr" w:cs="IRBadr"/>
          <w:sz w:val="28"/>
          <w:szCs w:val="28"/>
          <w:rtl/>
          <w:lang w:bidi="fa-IR"/>
        </w:rPr>
        <w:t>بخش اول</w:t>
      </w:r>
      <w:r w:rsidR="001D71CA" w:rsidRPr="00F41A63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آن </w:t>
      </w:r>
      <w:r w:rsidR="00193841">
        <w:rPr>
          <w:rFonts w:ascii="IRBadr" w:hAnsi="IRBadr" w:cs="IRBadr"/>
          <w:sz w:val="28"/>
          <w:szCs w:val="28"/>
          <w:rtl/>
          <w:lang w:bidi="fa-IR"/>
        </w:rPr>
        <w:t>بخش‌های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مصرح است. این بخش روشن است. این در محدوده فقه می‌گنجد. اما </w:t>
      </w:r>
      <w:r w:rsidR="001927CE" w:rsidRPr="00F41A63"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="001D71CA" w:rsidRPr="00F41A63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آن بخش دیگر است. </w:t>
      </w:r>
      <w:r w:rsidR="00193841">
        <w:rPr>
          <w:rFonts w:ascii="IRBadr" w:hAnsi="IRBadr" w:cs="IRBadr"/>
          <w:sz w:val="28"/>
          <w:szCs w:val="28"/>
          <w:rtl/>
          <w:lang w:bidi="fa-IR"/>
        </w:rPr>
        <w:t>بخش‌های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دیگری داریم غیر مصرح است. به آن </w:t>
      </w:r>
      <w:r w:rsidR="001D71CA" w:rsidRPr="00F41A63">
        <w:rPr>
          <w:rFonts w:ascii="IRBadr" w:hAnsi="IRBadr" w:cs="IRBadr"/>
          <w:sz w:val="28"/>
          <w:szCs w:val="28"/>
          <w:rtl/>
          <w:lang w:bidi="fa-IR"/>
        </w:rPr>
        <w:t xml:space="preserve">تصریح 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نشده است. این سبک‌ها سبک‌های هنری، معماری، فرهنگی، اجتماعی </w:t>
      </w:r>
      <w:r w:rsidR="001D71CA" w:rsidRPr="00F41A63">
        <w:rPr>
          <w:rFonts w:ascii="IRBadr" w:hAnsi="IRBadr" w:cs="IRBadr"/>
          <w:sz w:val="28"/>
          <w:szCs w:val="28"/>
          <w:rtl/>
          <w:lang w:bidi="fa-IR"/>
        </w:rPr>
        <w:t xml:space="preserve">و ... 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>از این قبیل</w:t>
      </w:r>
      <w:r w:rsidR="001D71CA" w:rsidRPr="00F41A63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که به تطور زمان هم تطور پیدا می‌کند. ما </w:t>
      </w:r>
      <w:r w:rsidR="001927CE" w:rsidRPr="00F41A63">
        <w:rPr>
          <w:rFonts w:ascii="IRBadr" w:hAnsi="IRBadr" w:cs="IRBadr"/>
          <w:sz w:val="28"/>
          <w:szCs w:val="28"/>
          <w:rtl/>
          <w:lang w:bidi="fa-IR"/>
        </w:rPr>
        <w:t>به‌طور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مستقیم </w:t>
      </w:r>
      <w:r w:rsidR="001D71CA" w:rsidRPr="00F41A63">
        <w:rPr>
          <w:rFonts w:ascii="IRBadr" w:hAnsi="IRBadr" w:cs="IRBadr"/>
          <w:sz w:val="28"/>
          <w:szCs w:val="28"/>
          <w:rtl/>
          <w:lang w:bidi="fa-IR"/>
        </w:rPr>
        <w:t xml:space="preserve">در باب این‌ها 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>چیزی در متون دینی نداریم. این نوع دوم است. بنابراین این سبک‌های زندگی، آداب سلوک اجتماعی</w:t>
      </w:r>
      <w:r w:rsidR="001D71CA" w:rsidRPr="00F41A63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خانوادگی </w:t>
      </w:r>
      <w:r w:rsidR="001D71CA" w:rsidRPr="00F41A63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>فردی</w:t>
      </w:r>
      <w:r w:rsidR="001D71CA" w:rsidRPr="00F41A63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بخش مصرح آن تکلیفش روشن است، اما آن بخش غیر مصرح اینجا نوعی نظر فقاهتی و اجتهادی می‌طلبد.</w:t>
      </w:r>
    </w:p>
    <w:p w:rsidR="00D9711E" w:rsidRPr="00F41A63" w:rsidRDefault="00A242B3" w:rsidP="001F1E7D">
      <w:pPr>
        <w:pStyle w:val="Heading2"/>
        <w:rPr>
          <w:rFonts w:ascii="IRBadr" w:hAnsi="IRBadr" w:cs="IRBadr"/>
          <w:rtl/>
        </w:rPr>
      </w:pPr>
      <w:bookmarkStart w:id="9" w:name="_Toc428701338"/>
      <w:r w:rsidRPr="00F41A63">
        <w:rPr>
          <w:rFonts w:ascii="IRBadr" w:hAnsi="IRBadr" w:cs="IRBadr"/>
          <w:rtl/>
        </w:rPr>
        <w:lastRenderedPageBreak/>
        <w:t>نگاه تاریخی به فقه</w:t>
      </w:r>
      <w:bookmarkEnd w:id="9"/>
    </w:p>
    <w:p w:rsidR="00A242B3" w:rsidRPr="00F41A63" w:rsidRDefault="00A242B3" w:rsidP="001F1E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در این مجال باید نگاه تاریخی به فقه بماهو فقه داشت که مرحوم شهید صدر در معالمشان بدان 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>پرداخته‌اند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و تاکنون در مقاطع مختلف 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پراکنده به این مبحث 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>پرداخته‌شده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حقیقت از پایان دوران غیبت 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>صغری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این ادوار و تطور فقهی گسترش پیدا کرد. البته 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در نگاهی کلان این ادوار را به دوران حضور نیز تسری داد که اوج آن در دوران صادقین (علیهماالسلام) بوده است.</w:t>
      </w:r>
    </w:p>
    <w:p w:rsidR="00A242B3" w:rsidRPr="00F41A63" w:rsidRDefault="00A242B3" w:rsidP="001F1E7D">
      <w:pPr>
        <w:pStyle w:val="Heading2"/>
        <w:rPr>
          <w:rFonts w:ascii="IRBadr" w:hAnsi="IRBadr" w:cs="IRBadr"/>
          <w:rtl/>
        </w:rPr>
      </w:pPr>
      <w:bookmarkStart w:id="10" w:name="_Toc428701339"/>
      <w:r w:rsidRPr="00F41A63">
        <w:rPr>
          <w:rFonts w:ascii="IRBadr" w:hAnsi="IRBadr" w:cs="IRBadr"/>
          <w:rtl/>
        </w:rPr>
        <w:t>مراحل فقه شیعه</w:t>
      </w:r>
      <w:bookmarkEnd w:id="10"/>
    </w:p>
    <w:p w:rsidR="00A242B3" w:rsidRPr="00F41A63" w:rsidRDefault="00A242B3" w:rsidP="001F1E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برای فقه شیعه از منظری 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شش دوره ترسیم نمود؛</w:t>
      </w:r>
    </w:p>
    <w:p w:rsidR="00A242B3" w:rsidRPr="00F41A63" w:rsidRDefault="00A242B3" w:rsidP="001F1E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41A63">
        <w:rPr>
          <w:rFonts w:ascii="IRBadr" w:hAnsi="IRBadr" w:cs="IRBadr"/>
          <w:sz w:val="28"/>
          <w:szCs w:val="28"/>
          <w:rtl/>
          <w:lang w:bidi="fa-IR"/>
        </w:rPr>
        <w:t>مرحله اول که مرحله تأسیس نام دارد،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 xml:space="preserve"> دوره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ایست که مرحوم کلینی،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 xml:space="preserve"> صدوق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پدر و پسر،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 xml:space="preserve"> ابن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قولویه، مرحوم مفید، سید مرتضی،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 xml:space="preserve"> حلبی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و سلار در آن 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>حضورداشته‌اند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که تا حدود 450 سال تقریباً اوج شکوفایی حوزه بغداد است.</w:t>
      </w:r>
    </w:p>
    <w:p w:rsidR="00F3376A" w:rsidRPr="00F41A63" w:rsidRDefault="00A242B3" w:rsidP="001F1E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41A63">
        <w:rPr>
          <w:rFonts w:ascii="IRBadr" w:hAnsi="IRBadr" w:cs="IRBadr"/>
          <w:sz w:val="28"/>
          <w:szCs w:val="28"/>
          <w:rtl/>
          <w:lang w:bidi="fa-IR"/>
        </w:rPr>
        <w:t>مرحله دوم،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 xml:space="preserve"> مرحله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نزج اولیه و تکامل اولیه نامیده شده که از شیخ طوسی شروع 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و در این د</w:t>
      </w:r>
      <w:r w:rsidR="00F3376A" w:rsidRPr="00F41A63">
        <w:rPr>
          <w:rFonts w:ascii="IRBadr" w:hAnsi="IRBadr" w:cs="IRBadr"/>
          <w:sz w:val="28"/>
          <w:szCs w:val="28"/>
          <w:rtl/>
          <w:lang w:bidi="fa-IR"/>
        </w:rPr>
        <w:t>وره ابن زهره،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 xml:space="preserve"> راوندی</w:t>
      </w:r>
      <w:r w:rsidR="00F3376A" w:rsidRPr="00F41A63">
        <w:rPr>
          <w:rFonts w:ascii="IRBadr" w:hAnsi="IRBadr" w:cs="IRBadr"/>
          <w:sz w:val="28"/>
          <w:szCs w:val="28"/>
          <w:rtl/>
          <w:lang w:bidi="fa-IR"/>
        </w:rPr>
        <w:t xml:space="preserve"> و ابن زهره قرار دارند.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 xml:space="preserve"> مرحله</w:t>
      </w:r>
      <w:r w:rsidR="00F3376A" w:rsidRPr="00F41A63">
        <w:rPr>
          <w:rFonts w:ascii="IRBadr" w:hAnsi="IRBadr" w:cs="IRBadr"/>
          <w:sz w:val="28"/>
          <w:szCs w:val="28"/>
          <w:rtl/>
          <w:lang w:bidi="fa-IR"/>
        </w:rPr>
        <w:t xml:space="preserve"> سوم که از نیمه دو قرن هفت شروع 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F3376A" w:rsidRPr="00F41A63">
        <w:rPr>
          <w:rFonts w:ascii="IRBadr" w:hAnsi="IRBadr" w:cs="IRBadr"/>
          <w:sz w:val="28"/>
          <w:szCs w:val="28"/>
          <w:rtl/>
          <w:lang w:bidi="fa-IR"/>
        </w:rPr>
        <w:t>،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 xml:space="preserve"> سرآغاز</w:t>
      </w:r>
      <w:r w:rsidR="00F3376A" w:rsidRPr="00F41A63">
        <w:rPr>
          <w:rFonts w:ascii="IRBadr" w:hAnsi="IRBadr" w:cs="IRBadr"/>
          <w:sz w:val="28"/>
          <w:szCs w:val="28"/>
          <w:rtl/>
          <w:lang w:bidi="fa-IR"/>
        </w:rPr>
        <w:t xml:space="preserve"> آن محقق حلی بوده است.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F3376A" w:rsidRPr="00F41A63">
        <w:rPr>
          <w:rFonts w:ascii="IRBadr" w:hAnsi="IRBadr" w:cs="IRBadr"/>
          <w:sz w:val="28"/>
          <w:szCs w:val="28"/>
          <w:rtl/>
          <w:lang w:bidi="fa-IR"/>
        </w:rPr>
        <w:t xml:space="preserve"> این دوره حوزه حله نقش ممتازی را داشت و محقق، علامه، فخر المحققین، شهیدین، فاضل مقداد، ابن فهد حلی تا می‌رسد به محقق کرکی،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F3376A" w:rsidRPr="00F41A63">
        <w:rPr>
          <w:rFonts w:ascii="IRBadr" w:hAnsi="IRBadr" w:cs="IRBadr"/>
          <w:sz w:val="28"/>
          <w:szCs w:val="28"/>
          <w:rtl/>
          <w:lang w:bidi="fa-IR"/>
        </w:rPr>
        <w:t xml:space="preserve"> این مقطع قرار داشتند.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 xml:space="preserve"> دوره</w:t>
      </w:r>
      <w:r w:rsidR="00F3376A" w:rsidRPr="00F41A63">
        <w:rPr>
          <w:rFonts w:ascii="IRBadr" w:hAnsi="IRBadr" w:cs="IRBadr"/>
          <w:sz w:val="28"/>
          <w:szCs w:val="28"/>
          <w:rtl/>
          <w:lang w:bidi="fa-IR"/>
        </w:rPr>
        <w:t xml:space="preserve"> سوم را به دوره استقلال 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>نام‌گذاری</w:t>
      </w:r>
      <w:r w:rsidR="00F3376A" w:rsidRPr="00F41A63">
        <w:rPr>
          <w:rFonts w:ascii="IRBadr" w:hAnsi="IRBadr" w:cs="IRBadr"/>
          <w:sz w:val="28"/>
          <w:szCs w:val="28"/>
          <w:rtl/>
          <w:lang w:bidi="fa-IR"/>
        </w:rPr>
        <w:t xml:space="preserve"> کردند و کاملاً اندیشی شیعی هویت مستقلی را برای خود پیدا کرد و به سمت تصرفات سیاسی رفت که به دوره صفویه رسید.</w:t>
      </w:r>
    </w:p>
    <w:p w:rsidR="00A242B3" w:rsidRPr="00F41A63" w:rsidRDefault="00F3376A" w:rsidP="001F1E7D">
      <w:pPr>
        <w:pStyle w:val="Heading2"/>
        <w:rPr>
          <w:rFonts w:ascii="IRBadr" w:hAnsi="IRBadr" w:cs="IRBadr"/>
          <w:rtl/>
        </w:rPr>
      </w:pPr>
      <w:bookmarkStart w:id="11" w:name="_Toc428701340"/>
      <w:r w:rsidRPr="00F41A63">
        <w:rPr>
          <w:rFonts w:ascii="IRBadr" w:hAnsi="IRBadr" w:cs="IRBadr"/>
          <w:rtl/>
        </w:rPr>
        <w:t>مرحله چهارم</w:t>
      </w:r>
      <w:bookmarkEnd w:id="11"/>
    </w:p>
    <w:p w:rsidR="00F3376A" w:rsidRPr="00F41A63" w:rsidRDefault="00F3376A" w:rsidP="001F1E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از قرن نهم تا 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>اوایل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قرن یازده مرحله چهارم نام دارد که برخی آن را به نام مرحله تندروی و افراط 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>نام‌گذاری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کردند،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این مقطع دو گرایش عقلی و نقلی به اوج خود رسید که در قبال گروه اول مرحوم محقق اردبیلی، صاحب مدارک و</w:t>
      </w:r>
      <w:r w:rsidR="00C54646" w:rsidRPr="00F41A63">
        <w:rPr>
          <w:rFonts w:ascii="IRBadr" w:hAnsi="IRBadr" w:cs="IRBadr"/>
          <w:sz w:val="28"/>
          <w:szCs w:val="28"/>
          <w:rtl/>
          <w:lang w:bidi="fa-IR"/>
        </w:rPr>
        <w:t xml:space="preserve"> صاحب معالم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صاحب این عقیده</w:t>
      </w:r>
      <w:r w:rsidR="00C54646" w:rsidRPr="00F41A63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F3376A" w:rsidRPr="00F41A63" w:rsidRDefault="00F3376A" w:rsidP="001F1E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41A63">
        <w:rPr>
          <w:rFonts w:ascii="IRBadr" w:hAnsi="IRBadr" w:cs="IRBadr"/>
          <w:sz w:val="28"/>
          <w:szCs w:val="28"/>
          <w:rtl/>
          <w:lang w:bidi="fa-IR"/>
        </w:rPr>
        <w:t>و در</w:t>
      </w:r>
      <w:r w:rsidR="00C54646" w:rsidRPr="00F41A63">
        <w:rPr>
          <w:rFonts w:ascii="IRBadr" w:hAnsi="IRBadr" w:cs="IRBadr"/>
          <w:sz w:val="28"/>
          <w:szCs w:val="28"/>
          <w:rtl/>
          <w:lang w:bidi="fa-IR"/>
        </w:rPr>
        <w:t xml:space="preserve"> خط مقابل مرحوم استرآبادی است که در اوج قرار دارد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C54646" w:rsidRPr="00F41A63">
        <w:rPr>
          <w:rFonts w:ascii="IRBadr" w:hAnsi="IRBadr" w:cs="IRBadr"/>
          <w:sz w:val="28"/>
          <w:szCs w:val="28"/>
          <w:rtl/>
          <w:lang w:bidi="fa-IR"/>
        </w:rPr>
        <w:t>و به نحوی در این خط دوم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>، فیض،</w:t>
      </w:r>
      <w:r w:rsidR="00C54646" w:rsidRPr="00F41A63">
        <w:rPr>
          <w:rFonts w:ascii="IRBadr" w:hAnsi="IRBadr" w:cs="IRBadr"/>
          <w:sz w:val="28"/>
          <w:szCs w:val="28"/>
          <w:rtl/>
          <w:lang w:bidi="fa-IR"/>
        </w:rPr>
        <w:t xml:space="preserve"> حر عاملی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>،</w:t>
      </w:r>
      <w:r w:rsidR="00C54646" w:rsidRPr="00F41A63">
        <w:rPr>
          <w:rFonts w:ascii="IRBadr" w:hAnsi="IRBadr" w:cs="IRBadr"/>
          <w:sz w:val="28"/>
          <w:szCs w:val="28"/>
          <w:rtl/>
          <w:lang w:bidi="fa-IR"/>
        </w:rPr>
        <w:t xml:space="preserve"> مجلسی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>،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 xml:space="preserve"> صاحب</w:t>
      </w:r>
      <w:r w:rsidR="00C54646" w:rsidRPr="00F41A63">
        <w:rPr>
          <w:rFonts w:ascii="IRBadr" w:hAnsi="IRBadr" w:cs="IRBadr"/>
          <w:sz w:val="28"/>
          <w:szCs w:val="28"/>
          <w:rtl/>
          <w:lang w:bidi="fa-IR"/>
        </w:rPr>
        <w:t xml:space="preserve"> حدائق و آل عصفور هم قرار می‌گیرن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>د</w:t>
      </w:r>
      <w:r w:rsidR="00C54646" w:rsidRPr="00F41A63">
        <w:rPr>
          <w:rFonts w:ascii="IRBadr" w:hAnsi="IRBadr" w:cs="IRBadr"/>
          <w:sz w:val="28"/>
          <w:szCs w:val="28"/>
          <w:rtl/>
          <w:lang w:bidi="fa-IR"/>
        </w:rPr>
        <w:t xml:space="preserve"> که نرم‌تر از همه آن‌ها صاحب حدائق است.</w:t>
      </w:r>
    </w:p>
    <w:p w:rsidR="00F3376A" w:rsidRPr="00F41A63" w:rsidRDefault="00F3376A" w:rsidP="001F1E7D">
      <w:pPr>
        <w:pStyle w:val="Heading2"/>
        <w:rPr>
          <w:rFonts w:ascii="IRBadr" w:hAnsi="IRBadr" w:cs="IRBadr"/>
          <w:rtl/>
        </w:rPr>
      </w:pPr>
      <w:bookmarkStart w:id="12" w:name="_Toc428701341"/>
      <w:r w:rsidRPr="00F41A63">
        <w:rPr>
          <w:rFonts w:ascii="IRBadr" w:hAnsi="IRBadr" w:cs="IRBadr"/>
          <w:rtl/>
        </w:rPr>
        <w:lastRenderedPageBreak/>
        <w:t>مرحله پنجم</w:t>
      </w:r>
      <w:bookmarkEnd w:id="12"/>
    </w:p>
    <w:p w:rsidR="001F1E7D" w:rsidRPr="00F41A63" w:rsidRDefault="00F3376A" w:rsidP="001F1E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مرحله پنجم به دوران معاصر 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>می‌رسد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که به دوران تصحیح و اعتدال 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>نام‌گذاری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کردند و </w:t>
      </w:r>
      <w:r w:rsidR="00C54646" w:rsidRPr="00F41A63">
        <w:rPr>
          <w:rFonts w:ascii="IRBadr" w:hAnsi="IRBadr" w:cs="IRBadr"/>
          <w:sz w:val="28"/>
          <w:szCs w:val="28"/>
          <w:rtl/>
          <w:lang w:bidi="fa-IR"/>
        </w:rPr>
        <w:t xml:space="preserve">نقش وحید بهبهانی و صاحب حدائق 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>بسیار</w:t>
      </w:r>
      <w:r w:rsidR="00C54646" w:rsidRPr="00F41A63">
        <w:rPr>
          <w:rFonts w:ascii="IRBadr" w:hAnsi="IRBadr" w:cs="IRBadr"/>
          <w:sz w:val="28"/>
          <w:szCs w:val="28"/>
          <w:rtl/>
          <w:lang w:bidi="fa-IR"/>
        </w:rPr>
        <w:t xml:space="preserve"> بالا بوده است.</w:t>
      </w:r>
    </w:p>
    <w:p w:rsidR="001F1E7D" w:rsidRPr="00F41A63" w:rsidRDefault="001F1E7D" w:rsidP="001F1E7D">
      <w:pPr>
        <w:pStyle w:val="Heading2"/>
        <w:rPr>
          <w:rFonts w:ascii="IRBadr" w:hAnsi="IRBadr" w:cs="IRBadr"/>
          <w:rtl/>
        </w:rPr>
      </w:pPr>
      <w:bookmarkStart w:id="13" w:name="_Toc428701342"/>
      <w:r w:rsidRPr="00F41A63">
        <w:rPr>
          <w:rFonts w:ascii="IRBadr" w:hAnsi="IRBadr" w:cs="IRBadr"/>
          <w:rtl/>
        </w:rPr>
        <w:t>مرحله ششم</w:t>
      </w:r>
      <w:bookmarkEnd w:id="13"/>
    </w:p>
    <w:p w:rsidR="00C54646" w:rsidRPr="00F41A63" w:rsidRDefault="00C54646" w:rsidP="001F1E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دوره ششم </w:t>
      </w:r>
      <w:r w:rsidR="009F24A3" w:rsidRPr="00F41A63">
        <w:rPr>
          <w:rFonts w:ascii="IRBadr" w:hAnsi="IRBadr" w:cs="IRBadr"/>
          <w:sz w:val="28"/>
          <w:szCs w:val="28"/>
          <w:rtl/>
          <w:lang w:bidi="fa-IR"/>
        </w:rPr>
        <w:t>هم‌دوره</w:t>
      </w:r>
      <w:r w:rsidRPr="00F41A63">
        <w:rPr>
          <w:rFonts w:ascii="IRBadr" w:hAnsi="IRBadr" w:cs="IRBadr"/>
          <w:sz w:val="28"/>
          <w:szCs w:val="28"/>
          <w:rtl/>
          <w:lang w:bidi="fa-IR"/>
        </w:rPr>
        <w:t xml:space="preserve"> معاصر ماست که از مرحوم شیخ انصاری شروع می‌شود و اواخر قرن سیزده است و دوره تکامل و اوج و نزج گسترده اندیشه اجتهادی فقه و اصول به شمار می‌آید</w:t>
      </w:r>
      <w:r w:rsidR="001F1E7D" w:rsidRPr="00F41A63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52670" w:rsidRPr="00F41A63" w:rsidRDefault="00152670" w:rsidP="00734D59">
      <w:pPr>
        <w:rPr>
          <w:rFonts w:ascii="IRBadr" w:hAnsi="IRBadr" w:cs="IRBadr"/>
          <w:rtl/>
        </w:rPr>
      </w:pPr>
    </w:p>
    <w:sectPr w:rsidR="00152670" w:rsidRPr="00F41A63" w:rsidSect="007B0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9B" w:rsidRDefault="00E61D9B" w:rsidP="000D5800">
      <w:pPr>
        <w:spacing w:after="0"/>
      </w:pPr>
      <w:r>
        <w:separator/>
      </w:r>
    </w:p>
  </w:endnote>
  <w:endnote w:type="continuationSeparator" w:id="0">
    <w:p w:rsidR="00E61D9B" w:rsidRDefault="00E61D9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CE" w:rsidRDefault="001927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0E4965" w:rsidRDefault="000E4965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84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CE" w:rsidRDefault="00192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9B" w:rsidRDefault="00E61D9B" w:rsidP="000D5800">
      <w:pPr>
        <w:spacing w:after="0"/>
      </w:pPr>
      <w:r>
        <w:separator/>
      </w:r>
    </w:p>
  </w:footnote>
  <w:footnote w:type="continuationSeparator" w:id="0">
    <w:p w:rsidR="00E61D9B" w:rsidRDefault="00E61D9B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CE" w:rsidRDefault="001927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65" w:rsidRPr="000D5800" w:rsidRDefault="000E4965" w:rsidP="00C54646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4F244F9" wp14:editId="0D4D008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9CEC82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>
      <w:rPr>
        <w:noProof/>
        <w:lang w:bidi="fa-IR"/>
      </w:rPr>
      <w:drawing>
        <wp:inline distT="0" distB="0" distL="0" distR="0" wp14:anchorId="5E1A802E" wp14:editId="39B43A9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9F24A3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4520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CE" w:rsidRDefault="00192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46"/>
    <w:rsid w:val="000228A2"/>
    <w:rsid w:val="000324F1"/>
    <w:rsid w:val="00041FE0"/>
    <w:rsid w:val="00052BA3"/>
    <w:rsid w:val="0006363E"/>
    <w:rsid w:val="00080DFF"/>
    <w:rsid w:val="00085ED5"/>
    <w:rsid w:val="000A1A51"/>
    <w:rsid w:val="000C0736"/>
    <w:rsid w:val="000D2D0D"/>
    <w:rsid w:val="000D5800"/>
    <w:rsid w:val="000E4965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7CE"/>
    <w:rsid w:val="00192A6A"/>
    <w:rsid w:val="00193841"/>
    <w:rsid w:val="00197CDD"/>
    <w:rsid w:val="001C112B"/>
    <w:rsid w:val="001C367D"/>
    <w:rsid w:val="001D24F8"/>
    <w:rsid w:val="001D542D"/>
    <w:rsid w:val="001D71CA"/>
    <w:rsid w:val="001E306E"/>
    <w:rsid w:val="001E3FB0"/>
    <w:rsid w:val="001E4FFF"/>
    <w:rsid w:val="001F1E7D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B337F"/>
    <w:rsid w:val="004F3596"/>
    <w:rsid w:val="00572E2D"/>
    <w:rsid w:val="00586919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24A3"/>
    <w:rsid w:val="009F4EB3"/>
    <w:rsid w:val="00A06D48"/>
    <w:rsid w:val="00A21834"/>
    <w:rsid w:val="00A242B3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B3D1F"/>
    <w:rsid w:val="00AD0304"/>
    <w:rsid w:val="00AD27BE"/>
    <w:rsid w:val="00AF0F1A"/>
    <w:rsid w:val="00B15027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54646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90A"/>
    <w:rsid w:val="00CE3B74"/>
    <w:rsid w:val="00CF42E2"/>
    <w:rsid w:val="00CF7916"/>
    <w:rsid w:val="00D158F3"/>
    <w:rsid w:val="00D22134"/>
    <w:rsid w:val="00D3665C"/>
    <w:rsid w:val="00D508CC"/>
    <w:rsid w:val="00D50F4B"/>
    <w:rsid w:val="00D60547"/>
    <w:rsid w:val="00D66444"/>
    <w:rsid w:val="00D76353"/>
    <w:rsid w:val="00D9711E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6B96"/>
    <w:rsid w:val="00E55891"/>
    <w:rsid w:val="00E61D9B"/>
    <w:rsid w:val="00E6283A"/>
    <w:rsid w:val="00E662D1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3376A"/>
    <w:rsid w:val="00F40284"/>
    <w:rsid w:val="00F41A63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546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bidi/>
      <w:spacing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44"/>
      <w:szCs w:val="42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1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546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bidi/>
      <w:spacing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44"/>
      <w:szCs w:val="42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1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C378-DDC9-4486-8CF4-68105733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58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8</cp:revision>
  <dcterms:created xsi:type="dcterms:W3CDTF">2015-01-19T03:58:00Z</dcterms:created>
  <dcterms:modified xsi:type="dcterms:W3CDTF">2015-08-31T06:12:00Z</dcterms:modified>
</cp:coreProperties>
</file>