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222FE" w:rsidRPr="00E84205" w:rsidTr="0043759A">
        <w:tc>
          <w:tcPr>
            <w:tcW w:w="4788" w:type="dxa"/>
          </w:tcPr>
          <w:p w:rsidR="001222FE" w:rsidRPr="00E84205" w:rsidRDefault="001222FE" w:rsidP="00300D11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  <w:bookmarkStart w:id="0" w:name="_GoBack" w:colFirst="0" w:colLast="0"/>
          </w:p>
        </w:tc>
        <w:tc>
          <w:tcPr>
            <w:tcW w:w="4788" w:type="dxa"/>
          </w:tcPr>
          <w:p w:rsidR="001222FE" w:rsidRPr="00E84205" w:rsidRDefault="001222FE" w:rsidP="00300D11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</w:p>
        </w:tc>
      </w:tr>
    </w:tbl>
    <w:bookmarkEnd w:id="0"/>
    <w:p w:rsidR="001222FE" w:rsidRDefault="00BE162A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1222FE" w:rsidRPr="00E84205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E84205" w:rsidRDefault="00E84205" w:rsidP="00E842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E84205" w:rsidRDefault="00E84205" w:rsidP="00E8420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8701488" w:history="1">
        <w:r w:rsidRPr="00391820">
          <w:rPr>
            <w:rStyle w:val="Hyperlink"/>
            <w:rFonts w:ascii="IRBadr" w:hAnsi="IRBadr" w:cs="IRBadr" w:hint="eastAsia"/>
            <w:noProof/>
            <w:rtl/>
          </w:rPr>
          <w:t>پا</w:t>
        </w:r>
        <w:r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Pr="00391820">
          <w:rPr>
            <w:rStyle w:val="Hyperlink"/>
            <w:rFonts w:ascii="IRBadr" w:hAnsi="IRBadr" w:cs="IRBadr" w:hint="eastAsia"/>
            <w:noProof/>
            <w:rtl/>
          </w:rPr>
          <w:t>ه‌ها</w:t>
        </w:r>
        <w:r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391820">
          <w:rPr>
            <w:rStyle w:val="Hyperlink"/>
            <w:rFonts w:ascii="IRBadr" w:hAnsi="IRBadr" w:cs="IRBadr" w:hint="eastAsia"/>
            <w:noProof/>
            <w:rtl/>
          </w:rPr>
          <w:t>اجتهاد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_Toc428701488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E84205" w:rsidRDefault="0097393E" w:rsidP="00E8420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489" w:history="1"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سابقه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ا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مباحث</w:t>
        </w:r>
        <w:r w:rsidR="00E84205">
          <w:rPr>
            <w:noProof/>
            <w:webHidden/>
          </w:rPr>
          <w:tab/>
        </w:r>
        <w:r w:rsidR="00E84205">
          <w:rPr>
            <w:rStyle w:val="Hyperlink"/>
            <w:noProof/>
            <w:rtl/>
          </w:rPr>
          <w:fldChar w:fldCharType="begin"/>
        </w:r>
        <w:r w:rsidR="00E84205">
          <w:rPr>
            <w:noProof/>
            <w:webHidden/>
          </w:rPr>
          <w:instrText xml:space="preserve"> PAGEREF _Toc428701489 \h </w:instrText>
        </w:r>
        <w:r w:rsidR="00E84205">
          <w:rPr>
            <w:rStyle w:val="Hyperlink"/>
            <w:noProof/>
            <w:rtl/>
          </w:rPr>
        </w:r>
        <w:r w:rsidR="00E84205">
          <w:rPr>
            <w:rStyle w:val="Hyperlink"/>
            <w:noProof/>
            <w:rtl/>
          </w:rPr>
          <w:fldChar w:fldCharType="separate"/>
        </w:r>
        <w:r w:rsidR="00E84205">
          <w:rPr>
            <w:noProof/>
            <w:webHidden/>
          </w:rPr>
          <w:t>1</w:t>
        </w:r>
        <w:r w:rsidR="00E84205">
          <w:rPr>
            <w:rStyle w:val="Hyperlink"/>
            <w:noProof/>
            <w:rtl/>
          </w:rPr>
          <w:fldChar w:fldCharType="end"/>
        </w:r>
      </w:hyperlink>
    </w:p>
    <w:p w:rsidR="00E84205" w:rsidRDefault="0097393E" w:rsidP="00E8420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490" w:history="1"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مصداق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E84205">
          <w:rPr>
            <w:noProof/>
            <w:webHidden/>
          </w:rPr>
          <w:tab/>
        </w:r>
        <w:r w:rsidR="00E84205">
          <w:rPr>
            <w:rStyle w:val="Hyperlink"/>
            <w:noProof/>
            <w:rtl/>
          </w:rPr>
          <w:fldChar w:fldCharType="begin"/>
        </w:r>
        <w:r w:rsidR="00E84205">
          <w:rPr>
            <w:noProof/>
            <w:webHidden/>
          </w:rPr>
          <w:instrText xml:space="preserve"> PAGEREF _Toc428701490 \h </w:instrText>
        </w:r>
        <w:r w:rsidR="00E84205">
          <w:rPr>
            <w:rStyle w:val="Hyperlink"/>
            <w:noProof/>
            <w:rtl/>
          </w:rPr>
        </w:r>
        <w:r w:rsidR="00E84205">
          <w:rPr>
            <w:rStyle w:val="Hyperlink"/>
            <w:noProof/>
            <w:rtl/>
          </w:rPr>
          <w:fldChar w:fldCharType="separate"/>
        </w:r>
        <w:r w:rsidR="00E84205">
          <w:rPr>
            <w:noProof/>
            <w:webHidden/>
          </w:rPr>
          <w:t>2</w:t>
        </w:r>
        <w:r w:rsidR="00E84205">
          <w:rPr>
            <w:rStyle w:val="Hyperlink"/>
            <w:noProof/>
            <w:rtl/>
          </w:rPr>
          <w:fldChar w:fldCharType="end"/>
        </w:r>
      </w:hyperlink>
    </w:p>
    <w:p w:rsidR="00E84205" w:rsidRDefault="0097393E" w:rsidP="00E8420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491" w:history="1"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مصداق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E84205">
          <w:rPr>
            <w:noProof/>
            <w:webHidden/>
          </w:rPr>
          <w:tab/>
        </w:r>
        <w:r w:rsidR="00E84205">
          <w:rPr>
            <w:rStyle w:val="Hyperlink"/>
            <w:noProof/>
            <w:rtl/>
          </w:rPr>
          <w:fldChar w:fldCharType="begin"/>
        </w:r>
        <w:r w:rsidR="00E84205">
          <w:rPr>
            <w:noProof/>
            <w:webHidden/>
          </w:rPr>
          <w:instrText xml:space="preserve"> PAGEREF _Toc428701491 \h </w:instrText>
        </w:r>
        <w:r w:rsidR="00E84205">
          <w:rPr>
            <w:rStyle w:val="Hyperlink"/>
            <w:noProof/>
            <w:rtl/>
          </w:rPr>
        </w:r>
        <w:r w:rsidR="00E84205">
          <w:rPr>
            <w:rStyle w:val="Hyperlink"/>
            <w:noProof/>
            <w:rtl/>
          </w:rPr>
          <w:fldChar w:fldCharType="separate"/>
        </w:r>
        <w:r w:rsidR="00E84205">
          <w:rPr>
            <w:noProof/>
            <w:webHidden/>
          </w:rPr>
          <w:t>2</w:t>
        </w:r>
        <w:r w:rsidR="00E84205">
          <w:rPr>
            <w:rStyle w:val="Hyperlink"/>
            <w:noProof/>
            <w:rtl/>
          </w:rPr>
          <w:fldChar w:fldCharType="end"/>
        </w:r>
      </w:hyperlink>
    </w:p>
    <w:p w:rsidR="00E84205" w:rsidRDefault="0097393E" w:rsidP="00E8420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492" w:history="1"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مسئله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نسخ</w:t>
        </w:r>
        <w:r w:rsidR="00E84205">
          <w:rPr>
            <w:noProof/>
            <w:webHidden/>
          </w:rPr>
          <w:tab/>
        </w:r>
        <w:r w:rsidR="00E84205">
          <w:rPr>
            <w:rStyle w:val="Hyperlink"/>
            <w:noProof/>
            <w:rtl/>
          </w:rPr>
          <w:fldChar w:fldCharType="begin"/>
        </w:r>
        <w:r w:rsidR="00E84205">
          <w:rPr>
            <w:noProof/>
            <w:webHidden/>
          </w:rPr>
          <w:instrText xml:space="preserve"> PAGEREF _Toc428701492 \h </w:instrText>
        </w:r>
        <w:r w:rsidR="00E84205">
          <w:rPr>
            <w:rStyle w:val="Hyperlink"/>
            <w:noProof/>
            <w:rtl/>
          </w:rPr>
        </w:r>
        <w:r w:rsidR="00E84205">
          <w:rPr>
            <w:rStyle w:val="Hyperlink"/>
            <w:noProof/>
            <w:rtl/>
          </w:rPr>
          <w:fldChar w:fldCharType="separate"/>
        </w:r>
        <w:r w:rsidR="00E84205">
          <w:rPr>
            <w:noProof/>
            <w:webHidden/>
          </w:rPr>
          <w:t>2</w:t>
        </w:r>
        <w:r w:rsidR="00E84205">
          <w:rPr>
            <w:rStyle w:val="Hyperlink"/>
            <w:noProof/>
            <w:rtl/>
          </w:rPr>
          <w:fldChar w:fldCharType="end"/>
        </w:r>
      </w:hyperlink>
    </w:p>
    <w:p w:rsidR="00E84205" w:rsidRDefault="0097393E" w:rsidP="00E84205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493" w:history="1"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>
          <w:rPr>
            <w:noProof/>
            <w:webHidden/>
          </w:rPr>
          <w:tab/>
        </w:r>
        <w:r w:rsidR="00E84205">
          <w:rPr>
            <w:rStyle w:val="Hyperlink"/>
            <w:noProof/>
            <w:rtl/>
          </w:rPr>
          <w:fldChar w:fldCharType="begin"/>
        </w:r>
        <w:r w:rsidR="00E84205">
          <w:rPr>
            <w:noProof/>
            <w:webHidden/>
          </w:rPr>
          <w:instrText xml:space="preserve"> PAGEREF _Toc428701493 \h </w:instrText>
        </w:r>
        <w:r w:rsidR="00E84205">
          <w:rPr>
            <w:rStyle w:val="Hyperlink"/>
            <w:noProof/>
            <w:rtl/>
          </w:rPr>
        </w:r>
        <w:r w:rsidR="00E84205">
          <w:rPr>
            <w:rStyle w:val="Hyperlink"/>
            <w:noProof/>
            <w:rtl/>
          </w:rPr>
          <w:fldChar w:fldCharType="separate"/>
        </w:r>
        <w:r w:rsidR="00E84205">
          <w:rPr>
            <w:noProof/>
            <w:webHidden/>
          </w:rPr>
          <w:t>2</w:t>
        </w:r>
        <w:r w:rsidR="00E84205">
          <w:rPr>
            <w:rStyle w:val="Hyperlink"/>
            <w:noProof/>
            <w:rtl/>
          </w:rPr>
          <w:fldChar w:fldCharType="end"/>
        </w:r>
      </w:hyperlink>
    </w:p>
    <w:p w:rsidR="00E84205" w:rsidRDefault="0097393E" w:rsidP="00E8420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494" w:history="1"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اصل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مولو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>
          <w:rPr>
            <w:noProof/>
            <w:webHidden/>
          </w:rPr>
          <w:tab/>
        </w:r>
        <w:r w:rsidR="00E84205">
          <w:rPr>
            <w:rStyle w:val="Hyperlink"/>
            <w:noProof/>
            <w:rtl/>
          </w:rPr>
          <w:fldChar w:fldCharType="begin"/>
        </w:r>
        <w:r w:rsidR="00E84205">
          <w:rPr>
            <w:noProof/>
            <w:webHidden/>
          </w:rPr>
          <w:instrText xml:space="preserve"> PAGEREF _Toc428701494 \h </w:instrText>
        </w:r>
        <w:r w:rsidR="00E84205">
          <w:rPr>
            <w:rStyle w:val="Hyperlink"/>
            <w:noProof/>
            <w:rtl/>
          </w:rPr>
        </w:r>
        <w:r w:rsidR="00E84205">
          <w:rPr>
            <w:rStyle w:val="Hyperlink"/>
            <w:noProof/>
            <w:rtl/>
          </w:rPr>
          <w:fldChar w:fldCharType="separate"/>
        </w:r>
        <w:r w:rsidR="00E84205">
          <w:rPr>
            <w:noProof/>
            <w:webHidden/>
          </w:rPr>
          <w:t>3</w:t>
        </w:r>
        <w:r w:rsidR="00E84205">
          <w:rPr>
            <w:rStyle w:val="Hyperlink"/>
            <w:noProof/>
            <w:rtl/>
          </w:rPr>
          <w:fldChar w:fldCharType="end"/>
        </w:r>
      </w:hyperlink>
    </w:p>
    <w:p w:rsidR="00E84205" w:rsidRDefault="0097393E" w:rsidP="00E8420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495" w:history="1"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مراد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ارشاد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E84205">
          <w:rPr>
            <w:noProof/>
            <w:webHidden/>
          </w:rPr>
          <w:tab/>
        </w:r>
        <w:r w:rsidR="00E84205">
          <w:rPr>
            <w:rStyle w:val="Hyperlink"/>
            <w:noProof/>
            <w:rtl/>
          </w:rPr>
          <w:fldChar w:fldCharType="begin"/>
        </w:r>
        <w:r w:rsidR="00E84205">
          <w:rPr>
            <w:noProof/>
            <w:webHidden/>
          </w:rPr>
          <w:instrText xml:space="preserve"> PAGEREF _Toc428701495 \h </w:instrText>
        </w:r>
        <w:r w:rsidR="00E84205">
          <w:rPr>
            <w:rStyle w:val="Hyperlink"/>
            <w:noProof/>
            <w:rtl/>
          </w:rPr>
        </w:r>
        <w:r w:rsidR="00E84205">
          <w:rPr>
            <w:rStyle w:val="Hyperlink"/>
            <w:noProof/>
            <w:rtl/>
          </w:rPr>
          <w:fldChar w:fldCharType="separate"/>
        </w:r>
        <w:r w:rsidR="00E84205">
          <w:rPr>
            <w:noProof/>
            <w:webHidden/>
          </w:rPr>
          <w:t>3</w:t>
        </w:r>
        <w:r w:rsidR="00E84205">
          <w:rPr>
            <w:rStyle w:val="Hyperlink"/>
            <w:noProof/>
            <w:rtl/>
          </w:rPr>
          <w:fldChar w:fldCharType="end"/>
        </w:r>
      </w:hyperlink>
    </w:p>
    <w:p w:rsidR="00E84205" w:rsidRDefault="0097393E" w:rsidP="00E84205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701496" w:history="1"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استحقاق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عقاب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مولو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E84205">
          <w:rPr>
            <w:noProof/>
            <w:webHidden/>
          </w:rPr>
          <w:tab/>
        </w:r>
        <w:r w:rsidR="00E84205">
          <w:rPr>
            <w:rStyle w:val="Hyperlink"/>
            <w:noProof/>
            <w:rtl/>
          </w:rPr>
          <w:fldChar w:fldCharType="begin"/>
        </w:r>
        <w:r w:rsidR="00E84205">
          <w:rPr>
            <w:noProof/>
            <w:webHidden/>
          </w:rPr>
          <w:instrText xml:space="preserve"> PAGEREF _Toc428701496 \h </w:instrText>
        </w:r>
        <w:r w:rsidR="00E84205">
          <w:rPr>
            <w:rStyle w:val="Hyperlink"/>
            <w:noProof/>
            <w:rtl/>
          </w:rPr>
        </w:r>
        <w:r w:rsidR="00E84205">
          <w:rPr>
            <w:rStyle w:val="Hyperlink"/>
            <w:noProof/>
            <w:rtl/>
          </w:rPr>
          <w:fldChar w:fldCharType="separate"/>
        </w:r>
        <w:r w:rsidR="00E84205">
          <w:rPr>
            <w:noProof/>
            <w:webHidden/>
          </w:rPr>
          <w:t>3</w:t>
        </w:r>
        <w:r w:rsidR="00E84205">
          <w:rPr>
            <w:rStyle w:val="Hyperlink"/>
            <w:noProof/>
            <w:rtl/>
          </w:rPr>
          <w:fldChar w:fldCharType="end"/>
        </w:r>
      </w:hyperlink>
    </w:p>
    <w:p w:rsidR="00E84205" w:rsidRDefault="0097393E" w:rsidP="00E8420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701497" w:history="1"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عناو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ثانو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ا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مقام</w:t>
        </w:r>
        <w:r w:rsidR="00E84205">
          <w:rPr>
            <w:noProof/>
            <w:webHidden/>
          </w:rPr>
          <w:tab/>
        </w:r>
        <w:r w:rsidR="00E84205">
          <w:rPr>
            <w:rStyle w:val="Hyperlink"/>
            <w:noProof/>
            <w:rtl/>
          </w:rPr>
          <w:fldChar w:fldCharType="begin"/>
        </w:r>
        <w:r w:rsidR="00E84205">
          <w:rPr>
            <w:noProof/>
            <w:webHidden/>
          </w:rPr>
          <w:instrText xml:space="preserve"> PAGEREF _Toc428701497 \h </w:instrText>
        </w:r>
        <w:r w:rsidR="00E84205">
          <w:rPr>
            <w:rStyle w:val="Hyperlink"/>
            <w:noProof/>
            <w:rtl/>
          </w:rPr>
        </w:r>
        <w:r w:rsidR="00E84205">
          <w:rPr>
            <w:rStyle w:val="Hyperlink"/>
            <w:noProof/>
            <w:rtl/>
          </w:rPr>
          <w:fldChar w:fldCharType="separate"/>
        </w:r>
        <w:r w:rsidR="00E84205">
          <w:rPr>
            <w:noProof/>
            <w:webHidden/>
          </w:rPr>
          <w:t>4</w:t>
        </w:r>
        <w:r w:rsidR="00E84205">
          <w:rPr>
            <w:rStyle w:val="Hyperlink"/>
            <w:noProof/>
            <w:rtl/>
          </w:rPr>
          <w:fldChar w:fldCharType="end"/>
        </w:r>
      </w:hyperlink>
    </w:p>
    <w:p w:rsidR="00E84205" w:rsidRDefault="0097393E" w:rsidP="00E8420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701498" w:history="1"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>
          <w:rPr>
            <w:noProof/>
            <w:webHidden/>
          </w:rPr>
          <w:tab/>
        </w:r>
        <w:r w:rsidR="00E84205">
          <w:rPr>
            <w:rStyle w:val="Hyperlink"/>
            <w:noProof/>
            <w:rtl/>
          </w:rPr>
          <w:fldChar w:fldCharType="begin"/>
        </w:r>
        <w:r w:rsidR="00E84205">
          <w:rPr>
            <w:noProof/>
            <w:webHidden/>
          </w:rPr>
          <w:instrText xml:space="preserve"> PAGEREF _Toc428701498 \h </w:instrText>
        </w:r>
        <w:r w:rsidR="00E84205">
          <w:rPr>
            <w:rStyle w:val="Hyperlink"/>
            <w:noProof/>
            <w:rtl/>
          </w:rPr>
        </w:r>
        <w:r w:rsidR="00E84205">
          <w:rPr>
            <w:rStyle w:val="Hyperlink"/>
            <w:noProof/>
            <w:rtl/>
          </w:rPr>
          <w:fldChar w:fldCharType="separate"/>
        </w:r>
        <w:r w:rsidR="00E84205">
          <w:rPr>
            <w:noProof/>
            <w:webHidden/>
          </w:rPr>
          <w:t>4</w:t>
        </w:r>
        <w:r w:rsidR="00E84205">
          <w:rPr>
            <w:rStyle w:val="Hyperlink"/>
            <w:noProof/>
            <w:rtl/>
          </w:rPr>
          <w:fldChar w:fldCharType="end"/>
        </w:r>
      </w:hyperlink>
    </w:p>
    <w:p w:rsidR="00E84205" w:rsidRDefault="0097393E" w:rsidP="00E8420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701499" w:history="1"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نسخ</w:t>
        </w:r>
        <w:r w:rsidR="00E84205" w:rsidRPr="0039182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E84205" w:rsidRPr="00391820">
          <w:rPr>
            <w:rStyle w:val="Hyperlink"/>
            <w:rFonts w:ascii="IRBadr" w:hAnsi="IRBadr" w:cs="IRBadr" w:hint="cs"/>
            <w:noProof/>
            <w:rtl/>
          </w:rPr>
          <w:t>ی</w:t>
        </w:r>
        <w:r w:rsidR="00E84205" w:rsidRPr="00391820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E84205">
          <w:rPr>
            <w:noProof/>
            <w:webHidden/>
          </w:rPr>
          <w:tab/>
        </w:r>
        <w:r w:rsidR="00E84205">
          <w:rPr>
            <w:rStyle w:val="Hyperlink"/>
            <w:noProof/>
            <w:rtl/>
          </w:rPr>
          <w:fldChar w:fldCharType="begin"/>
        </w:r>
        <w:r w:rsidR="00E84205">
          <w:rPr>
            <w:noProof/>
            <w:webHidden/>
          </w:rPr>
          <w:instrText xml:space="preserve"> PAGEREF _Toc428701499 \h </w:instrText>
        </w:r>
        <w:r w:rsidR="00E84205">
          <w:rPr>
            <w:rStyle w:val="Hyperlink"/>
            <w:noProof/>
            <w:rtl/>
          </w:rPr>
        </w:r>
        <w:r w:rsidR="00E84205">
          <w:rPr>
            <w:rStyle w:val="Hyperlink"/>
            <w:noProof/>
            <w:rtl/>
          </w:rPr>
          <w:fldChar w:fldCharType="separate"/>
        </w:r>
        <w:r w:rsidR="00E84205">
          <w:rPr>
            <w:noProof/>
            <w:webHidden/>
          </w:rPr>
          <w:t>4</w:t>
        </w:r>
        <w:r w:rsidR="00E84205">
          <w:rPr>
            <w:rStyle w:val="Hyperlink"/>
            <w:noProof/>
            <w:rtl/>
          </w:rPr>
          <w:fldChar w:fldCharType="end"/>
        </w:r>
      </w:hyperlink>
    </w:p>
    <w:p w:rsidR="00E84205" w:rsidRPr="00E84205" w:rsidRDefault="00E84205" w:rsidP="00E8420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019D6" w:rsidRDefault="00E019D6">
      <w:pPr>
        <w:spacing w:after="0" w:line="240" w:lineRule="auto"/>
        <w:rPr>
          <w:rFonts w:ascii="IRBadr" w:eastAsia="2  Lotus" w:hAnsi="IRBadr" w:cs="IRBadr"/>
          <w:bCs/>
          <w:sz w:val="44"/>
          <w:szCs w:val="42"/>
          <w:rtl/>
          <w:lang w:bidi="fa-IR"/>
        </w:rPr>
      </w:pPr>
      <w:bookmarkStart w:id="1" w:name="_Toc428701488"/>
      <w:r>
        <w:rPr>
          <w:rFonts w:ascii="IRBadr" w:hAnsi="IRBadr" w:cs="IRBadr"/>
          <w:rtl/>
        </w:rPr>
        <w:br w:type="page"/>
      </w:r>
    </w:p>
    <w:p w:rsidR="009431F5" w:rsidRPr="00E84205" w:rsidRDefault="00552FFC" w:rsidP="008C1D64">
      <w:pPr>
        <w:pStyle w:val="Heading1"/>
        <w:rPr>
          <w:rFonts w:ascii="IRBadr" w:hAnsi="IRBadr" w:cs="IRBadr"/>
          <w:rtl/>
        </w:rPr>
      </w:pPr>
      <w:r w:rsidRPr="00E84205">
        <w:rPr>
          <w:rFonts w:ascii="IRBadr" w:hAnsi="IRBadr" w:cs="IRBadr"/>
          <w:rtl/>
        </w:rPr>
        <w:lastRenderedPageBreak/>
        <w:t>پایه‌های</w:t>
      </w:r>
      <w:r w:rsidR="009431F5" w:rsidRPr="00E84205">
        <w:rPr>
          <w:rFonts w:ascii="IRBadr" w:hAnsi="IRBadr" w:cs="IRBadr"/>
          <w:rtl/>
        </w:rPr>
        <w:t xml:space="preserve"> اجتهاد</w:t>
      </w:r>
      <w:bookmarkEnd w:id="1"/>
    </w:p>
    <w:p w:rsidR="009431F5" w:rsidRPr="00E84205" w:rsidRDefault="0082070B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>در مقدمه نوزدهم اشاره می‌کنم به بعضی از قواعد مهمی که در حقیقت زیرساخت</w:t>
      </w:r>
      <w:r w:rsidR="00496575">
        <w:rPr>
          <w:rFonts w:ascii="IRBadr" w:hAnsi="IRBadr" w:cs="IRBadr"/>
          <w:sz w:val="28"/>
          <w:szCs w:val="28"/>
          <w:rtl/>
          <w:lang w:bidi="fa-IR"/>
        </w:rPr>
        <w:t xml:space="preserve"> اجتهاد است، البته به شکل اشاره</w:t>
      </w:r>
      <w:r w:rsidR="00496575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وار و موجز بدون اینکه بخواهیم بحث کنیم. 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>به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نوشته‌های ده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بیست سال قبل که مراجعه می‌کردم می‌دیدم بعضی نکات و مسائل مهمی که در حقیقت به نحوی جزء پایه‌های اجتهاد است در آن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است. بعضی از این قواعد 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ضوابط در آن مباحث سابق که راجع فلسفه اجتهاد داشتیم، 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>مطرح شد.</w:t>
      </w:r>
    </w:p>
    <w:p w:rsidR="009431F5" w:rsidRPr="00E84205" w:rsidRDefault="009431F5" w:rsidP="008C1D64">
      <w:pPr>
        <w:pStyle w:val="Heading1"/>
        <w:rPr>
          <w:rFonts w:ascii="IRBadr" w:hAnsi="IRBadr" w:cs="IRBadr"/>
          <w:rtl/>
        </w:rPr>
      </w:pPr>
      <w:bookmarkStart w:id="2" w:name="_Toc428701489"/>
      <w:r w:rsidRPr="00E84205">
        <w:rPr>
          <w:rFonts w:ascii="IRBadr" w:hAnsi="IRBadr" w:cs="IRBadr"/>
          <w:rtl/>
        </w:rPr>
        <w:t>سابقه این مباحث</w:t>
      </w:r>
      <w:bookmarkEnd w:id="2"/>
    </w:p>
    <w:p w:rsidR="009431F5" w:rsidRPr="00E84205" w:rsidRDefault="009431F5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>ط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 xml:space="preserve">بعاً هر یک از این چند مطلبی که اینجا اضافه می‌کنم، شایسته این بود که خود آن در یک مقدمه مستقلی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 xml:space="preserve"> بیشتری قرار بگیرد. اما از باب اینکه این مقدمات طول کشیده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ازاین‌جهت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 xml:space="preserve"> چند بحث را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طرح می‌کنم 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 xml:space="preserve">و تحلیل و بررسی آن را موکول می‌کنیم به ادامه کاری که در حوزه فلسفه اجتهاد انجام می‌گیرد. و لذا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>چند مطلب در این مقدمه نوزدهم از آن قواعدی که به شکلی جزء مبانی اجتهاد متداول ماست، اشاره می‌کنم.</w:t>
      </w:r>
    </w:p>
    <w:p w:rsidR="009431F5" w:rsidRPr="00E84205" w:rsidRDefault="0082070B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البته این مطالب و قواعدی که اینجا عرض می‌شود، بعضی از این‌ها در تضاعیف کلمات اصولیین یا مباحث اصولی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431F5" w:rsidRPr="00E84205" w:rsidRDefault="009431F5" w:rsidP="008C1D64">
      <w:pPr>
        <w:pStyle w:val="Heading1"/>
        <w:rPr>
          <w:rFonts w:ascii="IRBadr" w:hAnsi="IRBadr" w:cs="IRBadr"/>
          <w:rtl/>
        </w:rPr>
      </w:pPr>
      <w:bookmarkStart w:id="3" w:name="_Toc428701490"/>
      <w:r w:rsidRPr="00E84205">
        <w:rPr>
          <w:rFonts w:ascii="IRBadr" w:hAnsi="IRBadr" w:cs="IRBadr"/>
          <w:rtl/>
        </w:rPr>
        <w:t>مصداقی از بحث</w:t>
      </w:r>
      <w:bookmarkEnd w:id="3"/>
    </w:p>
    <w:p w:rsidR="009431F5" w:rsidRPr="00E84205" w:rsidRDefault="0082070B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بعضی از این قواعد را قبلاً هم بحث کردیم و بعضی هم بحث نکردیم. مثلاً یک قاعده از آن قواعد 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 xml:space="preserve">این است که برای هر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واقعه‌ای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 xml:space="preserve"> حکمی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است که این را در این بحث‌های اخیرمان 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 xml:space="preserve">در سال قبل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مقداری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موردگفتگو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قراردادیم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و کار هم شده است و </w:t>
      </w:r>
      <w:r w:rsidR="00496575">
        <w:rPr>
          <w:rFonts w:ascii="IRBadr" w:hAnsi="IRBadr" w:cs="IRBadr"/>
          <w:sz w:val="28"/>
          <w:szCs w:val="28"/>
          <w:rtl/>
          <w:lang w:bidi="fa-IR"/>
        </w:rPr>
        <w:t>انشاءالله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منتشر می‌شود.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قاعده مهم بنیادی است و ابعاد و زوایایی دارد که در جای خود باید 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آن 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>توجه کرد.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مدعای در این قاعده را در جای خودش 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>تبیین کردیم و آن،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این است که تمام رفتارهای اختیاری داوری حکمی و شرعی در باب آن وجود دارد، اعم از داوری الز</w:t>
      </w:r>
      <w:r w:rsidR="009431F5" w:rsidRPr="00E84205">
        <w:rPr>
          <w:rFonts w:ascii="IRBadr" w:hAnsi="IRBadr" w:cs="IRBadr"/>
          <w:sz w:val="28"/>
          <w:szCs w:val="28"/>
          <w:rtl/>
          <w:lang w:bidi="fa-IR"/>
        </w:rPr>
        <w:t>امی یا ترجیحی یا تخییری و اباحه.</w:t>
      </w:r>
    </w:p>
    <w:p w:rsidR="005612BE" w:rsidRPr="00E84205" w:rsidRDefault="005612BE" w:rsidP="008C1D64">
      <w:pPr>
        <w:pStyle w:val="Heading1"/>
        <w:rPr>
          <w:rFonts w:ascii="IRBadr" w:hAnsi="IRBadr" w:cs="IRBadr"/>
          <w:rtl/>
        </w:rPr>
      </w:pPr>
      <w:bookmarkStart w:id="4" w:name="_Toc428701491"/>
      <w:r w:rsidRPr="00E84205">
        <w:rPr>
          <w:rFonts w:ascii="IRBadr" w:hAnsi="IRBadr" w:cs="IRBadr"/>
          <w:rtl/>
        </w:rPr>
        <w:t>مصداق دوم از بحث</w:t>
      </w:r>
      <w:bookmarkEnd w:id="4"/>
    </w:p>
    <w:p w:rsidR="0082070B" w:rsidRPr="00E84205" w:rsidRDefault="00552FFC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 xml:space="preserve"> قواعد دیگری که تا حد زیادی هم حضور دارد، این است که احکام الهی و شرعی که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 xml:space="preserve"> در متون و منابع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>ارائه‌شده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 xml:space="preserve"> باقیه و مستمره الی قیام یوم القیامه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 xml:space="preserve">چراکه 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>دین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 xml:space="preserve">دین خاتم 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>و مشتمل بر احکام و شریعت است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 xml:space="preserve"> و این شریعت هم باقی و مستمر است. خاتمیت دین امر کلامی است، و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 xml:space="preserve"> اینکه دین مشتمل بر شریعت و احکام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="0082070B" w:rsidRPr="00E84205">
        <w:rPr>
          <w:rFonts w:ascii="IRBadr" w:hAnsi="IRBadr" w:cs="IRBadr"/>
          <w:sz w:val="28"/>
          <w:szCs w:val="28"/>
          <w:rtl/>
          <w:lang w:bidi="fa-IR"/>
        </w:rPr>
        <w:t xml:space="preserve"> به شکل فراگیر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A8707B" w:rsidRPr="00E84205" w:rsidRDefault="00BE162A" w:rsidP="008C1D64">
      <w:pPr>
        <w:pStyle w:val="Heading1"/>
        <w:rPr>
          <w:rFonts w:ascii="IRBadr" w:hAnsi="IRBadr" w:cs="IRBadr"/>
          <w:rtl/>
        </w:rPr>
      </w:pPr>
      <w:bookmarkStart w:id="5" w:name="_Toc428701492"/>
      <w:r w:rsidRPr="00E84205">
        <w:rPr>
          <w:rFonts w:ascii="IRBadr" w:hAnsi="IRBadr" w:cs="IRBadr"/>
          <w:rtl/>
        </w:rPr>
        <w:lastRenderedPageBreak/>
        <w:t>مسئله</w:t>
      </w:r>
      <w:r w:rsidR="00A8707B" w:rsidRPr="00E84205">
        <w:rPr>
          <w:rFonts w:ascii="IRBadr" w:hAnsi="IRBadr" w:cs="IRBadr"/>
          <w:rtl/>
        </w:rPr>
        <w:t xml:space="preserve"> نسخ</w:t>
      </w:r>
      <w:bookmarkEnd w:id="5"/>
    </w:p>
    <w:p w:rsidR="00A8707B" w:rsidRPr="00E84205" w:rsidRDefault="00A8707B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احکامی که در شریعت وجود دارد تا روز قیامت باقی است و نسخ 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و شاید به لحاظ طرح بحث در المیزان کار خوبی صورت گرفته است،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بر اینکه آقای خویی در البیان نیز این 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>م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>طلب را دارند که اصل نسخ را شاید نتوان نفی نمود.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اینکه دایره نسخ موسع یا مضیق است،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 xml:space="preserve"> محل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اختلاف است.</w:t>
      </w:r>
    </w:p>
    <w:p w:rsidR="00A8707B" w:rsidRPr="00E84205" w:rsidRDefault="00BE162A" w:rsidP="008C1D64">
      <w:pPr>
        <w:pStyle w:val="Heading1"/>
        <w:rPr>
          <w:rFonts w:ascii="IRBadr" w:hAnsi="IRBadr" w:cs="IRBadr"/>
          <w:rtl/>
        </w:rPr>
      </w:pPr>
      <w:bookmarkStart w:id="6" w:name="_Toc428701493"/>
      <w:r w:rsidRPr="00E84205">
        <w:rPr>
          <w:rFonts w:ascii="IRBadr" w:hAnsi="IRBadr" w:cs="IRBadr"/>
          <w:rtl/>
        </w:rPr>
        <w:t>جمع‌بندی</w:t>
      </w:r>
      <w:bookmarkEnd w:id="6"/>
    </w:p>
    <w:p w:rsidR="00A8707B" w:rsidRPr="00E84205" w:rsidRDefault="00A8707B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>لذا اصل بر بقاء احکام است و پدیده نسخ یک پدیده استثنایی محدود است و نیاز به دلیل خاص دارد.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روایات بقاء دین تا روز قیامت به نحو استفاضه و حتی 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>به‌قدر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ضروری است.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طرفی نیز برای هر 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>واقعه‌ای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حکمی است و در قاعده دوم این احکام تا روز قیامت باقی است و استمرار دارد.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نکته سوم اینکه استثنای به نحو نسخ وجود دارد که ممکن است این قاعده از ادله اربعه استفاده شود.</w:t>
      </w:r>
    </w:p>
    <w:p w:rsidR="00A8707B" w:rsidRPr="00E84205" w:rsidRDefault="00BE162A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="00300D11" w:rsidRPr="00E84205">
        <w:rPr>
          <w:rFonts w:ascii="IRBadr" w:hAnsi="IRBadr" w:cs="IRBadr"/>
          <w:sz w:val="28"/>
          <w:szCs w:val="28"/>
          <w:rtl/>
          <w:lang w:bidi="fa-IR"/>
        </w:rPr>
        <w:t xml:space="preserve"> که بگوید نص مادامی است که حضور وجود دارد،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300D11" w:rsidRPr="00E84205">
        <w:rPr>
          <w:rFonts w:ascii="IRBadr" w:hAnsi="IRBadr" w:cs="IRBadr"/>
          <w:sz w:val="28"/>
          <w:szCs w:val="28"/>
          <w:rtl/>
          <w:lang w:bidi="fa-IR"/>
        </w:rPr>
        <w:t xml:space="preserve"> در عصر غیبت نسخ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00D11" w:rsidRPr="00E8420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این‌گونه</w:t>
      </w:r>
      <w:r w:rsidR="00300D11" w:rsidRPr="00E84205">
        <w:rPr>
          <w:rFonts w:ascii="IRBadr" w:hAnsi="IRBadr" w:cs="IRBadr"/>
          <w:sz w:val="28"/>
          <w:szCs w:val="28"/>
          <w:rtl/>
          <w:lang w:bidi="fa-IR"/>
        </w:rPr>
        <w:t xml:space="preserve"> امری را نداریم.</w:t>
      </w:r>
    </w:p>
    <w:p w:rsidR="00A8707B" w:rsidRPr="00E84205" w:rsidRDefault="00300D11" w:rsidP="008C1D64">
      <w:pPr>
        <w:pStyle w:val="Heading2"/>
        <w:rPr>
          <w:rFonts w:ascii="IRBadr" w:hAnsi="IRBadr" w:cs="IRBadr"/>
          <w:rtl/>
        </w:rPr>
      </w:pPr>
      <w:bookmarkStart w:id="7" w:name="_Toc428701494"/>
      <w:r w:rsidRPr="00E84205">
        <w:rPr>
          <w:rFonts w:ascii="IRBadr" w:hAnsi="IRBadr" w:cs="IRBadr"/>
          <w:rtl/>
        </w:rPr>
        <w:t>اصلیت حکم مولوی</w:t>
      </w:r>
      <w:bookmarkEnd w:id="7"/>
    </w:p>
    <w:p w:rsidR="00A951E6" w:rsidRPr="00E84205" w:rsidRDefault="00300D11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>اصل در احکام بر مولویت است و این بنای اجتهاد ماست.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این دارای اثر بسیار بالایی در اجتهاد است. </w:t>
      </w:r>
      <w:r w:rsidR="001222FE" w:rsidRPr="00E84205">
        <w:rPr>
          <w:rFonts w:ascii="IRBadr" w:hAnsi="IRBadr" w:cs="IRBadr"/>
          <w:sz w:val="28"/>
          <w:szCs w:val="28"/>
          <w:rtl/>
          <w:lang w:bidi="fa-IR"/>
        </w:rPr>
        <w:t xml:space="preserve">بنابراین تقسیم احکام به غیری و نفسی یا تعیینی و تخییری یا کفایی و عینی تقسیمی است که در درون این اصول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و در همین اجتهاد متداول، </w:t>
      </w:r>
      <w:r w:rsidR="001222FE" w:rsidRPr="00E84205">
        <w:rPr>
          <w:rFonts w:ascii="IRBadr" w:hAnsi="IRBadr" w:cs="IRBadr"/>
          <w:sz w:val="28"/>
          <w:szCs w:val="28"/>
          <w:rtl/>
          <w:lang w:bidi="fa-IR"/>
        </w:rPr>
        <w:t xml:space="preserve">جا می‌گیرد. اما تقسیم اوامر و نواهی و خطابات حکمیه به مولویت و ارشادیت و اصاله المولویه خیلی فراتر از یک بحث خرد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بوده و </w:t>
      </w:r>
      <w:r w:rsidR="001222FE" w:rsidRPr="00E84205">
        <w:rPr>
          <w:rFonts w:ascii="IRBadr" w:hAnsi="IRBadr" w:cs="IRBadr"/>
          <w:sz w:val="28"/>
          <w:szCs w:val="28"/>
          <w:rtl/>
          <w:lang w:bidi="fa-IR"/>
        </w:rPr>
        <w:t>از اصول و منظومه اجتهاد است.</w:t>
      </w:r>
    </w:p>
    <w:p w:rsidR="00300D11" w:rsidRPr="00E84205" w:rsidRDefault="00300D11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و احتمالاً اصالت مولویت را 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از روایات استفاده نمود.</w:t>
      </w:r>
      <w:r w:rsidR="00BE162A" w:rsidRPr="00E8420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برای نمود یافتن این اصالت در سیره و آیات و روایات نیاز است آنان به نحو بیشتری برجسته شوند.</w:t>
      </w:r>
    </w:p>
    <w:p w:rsidR="00300D11" w:rsidRPr="00E84205" w:rsidRDefault="005612BE" w:rsidP="008C1D64">
      <w:pPr>
        <w:pStyle w:val="Heading2"/>
        <w:rPr>
          <w:rFonts w:ascii="IRBadr" w:hAnsi="IRBadr" w:cs="IRBadr"/>
          <w:rtl/>
        </w:rPr>
      </w:pPr>
      <w:bookmarkStart w:id="8" w:name="_Toc428701495"/>
      <w:r w:rsidRPr="00E84205">
        <w:rPr>
          <w:rFonts w:ascii="IRBadr" w:hAnsi="IRBadr" w:cs="IRBadr"/>
          <w:rtl/>
        </w:rPr>
        <w:t>مراد از ارشادیت</w:t>
      </w:r>
      <w:bookmarkEnd w:id="8"/>
    </w:p>
    <w:p w:rsidR="00A951E6" w:rsidRPr="00E84205" w:rsidRDefault="0082070B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نقطه مقابل مولویت هم این ارشاد است که ما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چندمعنا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برای آن ذکر کردیم. اینجا مقصود از ارشاد این است که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درون‌مایه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اعمال مولویتی که پایه عقاب و ثواب بشود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 xml:space="preserve">، اینجا نیست.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اعم از اینکه ارشاد به یک حکم عقل باشد، ولی نه از آن احکام عقلی که قاعده ملازمه در آن جاری است، چون آن ارشاد 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>چندان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مقابل مولوی نیست.</w:t>
      </w:r>
    </w:p>
    <w:p w:rsidR="005612BE" w:rsidRPr="00E84205" w:rsidRDefault="0082070B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ارشاد به یک حکم عقلی که جای اعمال مولویت ندارد یا ارشاد به یک احکام عقلایی که باز ج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 xml:space="preserve">ای این نیست که آن را حکم مولوی بدانیم و مجرای جریان سیره عقلا 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>باشد.</w:t>
      </w:r>
    </w:p>
    <w:p w:rsidR="005612BE" w:rsidRPr="00E84205" w:rsidRDefault="005612BE" w:rsidP="008C1D64">
      <w:pPr>
        <w:pStyle w:val="Heading2"/>
        <w:rPr>
          <w:rFonts w:ascii="IRBadr" w:hAnsi="IRBadr" w:cs="IRBadr"/>
          <w:rtl/>
        </w:rPr>
      </w:pPr>
      <w:bookmarkStart w:id="9" w:name="_Toc428701496"/>
      <w:r w:rsidRPr="00E84205">
        <w:rPr>
          <w:rFonts w:ascii="IRBadr" w:hAnsi="IRBadr" w:cs="IRBadr"/>
          <w:rtl/>
        </w:rPr>
        <w:t>استحقاق عقاب در مولویت</w:t>
      </w:r>
      <w:bookmarkEnd w:id="9"/>
    </w:p>
    <w:p w:rsidR="005612BE" w:rsidRPr="00E84205" w:rsidRDefault="0082070B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>این ارشادی که در نقطه مقابل مولویت باشد در اینجا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 xml:space="preserve"> مقصود است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، و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این نکته است که مولویت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>ی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که ما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یعنی روحش همان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قانون‌گذاری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از موضع شرعی است و ثمره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ترتب استحقاق العقاب و الثواب یا عدم الاستحقاق است که از موضع مولویت استحقاق و عدم استحقاق عقاب و ثواب را مشخص بکند.</w:t>
      </w:r>
    </w:p>
    <w:p w:rsidR="00A951E6" w:rsidRPr="00E84205" w:rsidRDefault="0082070B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البته تعمیق مفهوم ارشادیت و مولویت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بااینکه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نکاتی را سابق گفتیم و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الآن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اشاره</w:t>
      </w:r>
      <w:r w:rsidR="00496575">
        <w:rPr>
          <w:rFonts w:ascii="IRBadr" w:hAnsi="IRBadr" w:cs="IRBadr"/>
          <w:sz w:val="28"/>
          <w:szCs w:val="28"/>
          <w:rtl/>
          <w:lang w:bidi="fa-IR"/>
        </w:rPr>
        <w:t xml:space="preserve"> کردیم، نیاز به یک مباحث مستوعب</w:t>
      </w:r>
      <w:r w:rsidR="00496575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>ت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 xml:space="preserve">ری دارد، یعنی </w:t>
      </w:r>
      <w:r w:rsidR="00496575">
        <w:rPr>
          <w:rFonts w:ascii="IRBadr" w:hAnsi="IRBadr" w:cs="IRBadr"/>
          <w:sz w:val="28"/>
          <w:szCs w:val="28"/>
          <w:rtl/>
          <w:lang w:bidi="fa-IR"/>
        </w:rPr>
        <w:t>سؤالاتی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 xml:space="preserve"> وجود دارد که جای بسط بیشتری است.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ادله مسئله هم جای تأملات بیشتری دارد</w:t>
      </w:r>
      <w:r w:rsidR="005612BE" w:rsidRPr="00E84205">
        <w:rPr>
          <w:rFonts w:ascii="IRBadr" w:hAnsi="IRBadr" w:cs="IRBadr"/>
          <w:sz w:val="28"/>
          <w:szCs w:val="28"/>
          <w:rtl/>
          <w:lang w:bidi="fa-IR"/>
        </w:rPr>
        <w:t>.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که نکته دیگری که ذیل این بایستی توجه بشود این است که </w:t>
      </w:r>
      <w:r w:rsidR="00A951E6" w:rsidRPr="00E84205">
        <w:rPr>
          <w:rFonts w:ascii="IRBadr" w:hAnsi="IRBadr" w:cs="IRBadr"/>
          <w:sz w:val="28"/>
          <w:szCs w:val="28"/>
          <w:rtl/>
          <w:lang w:bidi="fa-IR"/>
        </w:rPr>
        <w:t>برد قاعده مولویت چقدر است؟</w:t>
      </w:r>
    </w:p>
    <w:p w:rsidR="00300D11" w:rsidRPr="00E84205" w:rsidRDefault="00A951E6" w:rsidP="008C1D64">
      <w:pPr>
        <w:pStyle w:val="Heading3"/>
        <w:rPr>
          <w:rFonts w:ascii="IRBadr" w:hAnsi="IRBadr" w:cs="IRBadr"/>
          <w:rtl/>
        </w:rPr>
      </w:pPr>
      <w:bookmarkStart w:id="10" w:name="_Toc428701497"/>
      <w:r w:rsidRPr="00E84205">
        <w:rPr>
          <w:rFonts w:ascii="IRBadr" w:hAnsi="IRBadr" w:cs="IRBadr"/>
          <w:rtl/>
        </w:rPr>
        <w:t>عناوین ثانوی در این مقام</w:t>
      </w:r>
      <w:bookmarkEnd w:id="10"/>
    </w:p>
    <w:p w:rsidR="00A951E6" w:rsidRPr="00E84205" w:rsidRDefault="00A951E6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گاهی عناوین ثانوی عارض شده است و حکم او تغییر کرده است.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این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امر ممکن است یعنی این تغییر و تحولات در موضوعات چه به نحو انقلاب ذاتی و اینکه ذات موضوع عوض بشود، چه اینکه عناوینی تاری و عارض بر موضوع بشود.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خیلی دائمی و مستمر یا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مقطعی و موقت، این تطورات موضوعی و تحولات در دامنه موضوعات ممکن است دیده بشود.</w:t>
      </w:r>
    </w:p>
    <w:p w:rsidR="00A951E6" w:rsidRPr="00E84205" w:rsidRDefault="00A951E6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اصلی وجود دارد که می‌گوید این حکم به نحو مجعول و قضیه حقیقیه باقی است الی قیام یوم القیامه و به نحو قضیه حقیقیه کلما تحقق موضوع خارجاً این به او پیوند می‌خورد.</w:t>
      </w:r>
    </w:p>
    <w:p w:rsidR="00AC049A" w:rsidRPr="00E84205" w:rsidRDefault="00552FFC" w:rsidP="008C1D64">
      <w:pPr>
        <w:pStyle w:val="Heading3"/>
        <w:rPr>
          <w:rFonts w:ascii="IRBadr" w:hAnsi="IRBadr" w:cs="IRBadr"/>
          <w:rtl/>
        </w:rPr>
      </w:pPr>
      <w:bookmarkStart w:id="11" w:name="_Toc428701498"/>
      <w:r w:rsidRPr="00E84205">
        <w:rPr>
          <w:rFonts w:ascii="IRBadr" w:hAnsi="IRBadr" w:cs="IRBadr"/>
          <w:rtl/>
        </w:rPr>
        <w:t>جمع‌بندی</w:t>
      </w:r>
      <w:bookmarkEnd w:id="11"/>
    </w:p>
    <w:p w:rsidR="00AC049A" w:rsidRPr="00E84205" w:rsidRDefault="00552FFC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AC049A" w:rsidRPr="00E84205">
        <w:rPr>
          <w:rFonts w:ascii="IRBadr" w:hAnsi="IRBadr" w:cs="IRBadr"/>
          <w:sz w:val="28"/>
          <w:szCs w:val="28"/>
          <w:rtl/>
          <w:lang w:bidi="fa-IR"/>
        </w:rPr>
        <w:t>، اصل بقای احکام است، این اصل است و نسخ یک پدیده استثنایی محدود است، و نیاز به دلیل خاص دارد. اصل بقای احکام و استمرار احکام است و نسخ نیاز به دلیل خاص دارد. این هم یک قاعده است که این قاعده، مبانی آن مستند به آن بقای کلیت دین است که در آیات و روایاتی آمده است که اصل دین باقی است و آن، دین خاتم است و کلیت دین دیگر ناسخی ندارد.</w:t>
      </w:r>
    </w:p>
    <w:p w:rsidR="00AC049A" w:rsidRPr="00E84205" w:rsidRDefault="00AC049A" w:rsidP="008C1D64">
      <w:pPr>
        <w:pStyle w:val="Heading3"/>
        <w:rPr>
          <w:rFonts w:ascii="IRBadr" w:hAnsi="IRBadr" w:cs="IRBadr"/>
          <w:rtl/>
        </w:rPr>
      </w:pPr>
      <w:bookmarkStart w:id="12" w:name="_Toc428701499"/>
      <w:r w:rsidRPr="00E84205">
        <w:rPr>
          <w:rFonts w:ascii="IRBadr" w:hAnsi="IRBadr" w:cs="IRBadr"/>
          <w:rtl/>
        </w:rPr>
        <w:lastRenderedPageBreak/>
        <w:t>نسخ دین</w:t>
      </w:r>
      <w:bookmarkEnd w:id="12"/>
    </w:p>
    <w:p w:rsidR="00AC049A" w:rsidRPr="00E84205" w:rsidRDefault="00AC049A" w:rsidP="008C1D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دسته از آیات و روایات و ادله است که اشاره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به‌کل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دین و مجموع من حیث مجموع می‌کند. مبانی اعتقادی و مجموعه دین نسخ نمی‌شود و دین جدیدی نمی‌آید. </w:t>
      </w:r>
      <w:r w:rsidR="00552FFC" w:rsidRPr="00E84205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دسته آیات و روایات است و مهم‌تر دسته دوم از ادله است که در خصوص احکام است.</w:t>
      </w:r>
    </w:p>
    <w:p w:rsidR="00152670" w:rsidRPr="00E84205" w:rsidRDefault="00AC049A" w:rsidP="008C1D64">
      <w:pPr>
        <w:bidi/>
        <w:jc w:val="both"/>
        <w:rPr>
          <w:rFonts w:ascii="IRBadr" w:hAnsi="IRBadr" w:cs="IRBadr"/>
        </w:rPr>
      </w:pP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در خصوص احکام و شریعت است و تفاصیل احکام است که در </w:t>
      </w:r>
      <w:r w:rsidR="0049657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E84205">
        <w:rPr>
          <w:rFonts w:ascii="IRBadr" w:hAnsi="IRBadr" w:cs="IRBadr"/>
          <w:sz w:val="28"/>
          <w:szCs w:val="28"/>
          <w:rtl/>
          <w:lang w:bidi="fa-IR"/>
        </w:rPr>
        <w:t xml:space="preserve"> فرموده شده احکام این شریعت نیز تا روز قیامت مستمر و پابرجا خواهد ماند.</w:t>
      </w:r>
    </w:p>
    <w:sectPr w:rsidR="00152670" w:rsidRPr="00E84205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3E" w:rsidRDefault="0097393E" w:rsidP="000D5800">
      <w:pPr>
        <w:spacing w:after="0"/>
      </w:pPr>
      <w:r>
        <w:separator/>
      </w:r>
    </w:p>
  </w:endnote>
  <w:endnote w:type="continuationSeparator" w:id="0">
    <w:p w:rsidR="0097393E" w:rsidRDefault="0097393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C" w:rsidRDefault="00552F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57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C" w:rsidRDefault="00552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3E" w:rsidRDefault="0097393E" w:rsidP="000D5800">
      <w:pPr>
        <w:spacing w:after="0"/>
      </w:pPr>
      <w:r>
        <w:separator/>
      </w:r>
    </w:p>
  </w:footnote>
  <w:footnote w:type="continuationSeparator" w:id="0">
    <w:p w:rsidR="0097393E" w:rsidRDefault="0097393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C" w:rsidRDefault="00552F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1222FE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01C2F9D" wp14:editId="245B4A7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ED622E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5D439190" wp14:editId="04342A3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E162A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222FE">
      <w:rPr>
        <w:rFonts w:ascii="IranNastaliq" w:hAnsi="IranNastaliq" w:cs="IranNastaliq" w:hint="cs"/>
        <w:sz w:val="40"/>
        <w:szCs w:val="40"/>
        <w:rtl/>
      </w:rPr>
      <w:t>4536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C" w:rsidRDefault="00552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FE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222FE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00D11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20AD"/>
    <w:rsid w:val="004651D2"/>
    <w:rsid w:val="00465D26"/>
    <w:rsid w:val="004679F8"/>
    <w:rsid w:val="00496575"/>
    <w:rsid w:val="004B337F"/>
    <w:rsid w:val="004F07F2"/>
    <w:rsid w:val="004F3596"/>
    <w:rsid w:val="00530FD7"/>
    <w:rsid w:val="00552FFC"/>
    <w:rsid w:val="005612BE"/>
    <w:rsid w:val="00572E2D"/>
    <w:rsid w:val="00592103"/>
    <w:rsid w:val="005941DD"/>
    <w:rsid w:val="005A545E"/>
    <w:rsid w:val="005A5862"/>
    <w:rsid w:val="005B0852"/>
    <w:rsid w:val="005C06AE"/>
    <w:rsid w:val="00603501"/>
    <w:rsid w:val="00610C18"/>
    <w:rsid w:val="00612385"/>
    <w:rsid w:val="0061376C"/>
    <w:rsid w:val="00636EFA"/>
    <w:rsid w:val="0066229C"/>
    <w:rsid w:val="0069696C"/>
    <w:rsid w:val="006A085A"/>
    <w:rsid w:val="006D3A87"/>
    <w:rsid w:val="006E7B2F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070B"/>
    <w:rsid w:val="008407A4"/>
    <w:rsid w:val="00844860"/>
    <w:rsid w:val="00845CC4"/>
    <w:rsid w:val="008644F4"/>
    <w:rsid w:val="00883733"/>
    <w:rsid w:val="008965D2"/>
    <w:rsid w:val="008A236D"/>
    <w:rsid w:val="008B565A"/>
    <w:rsid w:val="008C1D64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31F5"/>
    <w:rsid w:val="009613AC"/>
    <w:rsid w:val="0097393E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707B"/>
    <w:rsid w:val="00A951E6"/>
    <w:rsid w:val="00A9616A"/>
    <w:rsid w:val="00A96F68"/>
    <w:rsid w:val="00AA2342"/>
    <w:rsid w:val="00AC049A"/>
    <w:rsid w:val="00AD0304"/>
    <w:rsid w:val="00AD27BE"/>
    <w:rsid w:val="00AF0F1A"/>
    <w:rsid w:val="00B15027"/>
    <w:rsid w:val="00B20DD1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E162A"/>
    <w:rsid w:val="00BF3D67"/>
    <w:rsid w:val="00C160AF"/>
    <w:rsid w:val="00C22299"/>
    <w:rsid w:val="00C25609"/>
    <w:rsid w:val="00C262D7"/>
    <w:rsid w:val="00C26607"/>
    <w:rsid w:val="00C3196F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32E5"/>
    <w:rsid w:val="00D66444"/>
    <w:rsid w:val="00D76353"/>
    <w:rsid w:val="00DB28BB"/>
    <w:rsid w:val="00DC603F"/>
    <w:rsid w:val="00DD3C0D"/>
    <w:rsid w:val="00DD4864"/>
    <w:rsid w:val="00DD71A2"/>
    <w:rsid w:val="00DE1DC4"/>
    <w:rsid w:val="00E019D6"/>
    <w:rsid w:val="00E0639C"/>
    <w:rsid w:val="00E067E6"/>
    <w:rsid w:val="00E12531"/>
    <w:rsid w:val="00E143B0"/>
    <w:rsid w:val="00E55891"/>
    <w:rsid w:val="00E567A4"/>
    <w:rsid w:val="00E6283A"/>
    <w:rsid w:val="00E732A3"/>
    <w:rsid w:val="00E83A85"/>
    <w:rsid w:val="00E8420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222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4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222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4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6D57-731A-48B0-99BC-0A283EA5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76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13</cp:revision>
  <dcterms:created xsi:type="dcterms:W3CDTF">2015-01-19T04:15:00Z</dcterms:created>
  <dcterms:modified xsi:type="dcterms:W3CDTF">2015-08-31T06:16:00Z</dcterms:modified>
</cp:coreProperties>
</file>