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7" w:rsidRDefault="00E31774" w:rsidP="00EE4C0B">
      <w:pPr>
        <w:bidi/>
        <w:jc w:val="both"/>
        <w:rPr>
          <w:noProof/>
        </w:rPr>
      </w:pPr>
      <w:bookmarkStart w:id="0" w:name="_GoBack"/>
      <w:r>
        <w:rPr>
          <w:rFonts w:cs="B Badr" w:hint="cs"/>
          <w:sz w:val="28"/>
          <w:szCs w:val="28"/>
          <w:rtl/>
          <w:lang w:bidi="fa-IR"/>
        </w:rPr>
        <w:t>بسم‌الله</w:t>
      </w:r>
      <w:r w:rsidR="00C21812" w:rsidRPr="00EE4C0B">
        <w:rPr>
          <w:rFonts w:cs="B Badr" w:hint="cs"/>
          <w:sz w:val="28"/>
          <w:szCs w:val="28"/>
          <w:rtl/>
          <w:lang w:bidi="fa-IR"/>
        </w:rPr>
        <w:t xml:space="preserve"> </w:t>
      </w:r>
      <w:bookmarkEnd w:id="0"/>
      <w:r w:rsidR="00C21812" w:rsidRPr="00EE4C0B">
        <w:rPr>
          <w:rFonts w:cs="B Badr" w:hint="cs"/>
          <w:sz w:val="28"/>
          <w:szCs w:val="28"/>
          <w:rtl/>
          <w:lang w:bidi="fa-IR"/>
        </w:rPr>
        <w:t>الرحمن الرحیم</w:t>
      </w:r>
      <w:r w:rsidR="00961337">
        <w:rPr>
          <w:rFonts w:cs="B Badr"/>
          <w:sz w:val="28"/>
          <w:szCs w:val="28"/>
          <w:rtl/>
          <w:lang w:bidi="fa-IR"/>
        </w:rPr>
        <w:fldChar w:fldCharType="begin"/>
      </w:r>
      <w:r w:rsidR="00961337">
        <w:rPr>
          <w:rFonts w:cs="B Badr"/>
          <w:sz w:val="28"/>
          <w:szCs w:val="28"/>
          <w:rtl/>
          <w:lang w:bidi="fa-IR"/>
        </w:rPr>
        <w:instrText xml:space="preserve"> </w:instrText>
      </w:r>
      <w:r w:rsidR="00961337">
        <w:rPr>
          <w:rFonts w:cs="B Badr"/>
          <w:sz w:val="28"/>
          <w:szCs w:val="28"/>
          <w:lang w:bidi="fa-IR"/>
        </w:rPr>
        <w:instrText>TOC</w:instrText>
      </w:r>
      <w:r w:rsidR="00961337">
        <w:rPr>
          <w:rFonts w:cs="B Badr"/>
          <w:sz w:val="28"/>
          <w:szCs w:val="28"/>
          <w:rtl/>
          <w:lang w:bidi="fa-IR"/>
        </w:rPr>
        <w:instrText xml:space="preserve"> \</w:instrText>
      </w:r>
      <w:r w:rsidR="00961337">
        <w:rPr>
          <w:rFonts w:cs="B Badr"/>
          <w:sz w:val="28"/>
          <w:szCs w:val="28"/>
          <w:lang w:bidi="fa-IR"/>
        </w:rPr>
        <w:instrText>o "1-6" \h \z \u</w:instrText>
      </w:r>
      <w:r w:rsidR="00961337">
        <w:rPr>
          <w:rFonts w:cs="B Badr"/>
          <w:sz w:val="28"/>
          <w:szCs w:val="28"/>
          <w:rtl/>
          <w:lang w:bidi="fa-IR"/>
        </w:rPr>
        <w:instrText xml:space="preserve"> </w:instrText>
      </w:r>
      <w:r w:rsidR="00961337">
        <w:rPr>
          <w:rFonts w:cs="B Badr"/>
          <w:sz w:val="28"/>
          <w:szCs w:val="28"/>
          <w:rtl/>
          <w:lang w:bidi="fa-IR"/>
        </w:rPr>
        <w:fldChar w:fldCharType="separate"/>
      </w:r>
    </w:p>
    <w:p w:rsidR="00961337" w:rsidRDefault="00E23366" w:rsidP="0096133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3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تقس</w:t>
        </w:r>
        <w:r w:rsidR="00961337" w:rsidRPr="00014D9E">
          <w:rPr>
            <w:rStyle w:val="Hyperlink"/>
            <w:rFonts w:ascii="IRBadr" w:hAnsi="IRBadr" w:cs="IRBadr" w:hint="cs"/>
            <w:noProof/>
            <w:rtl/>
          </w:rPr>
          <w:t>ی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مات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_Toc431748283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2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4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سابق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_Toc431748284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2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5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امکان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اجتهاد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متجز</w:t>
        </w:r>
        <w:r w:rsidR="00961337" w:rsidRPr="00014D9E">
          <w:rPr>
            <w:rStyle w:val="Hyperlink"/>
            <w:rFonts w:ascii="IRBadr" w:hAnsi="IRBadr" w:cs="IRBadr" w:hint="cs"/>
            <w:noProof/>
            <w:rtl/>
          </w:rPr>
          <w:t>ی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_Toc431748285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2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6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فوق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_Toc431748286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2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7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تشابک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مسائل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961337" w:rsidRPr="00014D9E">
          <w:rPr>
            <w:rStyle w:val="Hyperlink"/>
            <w:rFonts w:ascii="IRBadr" w:hAnsi="IRBadr" w:cs="IRBadr" w:hint="cs"/>
            <w:noProof/>
            <w:rtl/>
          </w:rPr>
          <w:t>ی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_Toc431748287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3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8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استدلال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فوق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_Toc431748288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3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89" w:history="1">
        <w:r w:rsidR="00535771">
          <w:rPr>
            <w:rStyle w:val="Hyperlink"/>
            <w:rFonts w:ascii="IRBadr" w:hAnsi="IRBadr" w:cs="IRBadr" w:hint="eastAsia"/>
            <w:noProof/>
            <w:rtl/>
          </w:rPr>
          <w:t>جمع‌بندی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_Toc431748289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4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90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مراد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انسجام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کل</w:t>
        </w:r>
        <w:r w:rsidR="00961337" w:rsidRPr="00014D9E">
          <w:rPr>
            <w:rStyle w:val="Hyperlink"/>
            <w:rFonts w:ascii="IRBadr" w:hAnsi="IRBadr" w:cs="IRBadr" w:hint="cs"/>
            <w:noProof/>
            <w:rtl/>
          </w:rPr>
          <w:t>ی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_Toc431748290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4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91" w:history="1"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لزوم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اطم</w:t>
        </w:r>
        <w:r w:rsidR="00961337" w:rsidRPr="00014D9E">
          <w:rPr>
            <w:rStyle w:val="Hyperlink"/>
            <w:rFonts w:ascii="IRBadr" w:hAnsi="IRBadr" w:cs="IRBadr" w:hint="cs"/>
            <w:noProof/>
            <w:rtl/>
          </w:rPr>
          <w:t>ی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نان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استفراغ</w:t>
        </w:r>
        <w:r w:rsidR="00961337" w:rsidRPr="00014D9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961337" w:rsidRPr="00014D9E">
          <w:rPr>
            <w:rStyle w:val="Hyperlink"/>
            <w:rFonts w:ascii="IRBadr" w:hAnsi="IRBadr" w:cs="IRBadr" w:hint="eastAsia"/>
            <w:noProof/>
            <w:rtl/>
          </w:rPr>
          <w:t>وسع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_Toc431748291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4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961337" w:rsidRDefault="00E23366" w:rsidP="00961337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48292" w:history="1">
        <w:r w:rsidR="00535771">
          <w:rPr>
            <w:rStyle w:val="Hyperlink"/>
            <w:rFonts w:ascii="IRBadr" w:hAnsi="IRBadr" w:cs="IRBadr" w:hint="eastAsia"/>
            <w:noProof/>
            <w:rtl/>
          </w:rPr>
          <w:t>نتیجه‌گیری</w:t>
        </w:r>
        <w:r w:rsidR="00961337">
          <w:rPr>
            <w:noProof/>
            <w:webHidden/>
          </w:rPr>
          <w:tab/>
        </w:r>
        <w:r w:rsidR="00961337">
          <w:rPr>
            <w:rStyle w:val="Hyperlink"/>
            <w:noProof/>
            <w:rtl/>
          </w:rPr>
          <w:fldChar w:fldCharType="begin"/>
        </w:r>
        <w:r w:rsidR="00961337">
          <w:rPr>
            <w:noProof/>
            <w:webHidden/>
          </w:rPr>
          <w:instrText xml:space="preserve"> PAGEREF _Toc431748292 \h </w:instrText>
        </w:r>
        <w:r w:rsidR="00961337">
          <w:rPr>
            <w:rStyle w:val="Hyperlink"/>
            <w:noProof/>
            <w:rtl/>
          </w:rPr>
        </w:r>
        <w:r w:rsidR="00961337">
          <w:rPr>
            <w:rStyle w:val="Hyperlink"/>
            <w:noProof/>
            <w:rtl/>
          </w:rPr>
          <w:fldChar w:fldCharType="separate"/>
        </w:r>
        <w:r w:rsidR="00961337">
          <w:rPr>
            <w:noProof/>
            <w:webHidden/>
          </w:rPr>
          <w:t>5</w:t>
        </w:r>
        <w:r w:rsidR="00961337">
          <w:rPr>
            <w:rStyle w:val="Hyperlink"/>
            <w:noProof/>
            <w:rtl/>
          </w:rPr>
          <w:fldChar w:fldCharType="end"/>
        </w:r>
      </w:hyperlink>
    </w:p>
    <w:p w:rsidR="0064364A" w:rsidRDefault="00961337" w:rsidP="00EE4C0B">
      <w:pPr>
        <w:bidi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/>
          <w:sz w:val="28"/>
          <w:szCs w:val="28"/>
          <w:rtl/>
          <w:lang w:bidi="fa-IR"/>
        </w:rPr>
        <w:fldChar w:fldCharType="end"/>
      </w:r>
    </w:p>
    <w:p w:rsidR="0064364A" w:rsidRDefault="0064364A">
      <w:pPr>
        <w:spacing w:after="0" w:line="240" w:lineRule="auto"/>
        <w:rPr>
          <w:rFonts w:cs="B Badr"/>
          <w:sz w:val="28"/>
          <w:szCs w:val="28"/>
          <w:rtl/>
          <w:lang w:bidi="fa-IR"/>
        </w:rPr>
      </w:pPr>
      <w:r>
        <w:rPr>
          <w:rFonts w:cs="B Badr"/>
          <w:sz w:val="28"/>
          <w:szCs w:val="28"/>
          <w:rtl/>
          <w:lang w:bidi="fa-IR"/>
        </w:rPr>
        <w:br w:type="page"/>
      </w:r>
    </w:p>
    <w:p w:rsidR="003072DD" w:rsidRPr="0064364A" w:rsidRDefault="003072DD" w:rsidP="0064364A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1748283"/>
      <w:r w:rsidRPr="0064364A">
        <w:rPr>
          <w:rFonts w:ascii="IRBadr" w:hAnsi="IRBadr" w:cs="IRBadr"/>
          <w:rtl/>
        </w:rPr>
        <w:lastRenderedPageBreak/>
        <w:t>تقسیمات اجتهاد</w:t>
      </w:r>
      <w:bookmarkEnd w:id="1"/>
    </w:p>
    <w:p w:rsidR="003072DD" w:rsidRPr="0064364A" w:rsidRDefault="003072DD" w:rsidP="0064364A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1748284"/>
      <w:r w:rsidRPr="0064364A">
        <w:rPr>
          <w:rFonts w:ascii="IRBadr" w:hAnsi="IRBadr" w:cs="IRBadr"/>
          <w:rtl/>
        </w:rPr>
        <w:t>مرور بحث سابق</w:t>
      </w:r>
      <w:bookmarkEnd w:id="2"/>
    </w:p>
    <w:p w:rsidR="003072DD" w:rsidRPr="0064364A" w:rsidRDefault="003072D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>در جلسه گذشته به این نکته اشاره شد که برای اجتهاد تقسیماتی وجود دارد.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بر اساس منابع و مناهج،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بر اساس متعلق موضوع و در مواردی نیز بر اساس اطلاق و تجزی این تقسیمات صورت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می‌پذیرد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که عرض شد تقسیم آخر بر اساس قدرت بر استنباط است.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در قبال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از مطلق و متجزی از امکان و وقوع مطالبی بیان شد.</w:t>
      </w:r>
    </w:p>
    <w:p w:rsidR="003072DD" w:rsidRPr="0064364A" w:rsidRDefault="003072DD" w:rsidP="0064364A">
      <w:pPr>
        <w:pStyle w:val="Heading2"/>
        <w:spacing w:line="360" w:lineRule="auto"/>
        <w:rPr>
          <w:rFonts w:ascii="IRBadr" w:hAnsi="IRBadr" w:cs="IRBadr"/>
          <w:rtl/>
        </w:rPr>
      </w:pPr>
      <w:bookmarkStart w:id="3" w:name="_Toc431748285"/>
      <w:r w:rsidRPr="0064364A">
        <w:rPr>
          <w:rFonts w:ascii="IRBadr" w:hAnsi="IRBadr" w:cs="IRBadr"/>
          <w:rtl/>
        </w:rPr>
        <w:t>مناقشه در امکان اجتهاد متجزی</w:t>
      </w:r>
      <w:bookmarkEnd w:id="3"/>
    </w:p>
    <w:p w:rsidR="003072DD" w:rsidRPr="0064364A" w:rsidRDefault="003072D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دو استدلال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عدم امکان اجتهاد متجزی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بود؛ استدلال اول که به مقوله کیفیات نفسانی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برمی‌گشت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و بیانی فلسفی بود و کیف را در فلسفه به چهار قسم تقسیم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که یک قسم از آن کیفیات نفسانی درونی ماست که شامل علم،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اراده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،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صفات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،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روحیات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توانایی‌ها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072DD" w:rsidRPr="0064364A" w:rsidRDefault="003072D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طبق تحلیل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فلسفه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ما کیفیات نفسانی از مقوله مجردات است و بسیط به شمار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.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حقیقت این صور نفسانی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قابل‌تقسیم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قائل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که مادی نیست.</w:t>
      </w:r>
    </w:p>
    <w:p w:rsidR="003072DD" w:rsidRPr="0064364A" w:rsidRDefault="003072DD" w:rsidP="0064364A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1748286"/>
      <w:r w:rsidRPr="0064364A">
        <w:rPr>
          <w:rFonts w:ascii="IRBadr" w:hAnsi="IRBadr" w:cs="IRBadr"/>
          <w:rtl/>
        </w:rPr>
        <w:t>پاسخ به مناقشه فوق</w:t>
      </w:r>
      <w:bookmarkEnd w:id="4"/>
    </w:p>
    <w:p w:rsidR="00294644" w:rsidRPr="0064364A" w:rsidRDefault="003072D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پاسخ به این سؤال 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از گشته رایج بوده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و معمولاً مرحوم اصفهانی در تعلیق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ه خود بر کفایه این مباحث را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دقیق‌تر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نقل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>.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</w:p>
    <w:p w:rsidR="008525FD" w:rsidRPr="0064364A" w:rsidRDefault="00C21812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عدم قبول انقسام و تجزی و تبعض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درآن‌واحد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اولیه 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کیف نفسانی است، نه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جمع شده است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>.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گفت مقصود از علم دو حالت است،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علم اولین هسته و واحدی است که علم از آن به دست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که این امر بسیطی است و گاهی </w:t>
      </w:r>
      <w:r w:rsidR="00E31774" w:rsidRPr="0064364A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قضایا مقصود است که این مورد قابل انقسام است.</w:t>
      </w:r>
    </w:p>
    <w:p w:rsidR="00294644" w:rsidRPr="0064364A" w:rsidRDefault="00E31774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در</w:t>
      </w:r>
      <w:r w:rsidR="00294644" w:rsidRPr="0064364A">
        <w:rPr>
          <w:rFonts w:ascii="IRBadr" w:hAnsi="IRBadr" w:cs="IRBadr"/>
          <w:sz w:val="28"/>
          <w:szCs w:val="28"/>
          <w:rtl/>
          <w:lang w:bidi="fa-IR"/>
        </w:rPr>
        <w:t xml:space="preserve"> اینجا مقصود ما قسم دوم است که تجزی در آن مانعی ندارد.</w:t>
      </w:r>
    </w:p>
    <w:p w:rsidR="00E970D7" w:rsidRPr="0064364A" w:rsidRDefault="00E970D7" w:rsidP="0064364A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1748287"/>
      <w:r w:rsidRPr="0064364A">
        <w:rPr>
          <w:rFonts w:ascii="IRBadr" w:hAnsi="IRBadr" w:cs="IRBadr"/>
          <w:rtl/>
        </w:rPr>
        <w:t>تشابک مسائل فقهی</w:t>
      </w:r>
      <w:bookmarkEnd w:id="5"/>
    </w:p>
    <w:p w:rsidR="00E970D7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ممکن است کسی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بگوید که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مسائل فقهی یک شبکه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درهم‌تنیده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و یک منظومه منسجم است که بین آن‌ها علائق و روابط خیلی محکمی برقرار است. فرض کنید کسی در فیزیک بگوید؛ فیزیک امروز ده باب مهمی دارد که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 xml:space="preserve"> به‌گونه‌ای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به هم پیوند خورده است و تجانس و تشابک میان آن‌ها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برقرارشده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 که پایه‌های مشترک بین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آمده است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و همه در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 xml:space="preserve">یکدیگر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>تأثیری دارند و ظروف مرتبته هستند،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 نمی‌شود آ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ن‌ها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از هم جدا کرد.</w:t>
      </w:r>
    </w:p>
    <w:p w:rsidR="00E970D7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اگر کسی بخواهد در حدود و دیات توانایی بر استنباط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 پیدا کند، باید یک نوع ممارست،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آشنایی و توانمندی در طهارت و صلات هم داشته باشد. این قابل تبعیض و تفکیک نیست.</w:t>
      </w:r>
    </w:p>
    <w:p w:rsidR="00E970D7" w:rsidRPr="0064364A" w:rsidRDefault="00E970D7" w:rsidP="0064364A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1748288"/>
      <w:r w:rsidRPr="0064364A">
        <w:rPr>
          <w:rFonts w:ascii="IRBadr" w:hAnsi="IRBadr" w:cs="IRBadr"/>
          <w:rtl/>
        </w:rPr>
        <w:t>پاسخ استدلال فوق</w:t>
      </w:r>
      <w:bookmarkEnd w:id="6"/>
    </w:p>
    <w:p w:rsidR="00E970D7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این وجه دیگری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است که ممکن است کسی در اینجا مطرح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کند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و پاسخ این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ن است که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تشابک و تجانس و در هم تنیدگی ادعایی است که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استدلال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و شاهد عینی بر آن نیست.</w:t>
      </w:r>
    </w:p>
    <w:p w:rsidR="00E970D7" w:rsidRPr="0064364A" w:rsidRDefault="00535771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قابل‌تصور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از مسائل با اصول و قواعد پایه </w:t>
      </w:r>
      <w:r>
        <w:rPr>
          <w:rFonts w:ascii="IRBadr" w:hAnsi="IRBadr" w:cs="IRBadr"/>
          <w:sz w:val="28"/>
          <w:szCs w:val="28"/>
          <w:rtl/>
          <w:lang w:bidi="fa-IR"/>
        </w:rPr>
        <w:t>گره‌خورده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باشد که نیازی به آن اصول و قواعد پایه که در جای دیگری از اصول یا اجتهاد آمده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نداشته باشد. این </w:t>
      </w: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متصور است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>. گرچه این مطلبی که شما گفتید،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مطلب خوبی است و باز تا حد زیادی </w:t>
      </w:r>
      <w:r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ن فقه که بر این اصول </w:t>
      </w:r>
      <w:r>
        <w:rPr>
          <w:rFonts w:ascii="IRBadr" w:hAnsi="IRBadr" w:cs="IRBadr"/>
          <w:sz w:val="28"/>
          <w:szCs w:val="28"/>
          <w:rtl/>
          <w:lang w:bidi="fa-IR"/>
        </w:rPr>
        <w:t>استوارشده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انسجام و 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درهم تنیدگی دارد و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اگر کسی بخواهد 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به یک نقطه کاملاً مطلوب و </w:t>
      </w:r>
      <w:r>
        <w:rPr>
          <w:rFonts w:ascii="IRBadr" w:hAnsi="IRBadr" w:cs="IRBadr"/>
          <w:sz w:val="28"/>
          <w:szCs w:val="28"/>
          <w:rtl/>
          <w:lang w:bidi="fa-IR"/>
        </w:rPr>
        <w:t>ایدئال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برسد، باید همه این‌ها را بداند.</w:t>
      </w:r>
    </w:p>
    <w:p w:rsidR="00E970D7" w:rsidRPr="0064364A" w:rsidRDefault="00E970D7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970D7" w:rsidRPr="0064364A" w:rsidRDefault="00535771" w:rsidP="0064364A">
      <w:pPr>
        <w:pStyle w:val="Heading2"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lastRenderedPageBreak/>
        <w:t>جمع‌بندی</w:t>
      </w:r>
    </w:p>
    <w:p w:rsidR="00E970D7" w:rsidRPr="0064364A" w:rsidRDefault="00535771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>،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 سخن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حرف درستی است، اما اینکه بشود پذیرفت که هر تک </w:t>
      </w:r>
      <w:r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با همه مسائل دیگر فقه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 در ارتباط است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و پایه‌های مشترکی است که در همه وجود دارد و </w:t>
      </w:r>
      <w:r>
        <w:rPr>
          <w:rFonts w:ascii="IRBadr" w:hAnsi="IRBadr" w:cs="IRBadr"/>
          <w:sz w:val="28"/>
          <w:szCs w:val="28"/>
          <w:rtl/>
          <w:lang w:bidi="fa-IR"/>
        </w:rPr>
        <w:t>قابل‌تفکیک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نیست، این ادعا </w:t>
      </w:r>
      <w:r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مطلق </w:t>
      </w:r>
      <w:r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8157BD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فرض بگیرید کسی وارد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می‌شود که در آنجا روایاتی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دارد و با جمع روایات می‌تواند به نتیجه برسد. از اصول عملیه خبر ندارد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قدرت اجتهاد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استنباط ندارد. </w:t>
      </w:r>
      <w:r w:rsidR="00E970D7" w:rsidRPr="0064364A">
        <w:rPr>
          <w:rFonts w:ascii="IRBadr" w:hAnsi="IRBadr" w:cs="IRBadr"/>
          <w:sz w:val="28"/>
          <w:szCs w:val="28"/>
          <w:rtl/>
          <w:lang w:bidi="fa-IR"/>
        </w:rPr>
        <w:t>و در اصول عملیه اتخاذ مبنا ننموده است.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در خیلی از مسائل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مبتنی بر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رجال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و حدیث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>را می‌داند.</w:t>
      </w:r>
    </w:p>
    <w:p w:rsidR="00F17B27" w:rsidRPr="0064364A" w:rsidRDefault="00F17B27" w:rsidP="0064364A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1748290"/>
      <w:r w:rsidRPr="0064364A">
        <w:rPr>
          <w:rFonts w:ascii="IRBadr" w:hAnsi="IRBadr" w:cs="IRBadr"/>
          <w:rtl/>
        </w:rPr>
        <w:t>مراد از انسجام کلی در فقه</w:t>
      </w:r>
      <w:bookmarkEnd w:id="7"/>
    </w:p>
    <w:p w:rsidR="00F17B27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این انسجام کلی معنایش این نیست که در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هرجایی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به همه این‌ها نیاز داریم. واقعاً نیاز نیست.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بلکه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سلسله وسیعی از مسائل است که اگر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 xml:space="preserve">کسی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ملازمات عقلیه را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بداند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می‌تواند استنباط کند. ولو آن بخش‌ها </w:t>
      </w:r>
      <w:r w:rsidR="008157BD" w:rsidRPr="0064364A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کارنکرده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باشد. البته این مطلب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مطلب درستی است. خیلی 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>امور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درهم‌تنیده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است. واقعاً اجتهاد تجزی هم 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 xml:space="preserve">اگر بخواهد حاصل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شود، بخش زیادی از اصول یا رجال 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 xml:space="preserve">به آن نیاز دارد، ولی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نیست که عقلاً یا وقوعاً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قابل‌تصور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نباشد، این تبعض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قابل‌تصور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17B27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منتها این استدلا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>ل دوم توجه خوبی را به ما می‌دهد.</w:t>
      </w:r>
    </w:p>
    <w:p w:rsidR="00F17B27" w:rsidRPr="0064364A" w:rsidRDefault="00F17B27" w:rsidP="0064364A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1748291"/>
      <w:r w:rsidRPr="0064364A">
        <w:rPr>
          <w:rFonts w:ascii="IRBadr" w:hAnsi="IRBadr" w:cs="IRBadr"/>
          <w:rtl/>
        </w:rPr>
        <w:t>لزوم اطمینان به استفراغ وسع</w:t>
      </w:r>
      <w:bookmarkEnd w:id="8"/>
    </w:p>
    <w:p w:rsidR="00F17B27" w:rsidRPr="0064364A" w:rsidRDefault="00535771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بعدازاینکه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اصل این دو استدلال مطرح شد و هر دو پاسخ داده شد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>،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فتحصل که اجتهاد به نحو تجزی </w:t>
      </w: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معقول و متصور است. و </w:t>
      </w:r>
      <w:r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به خاطر این نکته دومی که گفته شد، خیلی بایستی توجه کرد که تجزی شخص باید واقعاً به یک اطمینانی برسد که در این حوزه </w:t>
      </w:r>
      <w:r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اینکه 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>موارد دیگر را نمی‌داند و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>
        <w:rPr>
          <w:rFonts w:ascii="IRBadr" w:hAnsi="IRBadr" w:cs="IRBadr"/>
          <w:sz w:val="28"/>
          <w:szCs w:val="28"/>
          <w:rtl/>
          <w:lang w:bidi="fa-IR"/>
        </w:rPr>
        <w:t>بخش‌ها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 xml:space="preserve">قدرتی 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>ندارد، مطمئن باشد که این</w:t>
      </w:r>
      <w:r w:rsidR="00F17B27" w:rsidRPr="0064364A">
        <w:rPr>
          <w:rFonts w:ascii="IRBadr" w:hAnsi="IRBadr" w:cs="IRBadr"/>
          <w:sz w:val="28"/>
          <w:szCs w:val="28"/>
          <w:rtl/>
          <w:lang w:bidi="fa-IR"/>
        </w:rPr>
        <w:t>جا دیگر به آن‌ها گره نخورده است.</w:t>
      </w:r>
    </w:p>
    <w:p w:rsidR="0064364A" w:rsidRPr="0064364A" w:rsidRDefault="00535771" w:rsidP="0064364A">
      <w:pPr>
        <w:pStyle w:val="Heading2"/>
        <w:spacing w:line="360" w:lineRule="auto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lastRenderedPageBreak/>
        <w:t>نتیجه‌گیری</w:t>
      </w:r>
    </w:p>
    <w:p w:rsidR="0064364A" w:rsidRPr="0064364A" w:rsidRDefault="008525FD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>لذا باید اطمینانی</w:t>
      </w:r>
      <w:r w:rsidR="0064364A" w:rsidRPr="0064364A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داشته باشد. یعنی اولاً </w:t>
      </w:r>
      <w:r w:rsidR="00535771">
        <w:rPr>
          <w:rFonts w:ascii="IRBadr" w:hAnsi="IRBadr" w:cs="IRBadr"/>
          <w:sz w:val="28"/>
          <w:szCs w:val="28"/>
          <w:rtl/>
          <w:lang w:bidi="fa-IR"/>
        </w:rPr>
        <w:t>اطلاعات‌پایه‌ای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364A" w:rsidRPr="0064364A">
        <w:rPr>
          <w:rFonts w:ascii="IRBadr" w:hAnsi="IRBadr" w:cs="IRBadr"/>
          <w:sz w:val="28"/>
          <w:szCs w:val="28"/>
          <w:rtl/>
          <w:lang w:bidi="fa-IR"/>
        </w:rPr>
        <w:t>را باید داشته باشد و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یک دوره اصاله المکاسب و کفایه خوانده باشد، بعد هم اطمینانی داشته باشد که آن قسمت از فقه یا قسمت از اصول در این</w:t>
      </w:r>
      <w:r w:rsidR="0064364A" w:rsidRPr="0064364A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اثری ندارد.</w:t>
      </w:r>
    </w:p>
    <w:p w:rsidR="008525FD" w:rsidRPr="0064364A" w:rsidRDefault="0064364A" w:rsidP="0064364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بنابراین تجزی معقول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و متصور است. هم به شکل باب دون باب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 xml:space="preserve"> هم به شکل مجموعه مسائلی که در قالب‌های بابی نمی‌گنجد. ثانیاً اینکه احتیاط و حزم و احتیاط </w:t>
      </w:r>
      <w:r w:rsidRPr="0064364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8525FD" w:rsidRPr="0064364A">
        <w:rPr>
          <w:rFonts w:ascii="IRBadr" w:hAnsi="IRBadr" w:cs="IRBadr"/>
          <w:sz w:val="28"/>
          <w:szCs w:val="28"/>
          <w:rtl/>
          <w:lang w:bidi="fa-IR"/>
        </w:rPr>
        <w:t>اینجا لازم است، به خاطر اینکه استفراغ وسع شرط است و اطمینان از اینکه آنی که در ابواب دیگر هست، چه ابواب اصول یا ابواب فقه اثر ملموس و جدی روی این بحث ندارد.</w:t>
      </w:r>
    </w:p>
    <w:p w:rsidR="00152670" w:rsidRPr="0064364A" w:rsidRDefault="00152670" w:rsidP="0064364A">
      <w:pPr>
        <w:spacing w:line="360" w:lineRule="auto"/>
        <w:jc w:val="both"/>
        <w:rPr>
          <w:rFonts w:ascii="IRBadr" w:hAnsi="IRBadr" w:cs="IRBadr"/>
        </w:rPr>
      </w:pPr>
    </w:p>
    <w:sectPr w:rsidR="00152670" w:rsidRPr="0064364A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66" w:rsidRDefault="00E23366" w:rsidP="000D5800">
      <w:pPr>
        <w:spacing w:after="0"/>
      </w:pPr>
      <w:r>
        <w:separator/>
      </w:r>
    </w:p>
  </w:endnote>
  <w:endnote w:type="continuationSeparator" w:id="0">
    <w:p w:rsidR="00E23366" w:rsidRDefault="00E2336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71" w:rsidRDefault="00535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7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71" w:rsidRDefault="00535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66" w:rsidRDefault="00E23366" w:rsidP="000D5800">
      <w:pPr>
        <w:spacing w:after="0"/>
      </w:pPr>
      <w:r>
        <w:separator/>
      </w:r>
    </w:p>
  </w:footnote>
  <w:footnote w:type="continuationSeparator" w:id="0">
    <w:p w:rsidR="00E23366" w:rsidRDefault="00E2336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71" w:rsidRDefault="00535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C2181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18F167" wp14:editId="2EF1D12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F33A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  <w:lang w:bidi="fa-IR"/>
      </w:rPr>
      <w:drawing>
        <wp:inline distT="0" distB="0" distL="0" distR="0" wp14:anchorId="0DF1FC72" wp14:editId="176E602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E31774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21812">
      <w:rPr>
        <w:rFonts w:ascii="IranNastaliq" w:hAnsi="IranNastaliq" w:cs="IranNastaliq" w:hint="cs"/>
        <w:sz w:val="40"/>
        <w:szCs w:val="40"/>
        <w:rtl/>
      </w:rPr>
      <w:t>4545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71" w:rsidRDefault="00535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12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4644"/>
    <w:rsid w:val="00297263"/>
    <w:rsid w:val="002C56FD"/>
    <w:rsid w:val="002D49E4"/>
    <w:rsid w:val="002E450B"/>
    <w:rsid w:val="002E73F9"/>
    <w:rsid w:val="002F05B9"/>
    <w:rsid w:val="003072DD"/>
    <w:rsid w:val="00340BA3"/>
    <w:rsid w:val="00366400"/>
    <w:rsid w:val="003963D7"/>
    <w:rsid w:val="00396F28"/>
    <w:rsid w:val="003A1A05"/>
    <w:rsid w:val="003A2654"/>
    <w:rsid w:val="003C06BF"/>
    <w:rsid w:val="003C1D2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F3596"/>
    <w:rsid w:val="00530FD7"/>
    <w:rsid w:val="00535771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4364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57BD"/>
    <w:rsid w:val="008407A4"/>
    <w:rsid w:val="00844860"/>
    <w:rsid w:val="00845CC4"/>
    <w:rsid w:val="008525FD"/>
    <w:rsid w:val="00862F76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37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1812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3689D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3B06"/>
    <w:rsid w:val="00E143B0"/>
    <w:rsid w:val="00E23366"/>
    <w:rsid w:val="00E31774"/>
    <w:rsid w:val="00E55891"/>
    <w:rsid w:val="00E6283A"/>
    <w:rsid w:val="00E732A3"/>
    <w:rsid w:val="00E83A85"/>
    <w:rsid w:val="00E90FC4"/>
    <w:rsid w:val="00E970D7"/>
    <w:rsid w:val="00EA01EC"/>
    <w:rsid w:val="00EA15B0"/>
    <w:rsid w:val="00EA5D97"/>
    <w:rsid w:val="00EC4393"/>
    <w:rsid w:val="00EE1C07"/>
    <w:rsid w:val="00EE2C91"/>
    <w:rsid w:val="00EE3979"/>
    <w:rsid w:val="00EE4C0B"/>
    <w:rsid w:val="00EF138C"/>
    <w:rsid w:val="00F034CE"/>
    <w:rsid w:val="00F10A0F"/>
    <w:rsid w:val="00F17B27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E6C42E-AF1C-46F2-A448-5DEBB72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C218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2340-CFA2-4833-A824-52F1E0DA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79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5</cp:revision>
  <dcterms:created xsi:type="dcterms:W3CDTF">2015-01-19T04:19:00Z</dcterms:created>
  <dcterms:modified xsi:type="dcterms:W3CDTF">2015-10-05T01:17:00Z</dcterms:modified>
</cp:coreProperties>
</file>