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B6" w:rsidRDefault="009C6A3D" w:rsidP="00E66AB6">
      <w:pPr>
        <w:bidi/>
        <w:spacing w:line="360" w:lineRule="auto"/>
        <w:jc w:val="both"/>
        <w:rPr>
          <w:noProof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61330" w:rsidRPr="00E66AB6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E66AB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E66A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66AB6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E66AB6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E66AB6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E66A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66AB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E66AB6" w:rsidRDefault="00E66AB6" w:rsidP="00E66A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3" w:history="1">
        <w:r w:rsidRPr="007006BD">
          <w:rPr>
            <w:rStyle w:val="Hyperlink"/>
            <w:rFonts w:hint="eastAsia"/>
            <w:noProof/>
            <w:rtl/>
          </w:rPr>
          <w:t>مقدمات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اجتهاد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و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تقل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4" w:history="1">
        <w:r w:rsidRPr="007006BD">
          <w:rPr>
            <w:rStyle w:val="Hyperlink"/>
            <w:rFonts w:hint="eastAsia"/>
            <w:noProof/>
            <w:rtl/>
          </w:rPr>
          <w:t>مرور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بحث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5" w:history="1">
        <w:r>
          <w:rPr>
            <w:rStyle w:val="Hyperlink"/>
            <w:rFonts w:hint="eastAsia"/>
            <w:noProof/>
            <w:rtl/>
          </w:rPr>
          <w:t>جمع‌بندی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تقس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مات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6" w:history="1">
        <w:r w:rsidRPr="007006BD">
          <w:rPr>
            <w:rStyle w:val="Hyperlink"/>
            <w:rFonts w:hint="eastAsia"/>
            <w:noProof/>
            <w:rtl/>
          </w:rPr>
          <w:t>استنباط</w:t>
        </w:r>
        <w:r w:rsidRPr="007006BD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باملاحظه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مقدمات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7" w:history="1">
        <w:r w:rsidRPr="007006BD">
          <w:rPr>
            <w:rStyle w:val="Hyperlink"/>
            <w:rFonts w:hint="eastAsia"/>
            <w:noProof/>
            <w:rtl/>
          </w:rPr>
          <w:t>قسم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8" w:history="1">
        <w:r w:rsidRPr="007006BD">
          <w:rPr>
            <w:rStyle w:val="Hyperlink"/>
            <w:rFonts w:hint="eastAsia"/>
            <w:noProof/>
            <w:rtl/>
          </w:rPr>
          <w:t>قسم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59" w:history="1">
        <w:r w:rsidRPr="007006BD">
          <w:rPr>
            <w:rStyle w:val="Hyperlink"/>
            <w:rFonts w:hint="eastAsia"/>
            <w:noProof/>
            <w:rtl/>
          </w:rPr>
          <w:t>قسم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_Toc431813359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60" w:history="1">
        <w:r>
          <w:rPr>
            <w:rStyle w:val="Hyperlink"/>
            <w:rFonts w:hint="eastAsia"/>
            <w:noProof/>
            <w:rtl/>
          </w:rPr>
          <w:t>نتیجه‌گیری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_Toc431813360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13361" w:history="1">
        <w:r w:rsidRPr="007006BD">
          <w:rPr>
            <w:rStyle w:val="Hyperlink"/>
            <w:rFonts w:hint="eastAsia"/>
            <w:noProof/>
            <w:rtl/>
          </w:rPr>
          <w:t>فروض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د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گر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در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ا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ن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_Toc431813361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813362" w:history="1">
        <w:r w:rsidRPr="007006BD">
          <w:rPr>
            <w:rStyle w:val="Hyperlink"/>
            <w:rFonts w:hint="eastAsia"/>
            <w:noProof/>
            <w:rtl/>
          </w:rPr>
          <w:t>توسط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در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813363" w:history="1">
        <w:r w:rsidRPr="007006BD">
          <w:rPr>
            <w:rStyle w:val="Hyperlink"/>
            <w:rFonts w:hint="eastAsia"/>
            <w:noProof/>
            <w:rtl/>
          </w:rPr>
          <w:t>مناصب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مجتهد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813364" w:history="1">
        <w:r w:rsidRPr="007006BD">
          <w:rPr>
            <w:rStyle w:val="Hyperlink"/>
            <w:rFonts w:hint="eastAsia"/>
            <w:noProof/>
            <w:rtl/>
          </w:rPr>
          <w:t>سا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ر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مناصب</w:t>
        </w:r>
        <w:r w:rsidRPr="007006BD">
          <w:rPr>
            <w:rStyle w:val="Hyperlink"/>
            <w:noProof/>
            <w:rtl/>
          </w:rPr>
          <w:t xml:space="preserve"> </w:t>
        </w:r>
        <w:r w:rsidRPr="007006BD">
          <w:rPr>
            <w:rStyle w:val="Hyperlink"/>
            <w:rFonts w:hint="eastAsia"/>
            <w:noProof/>
            <w:rtl/>
          </w:rPr>
          <w:t>فق</w:t>
        </w:r>
        <w:r w:rsidRPr="007006BD">
          <w:rPr>
            <w:rStyle w:val="Hyperlink"/>
            <w:rFonts w:hint="cs"/>
            <w:noProof/>
            <w:rtl/>
          </w:rPr>
          <w:t>ی</w:t>
        </w:r>
        <w:r w:rsidRPr="007006B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_Toc431813364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66AB6" w:rsidRDefault="00E66AB6" w:rsidP="00E66AB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66AB6" w:rsidRDefault="00E66AB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934762" w:rsidRPr="00E66AB6" w:rsidRDefault="00934762" w:rsidP="00E66AB6">
      <w:pPr>
        <w:pStyle w:val="Heading1"/>
        <w:rPr>
          <w:rtl/>
        </w:rPr>
      </w:pPr>
      <w:bookmarkStart w:id="0" w:name="_Toc431813353"/>
      <w:r w:rsidRPr="00E66AB6">
        <w:rPr>
          <w:rtl/>
        </w:rPr>
        <w:lastRenderedPageBreak/>
        <w:t>مقدمات اجتهاد و تقلید</w:t>
      </w:r>
      <w:bookmarkEnd w:id="0"/>
    </w:p>
    <w:p w:rsidR="00934762" w:rsidRPr="00E66AB6" w:rsidRDefault="00934762" w:rsidP="00E66AB6">
      <w:pPr>
        <w:pStyle w:val="Heading1"/>
        <w:rPr>
          <w:rtl/>
        </w:rPr>
      </w:pPr>
      <w:bookmarkStart w:id="1" w:name="_Toc431813354"/>
      <w:r w:rsidRPr="00E66AB6">
        <w:rPr>
          <w:rtl/>
        </w:rPr>
        <w:t>مرور بحث گذشته</w:t>
      </w:r>
      <w:bookmarkEnd w:id="1"/>
    </w:p>
    <w:p w:rsidR="00934762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مقدمه سی‌ام از مقدماتی که در باب اجتهاد و ت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>قلید آوردیم، تقسیمات اجتهاد بود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که تقسیمات را عمدتاً ملاحظه کردید. البته احکامی که بر این اقسام و تقسیمات مترتب می‌شود، بخشی را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خیلی گذرا مطرح کردیم و عمدتاً در طی مباحث و فروعی که در خود عروه آمده است یا در ذیل آن‌ها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ست،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به‌تناسب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 مباحثی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مطرح خواهیم کرد. عمده چیزی که اینجا بود، تصویر آن تقسیمات و اقسام بود.</w:t>
      </w:r>
    </w:p>
    <w:p w:rsidR="00934762" w:rsidRPr="00E66AB6" w:rsidRDefault="00E66AB6" w:rsidP="00E66AB6">
      <w:pPr>
        <w:pStyle w:val="Heading1"/>
        <w:rPr>
          <w:rtl/>
        </w:rPr>
      </w:pPr>
      <w:bookmarkStart w:id="2" w:name="_Toc431813355"/>
      <w:r>
        <w:rPr>
          <w:rtl/>
        </w:rPr>
        <w:t>جمع‌بندی</w:t>
      </w:r>
      <w:r w:rsidR="00934762" w:rsidRPr="00E66AB6">
        <w:rPr>
          <w:rtl/>
        </w:rPr>
        <w:t xml:space="preserve"> تقسیمات</w:t>
      </w:r>
      <w:bookmarkEnd w:id="2"/>
    </w:p>
    <w:p w:rsidR="00934762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بعد از عبور از این تقسیمات من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بابیان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دیگری 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یا تبیین دیگری 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باشد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عرض می‌کنم. بنابراین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می‌خواهم 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بدان بپردازم،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نوع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یا تقریر و تحریر دیگری از این تقسیماتی است که ملاحظه شد.</w:t>
      </w:r>
    </w:p>
    <w:p w:rsidR="00934762" w:rsidRPr="00E66AB6" w:rsidRDefault="00934762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بدین گونه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>اجتهاد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به‌اصطلاح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کلی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به اجتهاد مطلق و متجزی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یا علی النحو تجزی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تقسیم می‌شود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. منتها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است که تقسیم اجتهاد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از بحث مبادی و مقدمات مطرح می‌کنیم.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است که اجتهاد را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باملاحظه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مبادی و مقدمات در نظر می‌گیر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ی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>م.</w:t>
      </w:r>
    </w:p>
    <w:p w:rsidR="00934762" w:rsidRPr="00E66AB6" w:rsidRDefault="00934762" w:rsidP="00E66AB6">
      <w:pPr>
        <w:pStyle w:val="Heading2"/>
        <w:rPr>
          <w:rtl/>
        </w:rPr>
      </w:pPr>
      <w:bookmarkStart w:id="3" w:name="_Toc431813356"/>
      <w:r w:rsidRPr="00E66AB6">
        <w:rPr>
          <w:rtl/>
        </w:rPr>
        <w:t>ا</w:t>
      </w:r>
      <w:r w:rsidRPr="00E66AB6">
        <w:rPr>
          <w:rtl/>
        </w:rPr>
        <w:t>س</w:t>
      </w:r>
      <w:r w:rsidR="00E66AB6">
        <w:rPr>
          <w:rtl/>
        </w:rPr>
        <w:t>تنباط باملاحظه</w:t>
      </w:r>
      <w:r w:rsidR="00E66AB6">
        <w:rPr>
          <w:rFonts w:hint="cs"/>
          <w:rtl/>
        </w:rPr>
        <w:t xml:space="preserve"> مقدمات</w:t>
      </w:r>
      <w:bookmarkEnd w:id="3"/>
    </w:p>
    <w:p w:rsidR="00934762" w:rsidRPr="00E66AB6" w:rsidRDefault="00934762" w:rsidP="00E66AB6">
      <w:pPr>
        <w:pStyle w:val="Heading2"/>
        <w:rPr>
          <w:rtl/>
        </w:rPr>
      </w:pPr>
      <w:bookmarkStart w:id="4" w:name="_Toc431813357"/>
      <w:r w:rsidRPr="00E66AB6">
        <w:rPr>
          <w:rtl/>
        </w:rPr>
        <w:t>قسم اول</w:t>
      </w:r>
      <w:bookmarkEnd w:id="4"/>
    </w:p>
    <w:p w:rsid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حالت دوم آنجایی است که استنباط را با مقدمات آن نگاه می‌کنیم که نگاه عمقی و عمودی است. محور اول از تقسیمات که گذشت، بر مبنای تقسیم اجتهاد با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از جداسازی خود او و مقدماتش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>.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کل</w:t>
      </w:r>
      <w:r w:rsidR="00E66AB6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اجتهاد را در محور اول به مطلق و متجزی به سه معنا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>تقسیم می‌کنیم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کردید.</w:t>
      </w:r>
    </w:p>
    <w:p w:rsidR="00934762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مطلق و متجزی در قدرت بر استنباط که غالباً اطلاق و تجزی به این معنا بود.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گاهی اجتهاد به نحوی است که در همه ابواب و فروعات و مسائل وجود دارد. یعنی قدرت در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است. گاهی نه این قدرت محدود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دون جایی است. با مراتبی که داشت.</w:t>
      </w:r>
    </w:p>
    <w:p w:rsidR="00BB5078" w:rsidRPr="00E66AB6" w:rsidRDefault="00BB5078" w:rsidP="00E66AB6">
      <w:pPr>
        <w:pStyle w:val="Heading2"/>
        <w:rPr>
          <w:rtl/>
        </w:rPr>
      </w:pPr>
      <w:bookmarkStart w:id="5" w:name="_Toc431813358"/>
      <w:r w:rsidRPr="00E66AB6">
        <w:rPr>
          <w:rtl/>
        </w:rPr>
        <w:lastRenderedPageBreak/>
        <w:t>قسم دوم</w:t>
      </w:r>
      <w:bookmarkEnd w:id="5"/>
    </w:p>
    <w:p w:rsidR="00E66AB6" w:rsidRDefault="00934762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قسم دوم موردی است که نزد مشهور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>موضوع و مقسم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قدرت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بر استنباط است.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هر دو قسم سابق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متصور است. قسم سوم اطلاق و تجزی به لحاظ استنباط فعلی است که این را بالقوه و بالفعل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می‌گفتند 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که بعد از فراغ از اینکه قدرت بر استنباط در همه ابواب است این تقسیم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می‌آمد. این تقسیم دوم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تقسیم روی همان اجتهاد مطلق به معنای اول است.</w:t>
      </w:r>
    </w:p>
    <w:p w:rsidR="00BB5078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یعنی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که قدرت بر استنباط در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34762" w:rsidRPr="00E66AB6">
        <w:rPr>
          <w:rFonts w:ascii="IRBadr" w:hAnsi="IRBadr" w:cs="IRBadr"/>
          <w:sz w:val="28"/>
          <w:szCs w:val="28"/>
          <w:rtl/>
          <w:lang w:bidi="fa-IR"/>
        </w:rPr>
        <w:t xml:space="preserve">موجود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هست، این تقسیم می‌شود که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فرد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در همه ابواب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 xml:space="preserve">به نحو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استنباط بالفعل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استنباط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 xml:space="preserve"> نموده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است، یا اینکه در بعضی استنباط کرده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در بعضی استنباط نکرده است.</w:t>
      </w:r>
    </w:p>
    <w:p w:rsidR="00BB5078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این هم تقسیم دوم است که مقسم آن اجتهاد مطلق در تقسیم بعدی است.</w:t>
      </w:r>
    </w:p>
    <w:p w:rsidR="00BB5078" w:rsidRPr="00E66AB6" w:rsidRDefault="00BB5078" w:rsidP="00E66AB6">
      <w:pPr>
        <w:pStyle w:val="Heading2"/>
        <w:rPr>
          <w:rtl/>
        </w:rPr>
      </w:pPr>
      <w:bookmarkStart w:id="6" w:name="_Toc431813359"/>
      <w:r w:rsidRPr="00E66AB6">
        <w:rPr>
          <w:rtl/>
        </w:rPr>
        <w:t>قسم سوم</w:t>
      </w:r>
      <w:bookmarkEnd w:id="6"/>
    </w:p>
    <w:p w:rsid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تقسیم سوم هم اطلاق و تبعض به لحاظ اعلمیت است. یعنی بعد از فراغ از اینکه این دارای قدرت استنباط است، می‌تواند در همه ابواب علاوه بر استنباط اعلمیت داشته باشد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این شخص بر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استنباط در بعضی ابواب اعلم باشد 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در بعضی نباشد. البته اینجا قسم سومی هم پیدا می‌کند و آن اینکه در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هیچ‌یک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از ابواب اعلمیت ندارد.</w:t>
      </w:r>
    </w:p>
    <w:p w:rsidR="00BB5078" w:rsidRPr="00E66AB6" w:rsidRDefault="00BB5078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این تقسیم سه‌ضلعی می‌شود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که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می‌شود عنوان اطلاق و تجزی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>یا عنوان‌های دیگر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بر همه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80F04" w:rsidRPr="00E66AB6">
        <w:rPr>
          <w:rFonts w:ascii="IRBadr" w:hAnsi="IRBadr" w:cs="IRBadr"/>
          <w:sz w:val="28"/>
          <w:szCs w:val="28"/>
          <w:rtl/>
          <w:lang w:bidi="fa-IR"/>
        </w:rPr>
        <w:t xml:space="preserve"> بگذاریم.</w:t>
      </w:r>
    </w:p>
    <w:p w:rsidR="00BB5078" w:rsidRPr="00E66AB6" w:rsidRDefault="00E66AB6" w:rsidP="00E66AB6">
      <w:pPr>
        <w:pStyle w:val="Heading2"/>
        <w:rPr>
          <w:rtl/>
        </w:rPr>
      </w:pPr>
      <w:r>
        <w:rPr>
          <w:rtl/>
        </w:rPr>
        <w:t>نتیجه‌گیری</w:t>
      </w:r>
    </w:p>
    <w:p w:rsidR="00BB5078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ولی واقع مسئله این است که در هر سه قسم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اجتهاد یا شمول دارد یا محدود است. منتها در قسم اول شمول و محدودیت نسبت به قدرت بود، در قسم دوم و سوم بعد از مفروضیت قدرت می‌گوید که استنب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اط بالفعلش کامل است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یا محدود است. در تقسیم سوم هم می‌گوید استنباط او در درجه اعلمیت است یا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 xml:space="preserve"> نه؟ که اعلمیت می‌تواند در همه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یا بخشی باشد یا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نباشد. البته این سه تقسیمی است که در کلمات آمده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 xml:space="preserve">به شکل طولی </w:t>
      </w:r>
      <w:r w:rsidR="00BB5078" w:rsidRPr="00E66AB6">
        <w:rPr>
          <w:rFonts w:ascii="IRBadr" w:hAnsi="IRBadr" w:cs="IRBadr"/>
          <w:sz w:val="28"/>
          <w:szCs w:val="28"/>
          <w:rtl/>
          <w:lang w:bidi="fa-IR"/>
        </w:rPr>
        <w:t>در کنار هم قرار می‌گیرد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که عرض کردم.</w:t>
      </w:r>
    </w:p>
    <w:p w:rsidR="00BB5078" w:rsidRPr="00E66AB6" w:rsidRDefault="00E66AB6" w:rsidP="00E66AB6">
      <w:pPr>
        <w:pStyle w:val="Heading2"/>
        <w:rPr>
          <w:rtl/>
        </w:rPr>
      </w:pPr>
      <w:bookmarkStart w:id="7" w:name="_Toc431813361"/>
      <w:r w:rsidRPr="00E66AB6">
        <w:rPr>
          <w:rtl/>
        </w:rPr>
        <w:lastRenderedPageBreak/>
        <w:t>فروض دیگر در این مقام</w:t>
      </w:r>
      <w:bookmarkEnd w:id="7"/>
    </w:p>
    <w:p w:rsid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آنچه اینجا روشن ا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>ست، این است که در این تقسیم سوم ط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بعاً 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>سه ضلع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داریم،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که اشاره شد. بلکه گاهی ممکن است که فرض چهارمی هم وجود داشته باشد و آن فرض چهارم در تقسیم سوم این است که کسی در یک حوزه اجتهاد مطلق ندارد، اجتهادش اجتهاد متجزی است ولی در یک باب اعلم است، یا اعلم نیست.</w:t>
      </w:r>
    </w:p>
    <w:p w:rsidR="00E66AB6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این تقسیم سوم هم می‌شود بر آن قسم اول در آن تقسیم اول مترتب بشود،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هم می‌تواند بر قسم دوم مترتب بشود.</w:t>
      </w:r>
    </w:p>
    <w:p w:rsidR="00E66AB6" w:rsidRPr="00E66AB6" w:rsidRDefault="00B80F04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>همچنین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بر قسم اول در تقسیم دوم و بر قسم دوم در تقسیم دوم،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این اعلمیت در بعضی از ابواب، گاهی با فرض اجتهاد در همه ابواب است. گاهی با فرض این است که در همه ابواب اجتهاد ندارد، ولی در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یکجا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اعلم است یا اعلم نیست. این ملاحظه هم در این تقسیم سوم است. این سه تقسیم بود که در کلمات 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 xml:space="preserve">نیز آمده بود و ما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همه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در قالب یک نوع اطلاق و تبعض </w:t>
      </w:r>
      <w:r w:rsidR="00E66AB6">
        <w:rPr>
          <w:rFonts w:ascii="IRBadr" w:hAnsi="IRBadr" w:cs="IRBadr"/>
          <w:sz w:val="28"/>
          <w:szCs w:val="28"/>
          <w:rtl/>
          <w:lang w:bidi="fa-IR"/>
        </w:rPr>
        <w:t>قراردادیم</w:t>
      </w:r>
      <w:r w:rsidR="00E66AB6" w:rsidRPr="00E66AB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34762" w:rsidRPr="00E66AB6" w:rsidRDefault="00934762" w:rsidP="00E66AB6">
      <w:pPr>
        <w:pStyle w:val="Heading3"/>
        <w:rPr>
          <w:rtl/>
        </w:rPr>
      </w:pPr>
      <w:bookmarkStart w:id="8" w:name="_Toc431813362"/>
      <w:r w:rsidRPr="00E66AB6">
        <w:rPr>
          <w:rtl/>
        </w:rPr>
        <w:t>توسط در اجتهاد</w:t>
      </w:r>
      <w:bookmarkEnd w:id="8"/>
    </w:p>
    <w:p w:rsidR="00934762" w:rsidRPr="00E66AB6" w:rsidRDefault="00934762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اصطلاحی که در باب اجتهاد وجود دارد، توسط در اجتهاد است. مراد از این نوع از اجتهاد، این بوده که فرد در بخشی از امور دارای نظر بوده و در مواردی نیز تقلید می‌کند. البته در باب توسط در اجتهاد دو نظریه وجود دارد. نظری برای مرحوم حائری و جمع دیگری است که معتقدند این توسط جایز است.</w:t>
      </w:r>
    </w:p>
    <w:p w:rsidR="00934762" w:rsidRPr="00E66AB6" w:rsidRDefault="00934762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نظریه دوم نیز از آن مرحوم آقا ضیاء و جمع دیگری است که توسط را جایز نمی‌دانند. توسط یا تجزی و اموری که مربوط به مقدمات و مبادی اجتهاد است، از دو جنبه می‌تواند مورد لحاظ باشد؛ یک جنبه راجع به مجتهد و یک جنبه راجع به مقلد است.</w:t>
      </w:r>
    </w:p>
    <w:p w:rsidR="00CE69A8" w:rsidRPr="00E66AB6" w:rsidRDefault="002828D8" w:rsidP="00E66AB6">
      <w:pPr>
        <w:pStyle w:val="Heading3"/>
        <w:rPr>
          <w:rtl/>
        </w:rPr>
      </w:pPr>
      <w:bookmarkStart w:id="9" w:name="_Toc431813363"/>
      <w:r w:rsidRPr="00E66AB6">
        <w:rPr>
          <w:rtl/>
        </w:rPr>
        <w:t>مناصب مجتهد</w:t>
      </w:r>
      <w:bookmarkEnd w:id="9"/>
    </w:p>
    <w:p w:rsidR="002828D8" w:rsidRPr="00E66AB6" w:rsidRDefault="002828D8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مجتهد دارای سه منصب است؛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منصب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Start w:id="10" w:name="_GoBack"/>
      <w:r w:rsidRPr="00E66AB6">
        <w:rPr>
          <w:rFonts w:ascii="IRBadr" w:hAnsi="IRBadr" w:cs="IRBadr"/>
          <w:sz w:val="28"/>
          <w:szCs w:val="28"/>
          <w:rtl/>
          <w:lang w:bidi="fa-IR"/>
        </w:rPr>
        <w:t>افتاء</w:t>
      </w:r>
      <w:bookmarkEnd w:id="10"/>
      <w:r w:rsidRPr="00E66AB6">
        <w:rPr>
          <w:rFonts w:ascii="IRBadr" w:hAnsi="IRBadr" w:cs="IRBadr"/>
          <w:sz w:val="28"/>
          <w:szCs w:val="28"/>
          <w:rtl/>
          <w:lang w:bidi="fa-IR"/>
        </w:rPr>
        <w:t>،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قضاوت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و ولایت در امور.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مناصب او از جهتی راجع به خود او و از جهتی راجع به دیگران است.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محورهای بخش اول،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عمل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کردن 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نظر خود است.</w:t>
      </w:r>
    </w:p>
    <w:p w:rsidR="0069594A" w:rsidRPr="00E66AB6" w:rsidRDefault="0069594A" w:rsidP="00E66AB6">
      <w:pPr>
        <w:pStyle w:val="Heading3"/>
        <w:rPr>
          <w:rtl/>
        </w:rPr>
      </w:pPr>
      <w:bookmarkStart w:id="11" w:name="_Toc431813364"/>
      <w:r w:rsidRPr="00E66AB6">
        <w:rPr>
          <w:rtl/>
        </w:rPr>
        <w:lastRenderedPageBreak/>
        <w:t xml:space="preserve">سایر </w:t>
      </w:r>
      <w:r w:rsidRPr="00E66AB6">
        <w:rPr>
          <w:rFonts w:hint="cs"/>
          <w:rtl/>
        </w:rPr>
        <w:t>مناصب</w:t>
      </w:r>
      <w:r w:rsidRPr="00E66AB6">
        <w:rPr>
          <w:rtl/>
        </w:rPr>
        <w:t xml:space="preserve"> فقیه</w:t>
      </w:r>
      <w:bookmarkEnd w:id="11"/>
    </w:p>
    <w:p w:rsidR="002828D8" w:rsidRPr="00E66AB6" w:rsidRDefault="002828D8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اما برای او منصب چهارمی وجود دارد که اختصاصی نیست و آن منصب هدایت </w:t>
      </w:r>
      <w:r w:rsidR="0069594A" w:rsidRPr="00E66AB6">
        <w:rPr>
          <w:rFonts w:ascii="IRBadr" w:hAnsi="IRBadr" w:cs="IRBadr"/>
          <w:sz w:val="28"/>
          <w:szCs w:val="28"/>
          <w:rtl/>
          <w:lang w:bidi="fa-IR"/>
        </w:rPr>
        <w:t>و تربیت است که یکی از محورهای آیه شریفه است که؛</w:t>
      </w:r>
    </w:p>
    <w:p w:rsidR="009C6A3D" w:rsidRPr="00E66AB6" w:rsidRDefault="009C6A3D" w:rsidP="00E66AB6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«فَلَوْ لا نَفَرَ مِنْ 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لِّ فِرْقَةٍ مِنْهُمْ طائِفَةٌ لِ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تَفَقَّهُوا فِ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الدِّ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نِ وَ لِ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نْذِرُوا قَوْمَهُمْ إِذا رَجَعُوا إِلَ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هِمْ لَعَلَّهُمْ </w:t>
      </w:r>
      <w:r w:rsid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66AB6">
        <w:rPr>
          <w:rFonts w:ascii="IRBadr" w:hAnsi="IRBadr" w:cs="IRBadr"/>
          <w:b/>
          <w:bCs/>
          <w:sz w:val="28"/>
          <w:szCs w:val="28"/>
          <w:rtl/>
          <w:lang w:bidi="fa-IR"/>
        </w:rPr>
        <w:t>حْذَرُون»</w:t>
      </w:r>
      <w:r w:rsidRPr="00E66AB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69594A" w:rsidRPr="00E66AB6" w:rsidRDefault="0069594A" w:rsidP="00E66A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6AB6">
        <w:rPr>
          <w:rFonts w:ascii="IRBadr" w:hAnsi="IRBadr" w:cs="IRBadr"/>
          <w:sz w:val="28"/>
          <w:szCs w:val="28"/>
          <w:rtl/>
          <w:lang w:bidi="fa-IR"/>
        </w:rPr>
        <w:t>وظیفه فقیه آشنا کردن دیگران نسبت به دین خداست.</w:t>
      </w:r>
      <w:r w:rsidR="009C6A3D" w:rsidRPr="00E66AB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66AB6">
        <w:rPr>
          <w:rFonts w:ascii="IRBadr" w:hAnsi="IRBadr" w:cs="IRBadr"/>
          <w:sz w:val="28"/>
          <w:szCs w:val="28"/>
          <w:rtl/>
          <w:lang w:bidi="fa-IR"/>
        </w:rPr>
        <w:t xml:space="preserve"> باید همیشه به این واقعیت التفات داشت که این امور نیز بخشی لاینفک از وظیفه فقیه است.</w:t>
      </w:r>
    </w:p>
    <w:p w:rsidR="00152670" w:rsidRPr="00E66AB6" w:rsidRDefault="00152670" w:rsidP="00E66AB6">
      <w:pPr>
        <w:spacing w:line="360" w:lineRule="auto"/>
        <w:rPr>
          <w:rFonts w:ascii="IRBadr" w:hAnsi="IRBadr" w:cs="IRBadr"/>
        </w:rPr>
      </w:pPr>
    </w:p>
    <w:sectPr w:rsidR="00152670" w:rsidRPr="00E66AB6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B5" w:rsidRDefault="004B5AB5" w:rsidP="000D5800">
      <w:pPr>
        <w:spacing w:after="0"/>
      </w:pPr>
      <w:r>
        <w:separator/>
      </w:r>
    </w:p>
  </w:endnote>
  <w:endnote w:type="continuationSeparator" w:id="0">
    <w:p w:rsidR="004B5AB5" w:rsidRDefault="004B5AB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6" w:rsidRDefault="00E66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AB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6" w:rsidRDefault="00E66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B5" w:rsidRDefault="004B5AB5" w:rsidP="00E66AB6">
      <w:pPr>
        <w:spacing w:after="0"/>
        <w:jc w:val="right"/>
      </w:pPr>
      <w:r>
        <w:separator/>
      </w:r>
    </w:p>
  </w:footnote>
  <w:footnote w:type="continuationSeparator" w:id="0">
    <w:p w:rsidR="004B5AB5" w:rsidRDefault="004B5AB5" w:rsidP="000D5800">
      <w:pPr>
        <w:spacing w:after="0"/>
      </w:pPr>
      <w:r>
        <w:continuationSeparator/>
      </w:r>
    </w:p>
  </w:footnote>
  <w:footnote w:id="1">
    <w:p w:rsidR="009C6A3D" w:rsidRDefault="009C6A3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C6A3D">
        <w:rPr>
          <w:rFonts w:cs="B Badr" w:hint="cs"/>
          <w:rtl/>
        </w:rPr>
        <w:t>توبه /122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6" w:rsidRDefault="00E6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61330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1B08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61330">
      <w:rPr>
        <w:rFonts w:ascii="IranNastaliq" w:hAnsi="IranNastaliq" w:cs="IranNastaliq" w:hint="cs"/>
        <w:sz w:val="40"/>
        <w:szCs w:val="40"/>
        <w:rtl/>
      </w:rPr>
      <w:t>4555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6" w:rsidRDefault="00E66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33D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28D8"/>
    <w:rsid w:val="002914BD"/>
    <w:rsid w:val="00297263"/>
    <w:rsid w:val="002C56FD"/>
    <w:rsid w:val="002D49E4"/>
    <w:rsid w:val="002E450B"/>
    <w:rsid w:val="002E73F9"/>
    <w:rsid w:val="002F05B9"/>
    <w:rsid w:val="0032704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6191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B5AB5"/>
    <w:rsid w:val="004F3596"/>
    <w:rsid w:val="00530FD7"/>
    <w:rsid w:val="00531245"/>
    <w:rsid w:val="00541F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9594A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4762"/>
    <w:rsid w:val="009401AC"/>
    <w:rsid w:val="009613AC"/>
    <w:rsid w:val="00980643"/>
    <w:rsid w:val="009B46BC"/>
    <w:rsid w:val="009B61C3"/>
    <w:rsid w:val="009C41B9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3FF5"/>
    <w:rsid w:val="00AF0F1A"/>
    <w:rsid w:val="00B15027"/>
    <w:rsid w:val="00B21CF4"/>
    <w:rsid w:val="00B24300"/>
    <w:rsid w:val="00B63F15"/>
    <w:rsid w:val="00B80F04"/>
    <w:rsid w:val="00BA51A8"/>
    <w:rsid w:val="00BB507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66AB6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558A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66AB6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66AB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6A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E3F6-3447-42CC-A2A2-A330060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109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9</cp:revision>
  <dcterms:created xsi:type="dcterms:W3CDTF">2015-01-19T04:23:00Z</dcterms:created>
  <dcterms:modified xsi:type="dcterms:W3CDTF">2015-10-05T09:33:00Z</dcterms:modified>
</cp:coreProperties>
</file>