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0A" w:rsidRPr="00513B6F" w:rsidRDefault="00D75A0A" w:rsidP="0039750A">
      <w:pPr>
        <w:bidi/>
        <w:spacing w:line="360" w:lineRule="auto"/>
        <w:rPr>
          <w:rFonts w:ascii="IRBadr" w:hAnsi="IRBadr" w:cs="IRBadr"/>
          <w:noProof/>
        </w:rPr>
      </w:pPr>
      <w:bookmarkStart w:id="0" w:name="_GoBack"/>
      <w:r w:rsidRPr="00513B6F">
        <w:rPr>
          <w:rFonts w:ascii="IRBadr" w:hAnsi="IRBadr" w:cs="IRBadr"/>
          <w:sz w:val="28"/>
          <w:szCs w:val="28"/>
          <w:rtl/>
        </w:rPr>
        <w:t>بسم‌الله</w:t>
      </w:r>
      <w:r w:rsidR="0039750A" w:rsidRPr="00513B6F">
        <w:rPr>
          <w:rFonts w:ascii="IRBadr" w:hAnsi="IRBadr" w:cs="IRBadr"/>
          <w:sz w:val="28"/>
          <w:szCs w:val="28"/>
          <w:rtl/>
        </w:rPr>
        <w:t xml:space="preserve"> </w:t>
      </w:r>
      <w:bookmarkEnd w:id="0"/>
      <w:r w:rsidR="0039750A" w:rsidRPr="00513B6F">
        <w:rPr>
          <w:rFonts w:ascii="IRBadr" w:hAnsi="IRBadr" w:cs="IRBadr"/>
          <w:sz w:val="28"/>
          <w:szCs w:val="28"/>
          <w:rtl/>
        </w:rPr>
        <w:t>الرحمن الرحیم</w:t>
      </w:r>
      <w:r w:rsidR="0039750A" w:rsidRPr="00513B6F">
        <w:rPr>
          <w:rFonts w:ascii="IRBadr" w:eastAsia="2  Badr" w:hAnsi="IRBadr" w:cs="IRBadr"/>
          <w:sz w:val="28"/>
          <w:szCs w:val="28"/>
          <w:rtl/>
          <w:lang w:bidi="fa-IR"/>
        </w:rPr>
        <w:fldChar w:fldCharType="begin"/>
      </w:r>
      <w:r w:rsidR="0039750A" w:rsidRPr="00513B6F">
        <w:rPr>
          <w:rFonts w:ascii="IRBadr" w:eastAsia="2  Badr" w:hAnsi="IRBadr" w:cs="IRBadr"/>
          <w:sz w:val="28"/>
          <w:szCs w:val="28"/>
          <w:rtl/>
          <w:lang w:bidi="fa-IR"/>
        </w:rPr>
        <w:instrText xml:space="preserve"> </w:instrText>
      </w:r>
      <w:r w:rsidR="0039750A" w:rsidRPr="00513B6F">
        <w:rPr>
          <w:rFonts w:ascii="IRBadr" w:eastAsia="2  Badr" w:hAnsi="IRBadr" w:cs="IRBadr"/>
          <w:sz w:val="28"/>
          <w:szCs w:val="28"/>
          <w:lang w:bidi="fa-IR"/>
        </w:rPr>
        <w:instrText>TOC</w:instrText>
      </w:r>
      <w:r w:rsidR="0039750A" w:rsidRPr="00513B6F">
        <w:rPr>
          <w:rFonts w:ascii="IRBadr" w:eastAsia="2  Badr" w:hAnsi="IRBadr" w:cs="IRBadr"/>
          <w:sz w:val="28"/>
          <w:szCs w:val="28"/>
          <w:rtl/>
          <w:lang w:bidi="fa-IR"/>
        </w:rPr>
        <w:instrText xml:space="preserve"> \</w:instrText>
      </w:r>
      <w:r w:rsidR="0039750A" w:rsidRPr="00513B6F">
        <w:rPr>
          <w:rFonts w:ascii="IRBadr" w:eastAsia="2  Badr" w:hAnsi="IRBadr" w:cs="IRBadr"/>
          <w:sz w:val="28"/>
          <w:szCs w:val="28"/>
          <w:lang w:bidi="fa-IR"/>
        </w:rPr>
        <w:instrText>o "1-8" \h \z \u</w:instrText>
      </w:r>
      <w:r w:rsidR="0039750A" w:rsidRPr="00513B6F">
        <w:rPr>
          <w:rFonts w:ascii="IRBadr" w:eastAsia="2  Badr" w:hAnsi="IRBadr" w:cs="IRBadr"/>
          <w:sz w:val="28"/>
          <w:szCs w:val="28"/>
          <w:rtl/>
          <w:lang w:bidi="fa-IR"/>
        </w:rPr>
        <w:instrText xml:space="preserve"> </w:instrText>
      </w:r>
      <w:r w:rsidR="0039750A" w:rsidRPr="00513B6F">
        <w:rPr>
          <w:rFonts w:ascii="IRBadr" w:eastAsia="2  Badr" w:hAnsi="IRBadr" w:cs="IRBadr"/>
          <w:sz w:val="28"/>
          <w:szCs w:val="28"/>
          <w:rtl/>
          <w:lang w:bidi="fa-IR"/>
        </w:rPr>
        <w:fldChar w:fldCharType="separate"/>
      </w:r>
    </w:p>
    <w:p w:rsidR="0039750A" w:rsidRPr="00513B6F" w:rsidRDefault="00600343" w:rsidP="0039750A">
      <w:pPr>
        <w:pStyle w:val="TOC1"/>
        <w:tabs>
          <w:tab w:val="right" w:leader="dot" w:pos="9350"/>
        </w:tabs>
        <w:rPr>
          <w:rFonts w:ascii="IRBadr" w:hAnsi="IRBadr" w:cs="IRBadr"/>
          <w:noProof/>
          <w:szCs w:val="22"/>
        </w:rPr>
      </w:pPr>
      <w:hyperlink w:anchor="_Toc431537120" w:history="1">
        <w:r w:rsidR="0039750A" w:rsidRPr="00513B6F">
          <w:rPr>
            <w:rStyle w:val="Hyperlink"/>
            <w:rFonts w:ascii="IRBadr" w:hAnsi="IRBadr" w:cs="IRBadr"/>
            <w:noProof/>
            <w:rtl/>
          </w:rPr>
          <w:t>شناخت کیفیت احتیاط</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_Toc431537120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2</w:t>
        </w:r>
        <w:r w:rsidR="0039750A" w:rsidRPr="00513B6F">
          <w:rPr>
            <w:rStyle w:val="Hyperlink"/>
            <w:rFonts w:ascii="IRBadr" w:hAnsi="IRBadr" w:cs="IRBadr"/>
            <w:noProof/>
            <w:rtl/>
          </w:rPr>
          <w:fldChar w:fldCharType="end"/>
        </w:r>
      </w:hyperlink>
    </w:p>
    <w:p w:rsidR="0039750A" w:rsidRPr="00513B6F" w:rsidRDefault="00600343" w:rsidP="0039750A">
      <w:pPr>
        <w:pStyle w:val="TOC1"/>
        <w:tabs>
          <w:tab w:val="right" w:leader="dot" w:pos="9350"/>
        </w:tabs>
        <w:rPr>
          <w:rFonts w:ascii="IRBadr" w:hAnsi="IRBadr" w:cs="IRBadr"/>
          <w:noProof/>
          <w:szCs w:val="22"/>
        </w:rPr>
      </w:pPr>
      <w:hyperlink w:anchor="_Toc431537121" w:history="1">
        <w:r w:rsidR="0039750A" w:rsidRPr="00513B6F">
          <w:rPr>
            <w:rStyle w:val="Hyperlink"/>
            <w:rFonts w:ascii="IRBadr" w:hAnsi="IRBadr" w:cs="IRBadr"/>
            <w:noProof/>
            <w:rtl/>
          </w:rPr>
          <w:t>مرور بحث سابق</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_Toc431537121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2</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22" w:history="1">
        <w:r w:rsidR="0039750A" w:rsidRPr="00513B6F">
          <w:rPr>
            <w:rStyle w:val="Hyperlink"/>
            <w:rFonts w:ascii="IRBadr" w:hAnsi="IRBadr" w:cs="IRBadr"/>
            <w:noProof/>
            <w:rtl/>
          </w:rPr>
          <w:t>شهرت در جواز احتیاط</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_Toc431537122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2</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23" w:history="1">
        <w:r w:rsidR="0039750A" w:rsidRPr="00513B6F">
          <w:rPr>
            <w:rStyle w:val="Hyperlink"/>
            <w:rFonts w:ascii="IRBadr" w:hAnsi="IRBadr" w:cs="IRBadr"/>
            <w:noProof/>
            <w:rtl/>
          </w:rPr>
          <w:t>قول اول</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_Toc431537123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2</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24" w:history="1">
        <w:r w:rsidR="0039750A" w:rsidRPr="00513B6F">
          <w:rPr>
            <w:rStyle w:val="Hyperlink"/>
            <w:rFonts w:ascii="IRBadr" w:hAnsi="IRBadr" w:cs="IRBadr"/>
            <w:noProof/>
            <w:rtl/>
          </w:rPr>
          <w:t>قول دوم</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_Toc431537124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3</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25" w:history="1">
        <w:r w:rsidR="0039750A" w:rsidRPr="00513B6F">
          <w:rPr>
            <w:rStyle w:val="Hyperlink"/>
            <w:rFonts w:ascii="IRBadr" w:hAnsi="IRBadr" w:cs="IRBadr"/>
            <w:noProof/>
            <w:rtl/>
          </w:rPr>
          <w:t>برخی از اقوال تفصیل</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_Toc431537125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3</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26" w:history="1">
        <w:r w:rsidR="0039750A" w:rsidRPr="00513B6F">
          <w:rPr>
            <w:rStyle w:val="Hyperlink"/>
            <w:rFonts w:ascii="IRBadr" w:hAnsi="IRBadr" w:cs="IRBadr"/>
            <w:noProof/>
            <w:rtl/>
          </w:rPr>
          <w:t>تنقیح موضوع بحث</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_Toc431537126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3</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27" w:history="1">
        <w:r w:rsidR="0039750A" w:rsidRPr="00513B6F">
          <w:rPr>
            <w:rStyle w:val="Hyperlink"/>
            <w:rFonts w:ascii="IRBadr" w:hAnsi="IRBadr" w:cs="IRBadr"/>
            <w:noProof/>
            <w:rtl/>
          </w:rPr>
          <w:t>انواع شبهات حکمیه</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_Toc431537127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4</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28" w:history="1">
        <w:r w:rsidR="0039750A" w:rsidRPr="00513B6F">
          <w:rPr>
            <w:rStyle w:val="Hyperlink"/>
            <w:rFonts w:ascii="IRBadr" w:hAnsi="IRBadr" w:cs="IRBadr"/>
            <w:noProof/>
            <w:rtl/>
          </w:rPr>
          <w:t>شبهات تحریمیه و وجوبیه</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_Toc431537128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4</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29" w:history="1">
        <w:r w:rsidR="0039750A" w:rsidRPr="00513B6F">
          <w:rPr>
            <w:rStyle w:val="Hyperlink"/>
            <w:rFonts w:ascii="IRBadr" w:hAnsi="IRBadr" w:cs="IRBadr"/>
            <w:noProof/>
            <w:rtl/>
          </w:rPr>
          <w:t>موارد تمکن مکلف</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_Toc431537129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4</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30" w:history="1">
        <w:r w:rsidR="0039750A" w:rsidRPr="00513B6F">
          <w:rPr>
            <w:rStyle w:val="Hyperlink"/>
            <w:rFonts w:ascii="IRBadr" w:hAnsi="IRBadr" w:cs="IRBadr"/>
            <w:noProof/>
            <w:rtl/>
          </w:rPr>
          <w:t>صور عدم امکان احتیاط</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_Toc431537130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5</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31" w:history="1">
        <w:r w:rsidR="0039750A" w:rsidRPr="00513B6F">
          <w:rPr>
            <w:rStyle w:val="Hyperlink"/>
            <w:rFonts w:ascii="IRBadr" w:hAnsi="IRBadr" w:cs="IRBadr"/>
            <w:noProof/>
            <w:rtl/>
          </w:rPr>
          <w:t>قسم دوم</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_Toc431537131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5</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32" w:history="1">
        <w:r w:rsidR="0039750A" w:rsidRPr="00513B6F">
          <w:rPr>
            <w:rStyle w:val="Hyperlink"/>
            <w:rFonts w:ascii="IRBadr" w:hAnsi="IRBadr" w:cs="IRBadr"/>
            <w:noProof/>
            <w:rtl/>
          </w:rPr>
          <w:t>مراد از جواز</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_Toc431537132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5</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33" w:history="1">
        <w:r w:rsidR="0039750A" w:rsidRPr="00513B6F">
          <w:rPr>
            <w:rStyle w:val="Hyperlink"/>
            <w:rFonts w:ascii="IRBadr" w:hAnsi="IRBadr" w:cs="IRBadr"/>
            <w:noProof/>
            <w:rtl/>
          </w:rPr>
          <w:t>اقسام مصداقی احتیاط</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_Toc431537133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5</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34" w:history="1">
        <w:r w:rsidR="0039750A" w:rsidRPr="00513B6F">
          <w:rPr>
            <w:rStyle w:val="Hyperlink"/>
            <w:rFonts w:ascii="IRBadr" w:hAnsi="IRBadr" w:cs="IRBadr"/>
            <w:noProof/>
            <w:rtl/>
          </w:rPr>
          <w:t>قسم دوم</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_Toc431537134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6</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35" w:history="1">
        <w:r w:rsidR="0039750A" w:rsidRPr="00513B6F">
          <w:rPr>
            <w:rStyle w:val="Hyperlink"/>
            <w:rFonts w:ascii="IRBadr" w:hAnsi="IRBadr" w:cs="IRBadr"/>
            <w:noProof/>
            <w:rtl/>
          </w:rPr>
          <w:t>اقسام قسم دوم</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_Toc431537135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6</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36" w:history="1">
        <w:r w:rsidR="0039750A" w:rsidRPr="00513B6F">
          <w:rPr>
            <w:rStyle w:val="Hyperlink"/>
            <w:rFonts w:ascii="IRBadr" w:hAnsi="IRBadr" w:cs="IRBadr"/>
            <w:noProof/>
            <w:rtl/>
          </w:rPr>
          <w:t>وجوه منع احتیاط</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_Toc431537136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6</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37" w:history="1">
        <w:r w:rsidR="0039750A" w:rsidRPr="00513B6F">
          <w:rPr>
            <w:rStyle w:val="Hyperlink"/>
            <w:rFonts w:ascii="IRBadr" w:hAnsi="IRBadr" w:cs="IRBadr"/>
            <w:noProof/>
            <w:rtl/>
          </w:rPr>
          <w:t>مصداقی از بحث</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_Toc431537137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6</w:t>
        </w:r>
        <w:r w:rsidR="0039750A" w:rsidRPr="00513B6F">
          <w:rPr>
            <w:rStyle w:val="Hyperlink"/>
            <w:rFonts w:ascii="IRBadr" w:hAnsi="IRBadr" w:cs="IRBadr"/>
            <w:noProof/>
            <w:rtl/>
          </w:rPr>
          <w:fldChar w:fldCharType="end"/>
        </w:r>
      </w:hyperlink>
    </w:p>
    <w:p w:rsidR="0039750A" w:rsidRPr="00513B6F" w:rsidRDefault="00600343" w:rsidP="0039750A">
      <w:pPr>
        <w:pStyle w:val="TOC2"/>
        <w:tabs>
          <w:tab w:val="right" w:leader="dot" w:pos="9350"/>
        </w:tabs>
        <w:rPr>
          <w:rFonts w:ascii="IRBadr" w:hAnsi="IRBadr" w:cs="IRBadr"/>
          <w:noProof/>
          <w:szCs w:val="22"/>
        </w:rPr>
      </w:pPr>
      <w:hyperlink w:anchor="_Toc431537138" w:history="1">
        <w:r w:rsidR="0039750A" w:rsidRPr="00513B6F">
          <w:rPr>
            <w:rStyle w:val="Hyperlink"/>
            <w:rFonts w:ascii="IRBadr" w:hAnsi="IRBadr" w:cs="IRBadr"/>
            <w:noProof/>
            <w:rtl/>
          </w:rPr>
          <w:t>مقام اول</w:t>
        </w:r>
        <w:r w:rsidR="0039750A" w:rsidRPr="00513B6F">
          <w:rPr>
            <w:rFonts w:ascii="IRBadr" w:hAnsi="IRBadr" w:cs="IRBadr"/>
            <w:noProof/>
            <w:webHidden/>
          </w:rPr>
          <w:tab/>
        </w:r>
        <w:r w:rsidR="0039750A" w:rsidRPr="00513B6F">
          <w:rPr>
            <w:rStyle w:val="Hyperlink"/>
            <w:rFonts w:ascii="IRBadr" w:hAnsi="IRBadr" w:cs="IRBadr"/>
            <w:noProof/>
            <w:rtl/>
          </w:rPr>
          <w:fldChar w:fldCharType="begin"/>
        </w:r>
        <w:r w:rsidR="0039750A" w:rsidRPr="00513B6F">
          <w:rPr>
            <w:rFonts w:ascii="IRBadr" w:hAnsi="IRBadr" w:cs="IRBadr"/>
            <w:noProof/>
            <w:webHidden/>
          </w:rPr>
          <w:instrText xml:space="preserve"> PAGEREF _Toc431537138 \h </w:instrText>
        </w:r>
        <w:r w:rsidR="0039750A" w:rsidRPr="00513B6F">
          <w:rPr>
            <w:rStyle w:val="Hyperlink"/>
            <w:rFonts w:ascii="IRBadr" w:hAnsi="IRBadr" w:cs="IRBadr"/>
            <w:noProof/>
            <w:rtl/>
          </w:rPr>
        </w:r>
        <w:r w:rsidR="0039750A" w:rsidRPr="00513B6F">
          <w:rPr>
            <w:rStyle w:val="Hyperlink"/>
            <w:rFonts w:ascii="IRBadr" w:hAnsi="IRBadr" w:cs="IRBadr"/>
            <w:noProof/>
            <w:rtl/>
          </w:rPr>
          <w:fldChar w:fldCharType="separate"/>
        </w:r>
        <w:r w:rsidR="0039750A" w:rsidRPr="00513B6F">
          <w:rPr>
            <w:rFonts w:ascii="IRBadr" w:hAnsi="IRBadr" w:cs="IRBadr"/>
            <w:noProof/>
            <w:webHidden/>
          </w:rPr>
          <w:t>7</w:t>
        </w:r>
        <w:r w:rsidR="0039750A" w:rsidRPr="00513B6F">
          <w:rPr>
            <w:rStyle w:val="Hyperlink"/>
            <w:rFonts w:ascii="IRBadr" w:hAnsi="IRBadr" w:cs="IRBadr"/>
            <w:noProof/>
            <w:rtl/>
          </w:rPr>
          <w:fldChar w:fldCharType="end"/>
        </w:r>
      </w:hyperlink>
    </w:p>
    <w:p w:rsidR="0039750A" w:rsidRPr="00513B6F" w:rsidRDefault="0039750A" w:rsidP="0039750A">
      <w:pPr>
        <w:bidi/>
        <w:spacing w:line="360" w:lineRule="auto"/>
        <w:rPr>
          <w:rFonts w:ascii="IRBadr" w:eastAsia="2  Badr" w:hAnsi="IRBadr" w:cs="IRBadr"/>
          <w:sz w:val="28"/>
          <w:szCs w:val="28"/>
          <w:rtl/>
          <w:lang w:bidi="fa-IR"/>
        </w:rPr>
      </w:pPr>
      <w:r w:rsidRPr="00513B6F">
        <w:rPr>
          <w:rFonts w:ascii="IRBadr" w:eastAsia="2  Badr" w:hAnsi="IRBadr" w:cs="IRBadr"/>
          <w:sz w:val="28"/>
          <w:szCs w:val="28"/>
          <w:rtl/>
          <w:lang w:bidi="fa-IR"/>
        </w:rPr>
        <w:fldChar w:fldCharType="end"/>
      </w:r>
    </w:p>
    <w:p w:rsidR="0039750A" w:rsidRPr="00513B6F" w:rsidRDefault="0039750A">
      <w:pPr>
        <w:spacing w:after="0" w:line="240" w:lineRule="auto"/>
        <w:rPr>
          <w:rFonts w:ascii="IRBadr" w:eastAsia="2  Badr" w:hAnsi="IRBadr" w:cs="IRBadr"/>
          <w:sz w:val="28"/>
          <w:szCs w:val="28"/>
          <w:rtl/>
          <w:lang w:bidi="fa-IR"/>
        </w:rPr>
      </w:pPr>
      <w:r w:rsidRPr="00513B6F">
        <w:rPr>
          <w:rFonts w:ascii="IRBadr" w:eastAsia="2  Badr" w:hAnsi="IRBadr" w:cs="IRBadr"/>
          <w:bCs/>
          <w:szCs w:val="28"/>
          <w:rtl/>
        </w:rPr>
        <w:br w:type="page"/>
      </w:r>
    </w:p>
    <w:p w:rsidR="0039750A" w:rsidRPr="00513B6F" w:rsidRDefault="0039750A" w:rsidP="0039750A">
      <w:pPr>
        <w:pStyle w:val="Heading1"/>
        <w:rPr>
          <w:rFonts w:ascii="IRBadr" w:hAnsi="IRBadr" w:cs="IRBadr"/>
          <w:rtl/>
        </w:rPr>
      </w:pPr>
      <w:bookmarkStart w:id="1" w:name="_Toc431537120"/>
      <w:r w:rsidRPr="00513B6F">
        <w:rPr>
          <w:rFonts w:ascii="IRBadr" w:hAnsi="IRBadr" w:cs="IRBadr"/>
          <w:rtl/>
        </w:rPr>
        <w:lastRenderedPageBreak/>
        <w:t>شناخت کیفیت احتیاط</w:t>
      </w:r>
      <w:bookmarkEnd w:id="1"/>
    </w:p>
    <w:p w:rsidR="0039750A" w:rsidRPr="00513B6F" w:rsidRDefault="0039750A" w:rsidP="0039750A">
      <w:pPr>
        <w:pStyle w:val="Heading1"/>
        <w:rPr>
          <w:rFonts w:ascii="IRBadr" w:hAnsi="IRBadr" w:cs="IRBadr"/>
          <w:rtl/>
        </w:rPr>
      </w:pPr>
      <w:bookmarkStart w:id="2" w:name="_Toc431537121"/>
      <w:r w:rsidRPr="00513B6F">
        <w:rPr>
          <w:rFonts w:ascii="IRBadr" w:hAnsi="IRBadr" w:cs="IRBadr"/>
          <w:rtl/>
        </w:rPr>
        <w:t>مرور بحث سابق</w:t>
      </w:r>
      <w:bookmarkEnd w:id="2"/>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در جلسه گذشته درباره </w:t>
      </w:r>
      <w:r w:rsidR="00513B6F">
        <w:rPr>
          <w:rFonts w:ascii="IRBadr" w:hAnsi="IRBadr" w:cs="IRBadr"/>
          <w:sz w:val="28"/>
          <w:szCs w:val="28"/>
          <w:rtl/>
        </w:rPr>
        <w:t>مسئله</w:t>
      </w:r>
      <w:r w:rsidRPr="00513B6F">
        <w:rPr>
          <w:rFonts w:ascii="IRBadr" w:hAnsi="IRBadr" w:cs="IRBadr"/>
          <w:sz w:val="28"/>
          <w:szCs w:val="28"/>
          <w:rtl/>
        </w:rPr>
        <w:t xml:space="preserve"> دوم یعنی ضرورت شناخت کیفیت احتیاط مباحثی مطرح گردید.</w:t>
      </w:r>
      <w:r w:rsidR="00D75A0A" w:rsidRPr="00513B6F">
        <w:rPr>
          <w:rFonts w:ascii="IRBadr" w:hAnsi="IRBadr" w:cs="IRBadr"/>
          <w:sz w:val="28"/>
          <w:szCs w:val="28"/>
          <w:rtl/>
        </w:rPr>
        <w:t xml:space="preserve"> فراز</w:t>
      </w:r>
      <w:r w:rsidRPr="00513B6F">
        <w:rPr>
          <w:rFonts w:ascii="IRBadr" w:hAnsi="IRBadr" w:cs="IRBadr"/>
          <w:sz w:val="28"/>
          <w:szCs w:val="28"/>
          <w:rtl/>
        </w:rPr>
        <w:t xml:space="preserve"> اول گذشته نیز مربوط به جواز احتیاط برای مقلد و محتاط بود.</w:t>
      </w:r>
      <w:r w:rsidR="00D75A0A" w:rsidRPr="00513B6F">
        <w:rPr>
          <w:rFonts w:ascii="IRBadr" w:hAnsi="IRBadr" w:cs="IRBadr"/>
          <w:sz w:val="28"/>
          <w:szCs w:val="28"/>
          <w:rtl/>
        </w:rPr>
        <w:t xml:space="preserve"> در</w:t>
      </w:r>
      <w:r w:rsidRPr="00513B6F">
        <w:rPr>
          <w:rFonts w:ascii="IRBadr" w:hAnsi="IRBadr" w:cs="IRBadr"/>
          <w:sz w:val="28"/>
          <w:szCs w:val="28"/>
          <w:rtl/>
        </w:rPr>
        <w:t xml:space="preserve"> آنجا گفته شد که احتیاط مشتمل بر دو تفسیر کبروی و صغروی است و بدون شک تفسیر کبروی آن در اینجا مراد نیست،</w:t>
      </w:r>
      <w:r w:rsidR="00D75A0A" w:rsidRPr="00513B6F">
        <w:rPr>
          <w:rFonts w:ascii="IRBadr" w:hAnsi="IRBadr" w:cs="IRBadr"/>
          <w:sz w:val="28"/>
          <w:szCs w:val="28"/>
          <w:rtl/>
        </w:rPr>
        <w:t xml:space="preserve"> طبعاً</w:t>
      </w:r>
      <w:r w:rsidRPr="00513B6F">
        <w:rPr>
          <w:rFonts w:ascii="IRBadr" w:hAnsi="IRBadr" w:cs="IRBadr"/>
          <w:sz w:val="28"/>
          <w:szCs w:val="28"/>
          <w:rtl/>
        </w:rPr>
        <w:t xml:space="preserve"> محل نزاع جنبه صغروی بحث خواهد بود.</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مقدمه دومی که </w:t>
      </w:r>
      <w:r w:rsidR="00D75A0A" w:rsidRPr="00513B6F">
        <w:rPr>
          <w:rFonts w:ascii="IRBadr" w:hAnsi="IRBadr" w:cs="IRBadr"/>
          <w:sz w:val="28"/>
          <w:szCs w:val="28"/>
          <w:rtl/>
        </w:rPr>
        <w:t>موردبحث</w:t>
      </w:r>
      <w:r w:rsidRPr="00513B6F">
        <w:rPr>
          <w:rFonts w:ascii="IRBadr" w:hAnsi="IRBadr" w:cs="IRBadr"/>
          <w:sz w:val="28"/>
          <w:szCs w:val="28"/>
          <w:rtl/>
        </w:rPr>
        <w:t xml:space="preserve"> قرار گرفت،</w:t>
      </w:r>
      <w:r w:rsidR="00D75A0A" w:rsidRPr="00513B6F">
        <w:rPr>
          <w:rFonts w:ascii="IRBadr" w:hAnsi="IRBadr" w:cs="IRBadr"/>
          <w:sz w:val="28"/>
          <w:szCs w:val="28"/>
          <w:rtl/>
        </w:rPr>
        <w:t xml:space="preserve"> این</w:t>
      </w:r>
      <w:r w:rsidRPr="00513B6F">
        <w:rPr>
          <w:rFonts w:ascii="IRBadr" w:hAnsi="IRBadr" w:cs="IRBadr"/>
          <w:sz w:val="28"/>
          <w:szCs w:val="28"/>
          <w:rtl/>
        </w:rPr>
        <w:t xml:space="preserve"> بود که احتیاط به معنای </w:t>
      </w:r>
      <w:r w:rsidR="00D75A0A" w:rsidRPr="00513B6F">
        <w:rPr>
          <w:rFonts w:ascii="IRBadr" w:hAnsi="IRBadr" w:cs="IRBadr"/>
          <w:sz w:val="28"/>
          <w:szCs w:val="28"/>
          <w:rtl/>
        </w:rPr>
        <w:t>گفته‌شده</w:t>
      </w:r>
      <w:r w:rsidRPr="00513B6F">
        <w:rPr>
          <w:rFonts w:ascii="IRBadr" w:hAnsi="IRBadr" w:cs="IRBadr"/>
          <w:sz w:val="28"/>
          <w:szCs w:val="28"/>
          <w:rtl/>
        </w:rPr>
        <w:t xml:space="preserve"> مشتمل بر سه مقام بود؛</w:t>
      </w:r>
      <w:r w:rsidR="00D75A0A" w:rsidRPr="00513B6F">
        <w:rPr>
          <w:rFonts w:ascii="IRBadr" w:hAnsi="IRBadr" w:cs="IRBadr"/>
          <w:sz w:val="28"/>
          <w:szCs w:val="28"/>
          <w:rtl/>
        </w:rPr>
        <w:t xml:space="preserve"> معاملات</w:t>
      </w:r>
      <w:r w:rsidRPr="00513B6F">
        <w:rPr>
          <w:rFonts w:ascii="IRBadr" w:hAnsi="IRBadr" w:cs="IRBadr"/>
          <w:sz w:val="28"/>
          <w:szCs w:val="28"/>
          <w:rtl/>
        </w:rPr>
        <w:t xml:space="preserve"> اعم،</w:t>
      </w:r>
      <w:r w:rsidR="00D75A0A" w:rsidRPr="00513B6F">
        <w:rPr>
          <w:rFonts w:ascii="IRBadr" w:hAnsi="IRBadr" w:cs="IRBadr"/>
          <w:sz w:val="28"/>
          <w:szCs w:val="28"/>
          <w:rtl/>
        </w:rPr>
        <w:t xml:space="preserve"> معاملات</w:t>
      </w:r>
      <w:r w:rsidRPr="00513B6F">
        <w:rPr>
          <w:rFonts w:ascii="IRBadr" w:hAnsi="IRBadr" w:cs="IRBadr"/>
          <w:sz w:val="28"/>
          <w:szCs w:val="28"/>
          <w:rtl/>
        </w:rPr>
        <w:t xml:space="preserve"> اخص و</w:t>
      </w:r>
      <w:r w:rsidR="00D75A0A" w:rsidRPr="00513B6F">
        <w:rPr>
          <w:rFonts w:ascii="IRBadr" w:hAnsi="IRBadr" w:cs="IRBadr"/>
          <w:sz w:val="28"/>
          <w:szCs w:val="28"/>
          <w:rtl/>
        </w:rPr>
        <w:t xml:space="preserve"> تعبدی‌ات</w:t>
      </w:r>
      <w:r w:rsidRPr="00513B6F">
        <w:rPr>
          <w:rFonts w:ascii="IRBadr" w:hAnsi="IRBadr" w:cs="IRBadr"/>
          <w:sz w:val="28"/>
          <w:szCs w:val="28"/>
          <w:rtl/>
        </w:rPr>
        <w:t xml:space="preserve"> که بیان شد جنبه صغروی بحث،</w:t>
      </w:r>
      <w:r w:rsidR="00D75A0A" w:rsidRPr="00513B6F">
        <w:rPr>
          <w:rFonts w:ascii="IRBadr" w:hAnsi="IRBadr" w:cs="IRBadr"/>
          <w:sz w:val="28"/>
          <w:szCs w:val="28"/>
          <w:rtl/>
        </w:rPr>
        <w:t xml:space="preserve"> باید</w:t>
      </w:r>
      <w:r w:rsidRPr="00513B6F">
        <w:rPr>
          <w:rFonts w:ascii="IRBadr" w:hAnsi="IRBadr" w:cs="IRBadr"/>
          <w:sz w:val="28"/>
          <w:szCs w:val="28"/>
          <w:rtl/>
        </w:rPr>
        <w:t xml:space="preserve"> با توجه به این مقامات </w:t>
      </w:r>
      <w:r w:rsidR="00D75A0A" w:rsidRPr="00513B6F">
        <w:rPr>
          <w:rFonts w:ascii="IRBadr" w:hAnsi="IRBadr" w:cs="IRBadr"/>
          <w:sz w:val="28"/>
          <w:szCs w:val="28"/>
          <w:rtl/>
        </w:rPr>
        <w:t>موردبررسی</w:t>
      </w:r>
      <w:r w:rsidRPr="00513B6F">
        <w:rPr>
          <w:rFonts w:ascii="IRBadr" w:hAnsi="IRBadr" w:cs="IRBadr"/>
          <w:sz w:val="28"/>
          <w:szCs w:val="28"/>
          <w:rtl/>
        </w:rPr>
        <w:t xml:space="preserve"> قرار گیرد.</w:t>
      </w:r>
      <w:r w:rsidR="00D75A0A" w:rsidRPr="00513B6F">
        <w:rPr>
          <w:rFonts w:ascii="IRBadr" w:hAnsi="IRBadr" w:cs="IRBadr"/>
          <w:sz w:val="28"/>
          <w:szCs w:val="28"/>
          <w:rtl/>
        </w:rPr>
        <w:t xml:space="preserve"> البته</w:t>
      </w:r>
      <w:r w:rsidRPr="00513B6F">
        <w:rPr>
          <w:rFonts w:ascii="IRBadr" w:hAnsi="IRBadr" w:cs="IRBadr"/>
          <w:sz w:val="28"/>
          <w:szCs w:val="28"/>
          <w:rtl/>
        </w:rPr>
        <w:t xml:space="preserve"> در این به نحوی </w:t>
      </w:r>
      <w:r w:rsidR="00D75A0A" w:rsidRPr="00513B6F">
        <w:rPr>
          <w:rFonts w:ascii="IRBadr" w:hAnsi="IRBadr" w:cs="IRBadr"/>
          <w:sz w:val="28"/>
          <w:szCs w:val="28"/>
          <w:rtl/>
        </w:rPr>
        <w:t>می‌توان</w:t>
      </w:r>
      <w:r w:rsidRPr="00513B6F">
        <w:rPr>
          <w:rFonts w:ascii="IRBadr" w:hAnsi="IRBadr" w:cs="IRBadr"/>
          <w:sz w:val="28"/>
          <w:szCs w:val="28"/>
          <w:rtl/>
        </w:rPr>
        <w:t xml:space="preserve"> بحث واجبات جوانحی را </w:t>
      </w:r>
      <w:r w:rsidR="00D75A0A" w:rsidRPr="00513B6F">
        <w:rPr>
          <w:rFonts w:ascii="IRBadr" w:hAnsi="IRBadr" w:cs="IRBadr"/>
          <w:sz w:val="28"/>
          <w:szCs w:val="28"/>
          <w:rtl/>
        </w:rPr>
        <w:t>به‌عنوان</w:t>
      </w:r>
      <w:r w:rsidRPr="00513B6F">
        <w:rPr>
          <w:rFonts w:ascii="IRBadr" w:hAnsi="IRBadr" w:cs="IRBadr"/>
          <w:sz w:val="28"/>
          <w:szCs w:val="28"/>
          <w:rtl/>
        </w:rPr>
        <w:t xml:space="preserve"> مقام چهارم که عبارت باشد از عقاید و اعتقادات را گنجاند.</w:t>
      </w:r>
    </w:p>
    <w:p w:rsidR="0039750A" w:rsidRPr="00513B6F" w:rsidRDefault="0039750A" w:rsidP="0039750A">
      <w:pPr>
        <w:pStyle w:val="Heading2"/>
        <w:rPr>
          <w:rFonts w:ascii="IRBadr" w:hAnsi="IRBadr" w:cs="IRBadr"/>
          <w:rtl/>
        </w:rPr>
      </w:pPr>
      <w:bookmarkStart w:id="3" w:name="_Toc431537122"/>
      <w:r w:rsidRPr="00513B6F">
        <w:rPr>
          <w:rFonts w:ascii="IRBadr" w:hAnsi="IRBadr" w:cs="IRBadr"/>
          <w:rtl/>
        </w:rPr>
        <w:t>شهرت در جواز احتیاط</w:t>
      </w:r>
      <w:bookmarkEnd w:id="3"/>
    </w:p>
    <w:p w:rsidR="0039750A" w:rsidRPr="00513B6F" w:rsidRDefault="0039750A" w:rsidP="0039750A">
      <w:pPr>
        <w:pStyle w:val="Heading2"/>
        <w:rPr>
          <w:rFonts w:ascii="IRBadr" w:hAnsi="IRBadr" w:cs="IRBadr"/>
          <w:rtl/>
        </w:rPr>
      </w:pPr>
      <w:bookmarkStart w:id="4" w:name="_Toc431537123"/>
      <w:r w:rsidRPr="00513B6F">
        <w:rPr>
          <w:rFonts w:ascii="IRBadr" w:hAnsi="IRBadr" w:cs="IRBadr"/>
          <w:rtl/>
        </w:rPr>
        <w:t>قول اول</w:t>
      </w:r>
      <w:bookmarkEnd w:id="4"/>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مقدمه سوم که بایستی </w:t>
      </w:r>
      <w:r w:rsidR="00D75A0A" w:rsidRPr="00513B6F">
        <w:rPr>
          <w:rFonts w:ascii="IRBadr" w:hAnsi="IRBadr" w:cs="IRBadr"/>
          <w:sz w:val="28"/>
          <w:szCs w:val="28"/>
          <w:rtl/>
        </w:rPr>
        <w:t>به‌اجمال</w:t>
      </w:r>
      <w:r w:rsidRPr="00513B6F">
        <w:rPr>
          <w:rFonts w:ascii="IRBadr" w:hAnsi="IRBadr" w:cs="IRBadr"/>
          <w:sz w:val="28"/>
          <w:szCs w:val="28"/>
          <w:rtl/>
        </w:rPr>
        <w:t xml:space="preserve"> به آن توجه داشته باشیم این است که بحث جواز العمل بالاحتیاط که فرع اول در این مسئله دوم است، از آن مسائلی است که ظاهراً شهرت متأخرین برخلاف شهرت متقدمین است. بسیاری از </w:t>
      </w:r>
      <w:r w:rsidR="00513B6F">
        <w:rPr>
          <w:rFonts w:ascii="IRBadr" w:hAnsi="IRBadr" w:cs="IRBadr"/>
          <w:sz w:val="28"/>
          <w:szCs w:val="28"/>
          <w:rtl/>
        </w:rPr>
        <w:t>قدما</w:t>
      </w:r>
      <w:r w:rsidRPr="00513B6F">
        <w:rPr>
          <w:rFonts w:ascii="IRBadr" w:hAnsi="IRBadr" w:cs="IRBadr"/>
          <w:sz w:val="28"/>
          <w:szCs w:val="28"/>
          <w:rtl/>
        </w:rPr>
        <w:t xml:space="preserve"> معتقد بودند به اینکه برای کسی که راه اجتهاد و تقلید باز است، پیمودن مسیر احتیاط جایز نیست. این قول اول است که قول قدما است.</w:t>
      </w:r>
    </w:p>
    <w:p w:rsidR="00B31426" w:rsidRPr="00513B6F" w:rsidRDefault="0039750A" w:rsidP="00B31426">
      <w:pPr>
        <w:bidi/>
        <w:spacing w:line="360" w:lineRule="auto"/>
        <w:rPr>
          <w:rFonts w:ascii="IRBadr" w:hAnsi="IRBadr" w:cs="IRBadr"/>
          <w:sz w:val="28"/>
          <w:szCs w:val="28"/>
          <w:rtl/>
        </w:rPr>
      </w:pPr>
      <w:r w:rsidRPr="00513B6F">
        <w:rPr>
          <w:rFonts w:ascii="IRBadr" w:hAnsi="IRBadr" w:cs="IRBadr"/>
          <w:sz w:val="28"/>
          <w:szCs w:val="28"/>
          <w:rtl/>
        </w:rPr>
        <w:t xml:space="preserve"> این قول به سید مرتضی و بزرگانی از این قبیل نسبت </w:t>
      </w:r>
      <w:r w:rsidR="00D75A0A" w:rsidRPr="00513B6F">
        <w:rPr>
          <w:rFonts w:ascii="IRBadr" w:hAnsi="IRBadr" w:cs="IRBadr"/>
          <w:sz w:val="28"/>
          <w:szCs w:val="28"/>
          <w:rtl/>
        </w:rPr>
        <w:t>داده‌شده</w:t>
      </w:r>
      <w:r w:rsidRPr="00513B6F">
        <w:rPr>
          <w:rFonts w:ascii="IRBadr" w:hAnsi="IRBadr" w:cs="IRBadr"/>
          <w:sz w:val="28"/>
          <w:szCs w:val="28"/>
          <w:rtl/>
        </w:rPr>
        <w:t xml:space="preserve"> است و گاهی از آن تعبیر به شهرت هم شده است. تعبیرشان </w:t>
      </w:r>
      <w:r w:rsidR="00D75A0A" w:rsidRPr="00513B6F">
        <w:rPr>
          <w:rFonts w:ascii="IRBadr" w:hAnsi="IRBadr" w:cs="IRBadr"/>
          <w:sz w:val="28"/>
          <w:szCs w:val="28"/>
          <w:rtl/>
        </w:rPr>
        <w:t>بدین‌صورت</w:t>
      </w:r>
      <w:r w:rsidRPr="00513B6F">
        <w:rPr>
          <w:rFonts w:ascii="IRBadr" w:hAnsi="IRBadr" w:cs="IRBadr"/>
          <w:sz w:val="28"/>
          <w:szCs w:val="28"/>
          <w:rtl/>
        </w:rPr>
        <w:t xml:space="preserve"> است که؛</w:t>
      </w:r>
    </w:p>
    <w:p w:rsidR="0039750A" w:rsidRPr="00513B6F" w:rsidRDefault="0039750A" w:rsidP="00B31426">
      <w:pPr>
        <w:bidi/>
        <w:spacing w:line="360" w:lineRule="auto"/>
        <w:rPr>
          <w:rFonts w:ascii="IRBadr" w:hAnsi="IRBadr" w:cs="IRBadr"/>
          <w:sz w:val="28"/>
          <w:szCs w:val="28"/>
          <w:rtl/>
        </w:rPr>
      </w:pPr>
      <w:r w:rsidRPr="00513B6F">
        <w:rPr>
          <w:rFonts w:ascii="IRBadr" w:hAnsi="IRBadr" w:cs="IRBadr"/>
          <w:sz w:val="28"/>
          <w:szCs w:val="28"/>
          <w:rtl/>
        </w:rPr>
        <w:t xml:space="preserve">برای کسی که متمکن از اجتهاد یا تقلید است، اعمال او باطل است. ولو به احتیاط عمل کرده باشد. این به قدما نسبت </w:t>
      </w:r>
      <w:r w:rsidR="00D75A0A" w:rsidRPr="00513B6F">
        <w:rPr>
          <w:rFonts w:ascii="IRBadr" w:hAnsi="IRBadr" w:cs="IRBadr"/>
          <w:sz w:val="28"/>
          <w:szCs w:val="28"/>
          <w:rtl/>
        </w:rPr>
        <w:t>داده‌شده</w:t>
      </w:r>
      <w:r w:rsidRPr="00513B6F">
        <w:rPr>
          <w:rFonts w:ascii="IRBadr" w:hAnsi="IRBadr" w:cs="IRBadr"/>
          <w:sz w:val="28"/>
          <w:szCs w:val="28"/>
          <w:rtl/>
        </w:rPr>
        <w:t xml:space="preserve"> که به کلمات </w:t>
      </w:r>
      <w:r w:rsidR="00D75A0A" w:rsidRPr="00513B6F">
        <w:rPr>
          <w:rFonts w:ascii="IRBadr" w:hAnsi="IRBadr" w:cs="IRBadr"/>
          <w:sz w:val="28"/>
          <w:szCs w:val="28"/>
          <w:rtl/>
        </w:rPr>
        <w:t>ازجمله</w:t>
      </w:r>
      <w:r w:rsidRPr="00513B6F">
        <w:rPr>
          <w:rFonts w:ascii="IRBadr" w:hAnsi="IRBadr" w:cs="IRBadr"/>
          <w:sz w:val="28"/>
          <w:szCs w:val="28"/>
          <w:rtl/>
        </w:rPr>
        <w:t xml:space="preserve"> مرحوم آقای حکیم در مستمسک این را نسبت دادند.</w:t>
      </w:r>
    </w:p>
    <w:p w:rsidR="0039750A" w:rsidRPr="00513B6F" w:rsidRDefault="0039750A" w:rsidP="0039750A">
      <w:pPr>
        <w:pStyle w:val="Heading2"/>
        <w:rPr>
          <w:rFonts w:ascii="IRBadr" w:hAnsi="IRBadr" w:cs="IRBadr"/>
          <w:rtl/>
        </w:rPr>
      </w:pPr>
      <w:bookmarkStart w:id="5" w:name="_Toc431537124"/>
      <w:r w:rsidRPr="00513B6F">
        <w:rPr>
          <w:rFonts w:ascii="IRBadr" w:hAnsi="IRBadr" w:cs="IRBadr"/>
          <w:rtl/>
        </w:rPr>
        <w:lastRenderedPageBreak/>
        <w:t>قول دوم</w:t>
      </w:r>
      <w:bookmarkEnd w:id="5"/>
    </w:p>
    <w:p w:rsidR="0039750A" w:rsidRPr="00513B6F" w:rsidRDefault="00D75A0A" w:rsidP="0039750A">
      <w:pPr>
        <w:bidi/>
        <w:spacing w:line="360" w:lineRule="auto"/>
        <w:rPr>
          <w:rFonts w:ascii="IRBadr" w:hAnsi="IRBadr" w:cs="IRBadr"/>
          <w:sz w:val="28"/>
          <w:szCs w:val="28"/>
          <w:rtl/>
        </w:rPr>
      </w:pPr>
      <w:r w:rsidRPr="00513B6F">
        <w:rPr>
          <w:rFonts w:ascii="IRBadr" w:hAnsi="IRBadr" w:cs="IRBadr"/>
          <w:sz w:val="28"/>
          <w:szCs w:val="28"/>
          <w:rtl/>
        </w:rPr>
        <w:t>درحالی‌که</w:t>
      </w:r>
      <w:r w:rsidR="0039750A" w:rsidRPr="00513B6F">
        <w:rPr>
          <w:rFonts w:ascii="IRBadr" w:hAnsi="IRBadr" w:cs="IRBadr"/>
          <w:sz w:val="28"/>
          <w:szCs w:val="28"/>
          <w:rtl/>
        </w:rPr>
        <w:t xml:space="preserve"> قول دوم همان چیزی است که در متن آمده است و بین متأخرین خصوصاً این صد یا دویست سال اخیر اشتهار </w:t>
      </w:r>
      <w:r w:rsidRPr="00513B6F">
        <w:rPr>
          <w:rFonts w:ascii="IRBadr" w:hAnsi="IRBadr" w:cs="IRBadr"/>
          <w:sz w:val="28"/>
          <w:szCs w:val="28"/>
          <w:rtl/>
        </w:rPr>
        <w:t>پیداکرده</w:t>
      </w:r>
      <w:r w:rsidR="0039750A" w:rsidRPr="00513B6F">
        <w:rPr>
          <w:rFonts w:ascii="IRBadr" w:hAnsi="IRBadr" w:cs="IRBadr"/>
          <w:sz w:val="28"/>
          <w:szCs w:val="28"/>
          <w:rtl/>
        </w:rPr>
        <w:t xml:space="preserve"> است</w:t>
      </w:r>
      <w:r w:rsidRPr="00513B6F">
        <w:rPr>
          <w:rFonts w:ascii="IRBadr" w:hAnsi="IRBadr" w:cs="IRBadr"/>
          <w:sz w:val="28"/>
          <w:szCs w:val="28"/>
          <w:rtl/>
        </w:rPr>
        <w:t xml:space="preserve"> </w:t>
      </w:r>
      <w:r w:rsidR="0039750A" w:rsidRPr="00513B6F">
        <w:rPr>
          <w:rFonts w:ascii="IRBadr" w:hAnsi="IRBadr" w:cs="IRBadr"/>
          <w:sz w:val="28"/>
          <w:szCs w:val="28"/>
          <w:rtl/>
        </w:rPr>
        <w:t>که؛</w:t>
      </w:r>
    </w:p>
    <w:p w:rsidR="0039750A" w:rsidRPr="00513B6F" w:rsidRDefault="00B31426" w:rsidP="0039750A">
      <w:pPr>
        <w:bidi/>
        <w:spacing w:line="360" w:lineRule="auto"/>
        <w:rPr>
          <w:rFonts w:ascii="IRBadr" w:hAnsi="IRBadr" w:cs="IRBadr"/>
          <w:sz w:val="28"/>
          <w:szCs w:val="28"/>
          <w:rtl/>
        </w:rPr>
      </w:pPr>
      <w:r w:rsidRPr="00513B6F">
        <w:rPr>
          <w:rFonts w:ascii="IRBadr" w:hAnsi="IRBadr" w:cs="IRBadr"/>
          <w:sz w:val="28"/>
          <w:szCs w:val="28"/>
          <w:rtl/>
        </w:rPr>
        <w:t>«اقوی جواز عمل به احتیاط است»</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که اطلاق هم دارد. ولو اینکه راه اجتهاد و تقلید به روی او باز است، ولی نمی‌رود اجتهاد کند و به احتیاط عمل می‌کند.</w:t>
      </w:r>
      <w:r w:rsidR="00D75A0A" w:rsidRPr="00513B6F">
        <w:rPr>
          <w:rFonts w:ascii="IRBadr" w:hAnsi="IRBadr" w:cs="IRBadr"/>
          <w:sz w:val="28"/>
          <w:szCs w:val="28"/>
          <w:rtl/>
        </w:rPr>
        <w:t xml:space="preserve"> البته</w:t>
      </w:r>
      <w:r w:rsidRPr="00513B6F">
        <w:rPr>
          <w:rFonts w:ascii="IRBadr" w:hAnsi="IRBadr" w:cs="IRBadr"/>
          <w:sz w:val="28"/>
          <w:szCs w:val="28"/>
          <w:rtl/>
        </w:rPr>
        <w:t xml:space="preserve"> تفصیل بیشتری در این زمینه وجود دارد که در جای خود باید </w:t>
      </w:r>
      <w:r w:rsidR="00D75A0A" w:rsidRPr="00513B6F">
        <w:rPr>
          <w:rFonts w:ascii="IRBadr" w:hAnsi="IRBadr" w:cs="IRBadr"/>
          <w:sz w:val="28"/>
          <w:szCs w:val="28"/>
          <w:rtl/>
        </w:rPr>
        <w:t>موردبررسی</w:t>
      </w:r>
      <w:r w:rsidRPr="00513B6F">
        <w:rPr>
          <w:rFonts w:ascii="IRBadr" w:hAnsi="IRBadr" w:cs="IRBadr"/>
          <w:sz w:val="28"/>
          <w:szCs w:val="28"/>
          <w:rtl/>
        </w:rPr>
        <w:t xml:space="preserve"> قرار گیرد.</w:t>
      </w:r>
    </w:p>
    <w:p w:rsidR="0039750A" w:rsidRPr="00513B6F" w:rsidRDefault="0039750A" w:rsidP="0039750A">
      <w:pPr>
        <w:pStyle w:val="Heading2"/>
        <w:rPr>
          <w:rFonts w:ascii="IRBadr" w:hAnsi="IRBadr" w:cs="IRBadr"/>
          <w:rtl/>
        </w:rPr>
      </w:pPr>
      <w:bookmarkStart w:id="6" w:name="_Toc431537125"/>
      <w:r w:rsidRPr="00513B6F">
        <w:rPr>
          <w:rFonts w:ascii="IRBadr" w:hAnsi="IRBadr" w:cs="IRBadr"/>
          <w:rtl/>
        </w:rPr>
        <w:t>برخی از اقوال تفصیل</w:t>
      </w:r>
      <w:bookmarkEnd w:id="6"/>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مثلاً </w:t>
      </w:r>
      <w:r w:rsidR="00D75A0A" w:rsidRPr="00513B6F">
        <w:rPr>
          <w:rFonts w:ascii="IRBadr" w:hAnsi="IRBadr" w:cs="IRBadr"/>
          <w:sz w:val="28"/>
          <w:szCs w:val="28"/>
          <w:rtl/>
        </w:rPr>
        <w:t>غیرازاین</w:t>
      </w:r>
      <w:r w:rsidRPr="00513B6F">
        <w:rPr>
          <w:rFonts w:ascii="IRBadr" w:hAnsi="IRBadr" w:cs="IRBadr"/>
          <w:sz w:val="28"/>
          <w:szCs w:val="28"/>
          <w:rtl/>
        </w:rPr>
        <w:t xml:space="preserve"> دو قول، ممکن است بگویند در عقود و معاملات، فقط در عبادات جایز نیست، ولی در غیر عبادات جایز است. این احتمال تفصیل بین عبادات و غیر عبادات وجود دارد. </w:t>
      </w:r>
      <w:r w:rsidR="00D75A0A" w:rsidRPr="00513B6F">
        <w:rPr>
          <w:rFonts w:ascii="IRBadr" w:hAnsi="IRBadr" w:cs="IRBadr"/>
          <w:sz w:val="28"/>
          <w:szCs w:val="28"/>
          <w:rtl/>
        </w:rPr>
        <w:t>این‌یک</w:t>
      </w:r>
      <w:r w:rsidRPr="00513B6F">
        <w:rPr>
          <w:rFonts w:ascii="IRBadr" w:hAnsi="IRBadr" w:cs="IRBadr"/>
          <w:sz w:val="28"/>
          <w:szCs w:val="28"/>
          <w:rtl/>
        </w:rPr>
        <w:t xml:space="preserve"> تفصیل است. و ممکن است کسی تفصیل دیگری بدهد و بگوید در عبادات، عقود و معاملات جایز نیست. اما در بقیه جایز است.</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این هم دو تفصیلی که اینجا نسبتاً جاافتادگی دارد و می‌شود گفت کسانی به آن تمایل داشتند.</w:t>
      </w:r>
    </w:p>
    <w:p w:rsidR="0039750A" w:rsidRPr="00513B6F" w:rsidRDefault="0039750A" w:rsidP="0039750A">
      <w:pPr>
        <w:pStyle w:val="Heading2"/>
        <w:rPr>
          <w:rFonts w:ascii="IRBadr" w:hAnsi="IRBadr" w:cs="IRBadr"/>
          <w:rtl/>
        </w:rPr>
      </w:pPr>
      <w:bookmarkStart w:id="7" w:name="_Toc431537126"/>
      <w:r w:rsidRPr="00513B6F">
        <w:rPr>
          <w:rFonts w:ascii="IRBadr" w:hAnsi="IRBadr" w:cs="IRBadr"/>
          <w:rtl/>
        </w:rPr>
        <w:t>تنقیح موضوع بحث</w:t>
      </w:r>
      <w:bookmarkEnd w:id="7"/>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مقدمه چهارم این است که بحث ما در اینجا در شبهات حکمیه است. نه شبهات موضوعیه؛</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 برای اینکه احتیاط در دو مورد </w:t>
      </w:r>
      <w:r w:rsidR="00D75A0A" w:rsidRPr="00513B6F">
        <w:rPr>
          <w:rFonts w:ascii="IRBadr" w:hAnsi="IRBadr" w:cs="IRBadr"/>
          <w:sz w:val="28"/>
          <w:szCs w:val="28"/>
          <w:rtl/>
        </w:rPr>
        <w:t>قابل‌تصور</w:t>
      </w:r>
      <w:r w:rsidRPr="00513B6F">
        <w:rPr>
          <w:rFonts w:ascii="IRBadr" w:hAnsi="IRBadr" w:cs="IRBadr"/>
          <w:sz w:val="28"/>
          <w:szCs w:val="28"/>
          <w:rtl/>
        </w:rPr>
        <w:t xml:space="preserve"> است چراکه گاهی در شبهه حکمیه کسی تردید دارد، نمی‌داند نماز ظهر وجوب دارد، یا نماز جمعه در روز جمعه، و اصل حکم برای او در </w:t>
      </w:r>
      <w:r w:rsidR="00D75A0A" w:rsidRPr="00513B6F">
        <w:rPr>
          <w:rFonts w:ascii="IRBadr" w:hAnsi="IRBadr" w:cs="IRBadr"/>
          <w:sz w:val="28"/>
          <w:szCs w:val="28"/>
          <w:rtl/>
        </w:rPr>
        <w:t>هاله‌ای</w:t>
      </w:r>
      <w:r w:rsidRPr="00513B6F">
        <w:rPr>
          <w:rFonts w:ascii="IRBadr" w:hAnsi="IRBadr" w:cs="IRBadr"/>
          <w:sz w:val="28"/>
          <w:szCs w:val="28"/>
          <w:rtl/>
        </w:rPr>
        <w:t xml:space="preserve"> از ابهام و محل تردید است و احتیاط می‌کند.</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این احتیاط در شبهات حکمیه است، اما گاهی است که احتیاط در شبهات موضوعیه است. احتیاط در شبهات موضوعیه این است که </w:t>
      </w:r>
      <w:r w:rsidR="00D75A0A" w:rsidRPr="00513B6F">
        <w:rPr>
          <w:rFonts w:ascii="IRBadr" w:hAnsi="IRBadr" w:cs="IRBadr"/>
          <w:sz w:val="28"/>
          <w:szCs w:val="28"/>
          <w:rtl/>
        </w:rPr>
        <w:t>الآن</w:t>
      </w:r>
      <w:r w:rsidRPr="00513B6F">
        <w:rPr>
          <w:rFonts w:ascii="IRBadr" w:hAnsi="IRBadr" w:cs="IRBadr"/>
          <w:sz w:val="28"/>
          <w:szCs w:val="28"/>
          <w:rtl/>
        </w:rPr>
        <w:t xml:space="preserve"> نمی‌داند این ظرف نجس است یا آن ظرف نجس است. لذا از شرب هر دو امتناع می‌کند و یا می‌خواهد نماز بخواند </w:t>
      </w:r>
      <w:r w:rsidRPr="00513B6F">
        <w:rPr>
          <w:rFonts w:ascii="IRBadr" w:hAnsi="IRBadr" w:cs="IRBadr"/>
          <w:sz w:val="28"/>
          <w:szCs w:val="28"/>
          <w:rtl/>
        </w:rPr>
        <w:lastRenderedPageBreak/>
        <w:t xml:space="preserve">ولی نمی‌داند کدام لباس نجس است؟! </w:t>
      </w:r>
      <w:r w:rsidR="00D75A0A" w:rsidRPr="00513B6F">
        <w:rPr>
          <w:rFonts w:ascii="IRBadr" w:hAnsi="IRBadr" w:cs="IRBadr"/>
          <w:sz w:val="28"/>
          <w:szCs w:val="28"/>
          <w:rtl/>
        </w:rPr>
        <w:t>هیچ‌کدام</w:t>
      </w:r>
      <w:r w:rsidRPr="00513B6F">
        <w:rPr>
          <w:rFonts w:ascii="IRBadr" w:hAnsi="IRBadr" w:cs="IRBadr"/>
          <w:sz w:val="28"/>
          <w:szCs w:val="28"/>
          <w:rtl/>
        </w:rPr>
        <w:t xml:space="preserve"> را نمی‌پوشد. این هم در شبهات موضوعیه است. </w:t>
      </w:r>
      <w:r w:rsidR="00D75A0A" w:rsidRPr="00513B6F">
        <w:rPr>
          <w:rFonts w:ascii="IRBadr" w:hAnsi="IRBadr" w:cs="IRBadr"/>
          <w:sz w:val="28"/>
          <w:szCs w:val="28"/>
          <w:rtl/>
        </w:rPr>
        <w:t>آنچه</w:t>
      </w:r>
      <w:r w:rsidRPr="00513B6F">
        <w:rPr>
          <w:rFonts w:ascii="IRBadr" w:hAnsi="IRBadr" w:cs="IRBadr"/>
          <w:sz w:val="28"/>
          <w:szCs w:val="28"/>
          <w:rtl/>
        </w:rPr>
        <w:t xml:space="preserve"> در اینجا موضوع بحث است، احتیاط در شبهات حکمیه است.</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البته با وجوهی در آینده مواجه خواهیم شد که در شبهات موضوعیه هم می‌تواند جاری بشود. ولی محط کلام در اینجا شبهات حکمیه است.</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رازش هم روشن است. چون بحث احتیاطی در اجتهاد و تقلید است، اجتهاد و تقلید هم در شناخت احکام است، و ارتباطی به موضوعات ندارد. ممکن است جایی به موضوعات هم بپردازیم ولی فعلاً آن محل کلام است.</w:t>
      </w:r>
    </w:p>
    <w:p w:rsidR="0039750A" w:rsidRPr="00513B6F" w:rsidRDefault="0039750A" w:rsidP="0039750A">
      <w:pPr>
        <w:pStyle w:val="Heading2"/>
        <w:rPr>
          <w:rFonts w:ascii="IRBadr" w:hAnsi="IRBadr" w:cs="IRBadr"/>
          <w:rtl/>
        </w:rPr>
      </w:pPr>
      <w:bookmarkStart w:id="8" w:name="_Toc431537127"/>
      <w:r w:rsidRPr="00513B6F">
        <w:rPr>
          <w:rFonts w:ascii="IRBadr" w:hAnsi="IRBadr" w:cs="IRBadr"/>
          <w:rtl/>
        </w:rPr>
        <w:t>انواع شبهات حکمیه</w:t>
      </w:r>
      <w:bookmarkEnd w:id="8"/>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نکته پنجم این است که در شبهات حکمیه احکام الزامی و غیر الزامی وجود دارد،</w:t>
      </w:r>
      <w:r w:rsidR="00D75A0A" w:rsidRPr="00513B6F">
        <w:rPr>
          <w:rFonts w:ascii="IRBadr" w:hAnsi="IRBadr" w:cs="IRBadr"/>
          <w:sz w:val="28"/>
          <w:szCs w:val="28"/>
          <w:rtl/>
        </w:rPr>
        <w:t xml:space="preserve"> گاهی</w:t>
      </w:r>
      <w:r w:rsidRPr="00513B6F">
        <w:rPr>
          <w:rFonts w:ascii="IRBadr" w:hAnsi="IRBadr" w:cs="IRBadr"/>
          <w:sz w:val="28"/>
          <w:szCs w:val="28"/>
          <w:rtl/>
        </w:rPr>
        <w:t xml:space="preserve"> ممکن است شبهه در قبال نماز جمعه باشد و گاهی در قبال برخی از زیارات که مستحب است،</w:t>
      </w:r>
      <w:r w:rsidR="00D75A0A" w:rsidRPr="00513B6F">
        <w:rPr>
          <w:rFonts w:ascii="IRBadr" w:hAnsi="IRBadr" w:cs="IRBadr"/>
          <w:sz w:val="28"/>
          <w:szCs w:val="28"/>
          <w:rtl/>
        </w:rPr>
        <w:t xml:space="preserve"> و</w:t>
      </w:r>
      <w:r w:rsidRPr="00513B6F">
        <w:rPr>
          <w:rFonts w:ascii="IRBadr" w:hAnsi="IRBadr" w:cs="IRBadr"/>
          <w:sz w:val="28"/>
          <w:szCs w:val="28"/>
          <w:rtl/>
        </w:rPr>
        <w:t xml:space="preserve"> مشخص است که محط کلام عموم</w:t>
      </w:r>
      <w:r w:rsidR="00D75A0A" w:rsidRPr="00513B6F">
        <w:rPr>
          <w:rFonts w:ascii="IRBadr" w:hAnsi="IRBadr" w:cs="IRBadr"/>
          <w:sz w:val="28"/>
          <w:szCs w:val="28"/>
          <w:rtl/>
        </w:rPr>
        <w:t xml:space="preserve"> </w:t>
      </w:r>
      <w:r w:rsidRPr="00513B6F">
        <w:rPr>
          <w:rFonts w:ascii="IRBadr" w:hAnsi="IRBadr" w:cs="IRBadr"/>
          <w:sz w:val="28"/>
          <w:szCs w:val="28"/>
          <w:rtl/>
        </w:rPr>
        <w:t xml:space="preserve">از هر دو فرض است، برای اینکه </w:t>
      </w:r>
      <w:r w:rsidR="00D75A0A" w:rsidRPr="00513B6F">
        <w:rPr>
          <w:rFonts w:ascii="IRBadr" w:hAnsi="IRBadr" w:cs="IRBadr"/>
          <w:sz w:val="28"/>
          <w:szCs w:val="28"/>
          <w:rtl/>
        </w:rPr>
        <w:t>همان‌طور</w:t>
      </w:r>
      <w:r w:rsidRPr="00513B6F">
        <w:rPr>
          <w:rFonts w:ascii="IRBadr" w:hAnsi="IRBadr" w:cs="IRBadr"/>
          <w:sz w:val="28"/>
          <w:szCs w:val="28"/>
          <w:rtl/>
        </w:rPr>
        <w:t xml:space="preserve"> که در واجبات اجتهاد و تقلید متصور است، در مستحبات و مکروهات اجتهاد و تقلید متصور است.</w:t>
      </w:r>
    </w:p>
    <w:p w:rsidR="0039750A" w:rsidRPr="00513B6F" w:rsidRDefault="0039750A" w:rsidP="0039750A">
      <w:pPr>
        <w:pStyle w:val="Heading2"/>
        <w:rPr>
          <w:rFonts w:ascii="IRBadr" w:hAnsi="IRBadr" w:cs="IRBadr"/>
          <w:rtl/>
        </w:rPr>
      </w:pPr>
      <w:bookmarkStart w:id="9" w:name="_Toc431537128"/>
      <w:r w:rsidRPr="00513B6F">
        <w:rPr>
          <w:rFonts w:ascii="IRBadr" w:hAnsi="IRBadr" w:cs="IRBadr"/>
          <w:rtl/>
        </w:rPr>
        <w:t>شبهات تحریمیه و وجوبیه</w:t>
      </w:r>
      <w:bookmarkEnd w:id="9"/>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مقدمه ششم این است که شبهات گاهی تحریمیه است، گاهی وجوبیه است. در اینجا نیز فرقی </w:t>
      </w:r>
      <w:r w:rsidR="00D75A0A" w:rsidRPr="00513B6F">
        <w:rPr>
          <w:rFonts w:ascii="IRBadr" w:hAnsi="IRBadr" w:cs="IRBadr"/>
          <w:sz w:val="28"/>
          <w:szCs w:val="28"/>
          <w:rtl/>
        </w:rPr>
        <w:t>نمی‌کند</w:t>
      </w:r>
      <w:r w:rsidRPr="00513B6F">
        <w:rPr>
          <w:rFonts w:ascii="IRBadr" w:hAnsi="IRBadr" w:cs="IRBadr"/>
          <w:sz w:val="28"/>
          <w:szCs w:val="28"/>
          <w:rtl/>
        </w:rPr>
        <w:t xml:space="preserve"> و محط کلام عمومیت دارد.</w:t>
      </w:r>
    </w:p>
    <w:p w:rsidR="0039750A" w:rsidRPr="00513B6F" w:rsidRDefault="0039750A" w:rsidP="0039750A">
      <w:pPr>
        <w:pStyle w:val="Heading2"/>
        <w:rPr>
          <w:rFonts w:ascii="IRBadr" w:hAnsi="IRBadr" w:cs="IRBadr"/>
          <w:rtl/>
        </w:rPr>
      </w:pPr>
      <w:bookmarkStart w:id="10" w:name="_Toc431537129"/>
      <w:r w:rsidRPr="00513B6F">
        <w:rPr>
          <w:rFonts w:ascii="IRBadr" w:hAnsi="IRBadr" w:cs="IRBadr"/>
          <w:rtl/>
        </w:rPr>
        <w:t>موارد تمکن مکلف</w:t>
      </w:r>
      <w:bookmarkEnd w:id="10"/>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مکلف گاهی متمکن از اجتهاد و تقلید است و گاهی متمکن نیست،</w:t>
      </w:r>
      <w:r w:rsidR="00D75A0A" w:rsidRPr="00513B6F">
        <w:rPr>
          <w:rFonts w:ascii="IRBadr" w:hAnsi="IRBadr" w:cs="IRBadr"/>
          <w:sz w:val="28"/>
          <w:szCs w:val="28"/>
          <w:rtl/>
        </w:rPr>
        <w:t xml:space="preserve"> چندین</w:t>
      </w:r>
      <w:r w:rsidRPr="00513B6F">
        <w:rPr>
          <w:rFonts w:ascii="IRBadr" w:hAnsi="IRBadr" w:cs="IRBadr"/>
          <w:sz w:val="28"/>
          <w:szCs w:val="28"/>
          <w:rtl/>
        </w:rPr>
        <w:t xml:space="preserve"> صورت در اینجا </w:t>
      </w:r>
      <w:r w:rsidR="00D75A0A" w:rsidRPr="00513B6F">
        <w:rPr>
          <w:rFonts w:ascii="IRBadr" w:hAnsi="IRBadr" w:cs="IRBadr"/>
          <w:sz w:val="28"/>
          <w:szCs w:val="28"/>
          <w:rtl/>
        </w:rPr>
        <w:t>به وجود</w:t>
      </w:r>
      <w:r w:rsidRPr="00513B6F">
        <w:rPr>
          <w:rFonts w:ascii="IRBadr" w:hAnsi="IRBadr" w:cs="IRBadr"/>
          <w:sz w:val="28"/>
          <w:szCs w:val="28"/>
          <w:rtl/>
        </w:rPr>
        <w:t xml:space="preserve"> </w:t>
      </w:r>
      <w:r w:rsidR="00D75A0A" w:rsidRPr="00513B6F">
        <w:rPr>
          <w:rFonts w:ascii="IRBadr" w:hAnsi="IRBadr" w:cs="IRBadr"/>
          <w:sz w:val="28"/>
          <w:szCs w:val="28"/>
          <w:rtl/>
        </w:rPr>
        <w:t>می‌آید</w:t>
      </w:r>
      <w:r w:rsidRPr="00513B6F">
        <w:rPr>
          <w:rFonts w:ascii="IRBadr" w:hAnsi="IRBadr" w:cs="IRBadr"/>
          <w:sz w:val="28"/>
          <w:szCs w:val="28"/>
          <w:rtl/>
        </w:rPr>
        <w:t>،</w:t>
      </w:r>
      <w:r w:rsidR="00D75A0A" w:rsidRPr="00513B6F">
        <w:rPr>
          <w:rFonts w:ascii="IRBadr" w:hAnsi="IRBadr" w:cs="IRBadr"/>
          <w:sz w:val="28"/>
          <w:szCs w:val="28"/>
          <w:rtl/>
        </w:rPr>
        <w:t xml:space="preserve"> صورت</w:t>
      </w:r>
      <w:r w:rsidRPr="00513B6F">
        <w:rPr>
          <w:rFonts w:ascii="IRBadr" w:hAnsi="IRBadr" w:cs="IRBadr"/>
          <w:sz w:val="28"/>
          <w:szCs w:val="28"/>
          <w:rtl/>
        </w:rPr>
        <w:t xml:space="preserve"> اول در اینجا محل کلام نیست و صورت اول این است که متمکن از غیر احتیاط نیست، اگر هم بخواهد باشد، باید جدا </w:t>
      </w:r>
      <w:r w:rsidR="00D75A0A" w:rsidRPr="00513B6F">
        <w:rPr>
          <w:rFonts w:ascii="IRBadr" w:hAnsi="IRBadr" w:cs="IRBadr"/>
          <w:sz w:val="28"/>
          <w:szCs w:val="28"/>
          <w:rtl/>
        </w:rPr>
        <w:t>موردتوجه</w:t>
      </w:r>
      <w:r w:rsidRPr="00513B6F">
        <w:rPr>
          <w:rFonts w:ascii="IRBadr" w:hAnsi="IRBadr" w:cs="IRBadr"/>
          <w:sz w:val="28"/>
          <w:szCs w:val="28"/>
          <w:rtl/>
        </w:rPr>
        <w:t xml:space="preserve"> قرار بدهیم.</w:t>
      </w:r>
    </w:p>
    <w:p w:rsidR="0039750A" w:rsidRPr="00513B6F" w:rsidRDefault="00D75A0A" w:rsidP="0039750A">
      <w:pPr>
        <w:bidi/>
        <w:spacing w:line="360" w:lineRule="auto"/>
        <w:rPr>
          <w:rFonts w:ascii="IRBadr" w:hAnsi="IRBadr" w:cs="IRBadr"/>
          <w:sz w:val="28"/>
          <w:szCs w:val="28"/>
          <w:rtl/>
        </w:rPr>
      </w:pPr>
      <w:r w:rsidRPr="00513B6F">
        <w:rPr>
          <w:rFonts w:ascii="IRBadr" w:hAnsi="IRBadr" w:cs="IRBadr"/>
          <w:sz w:val="28"/>
          <w:szCs w:val="28"/>
          <w:rtl/>
        </w:rPr>
        <w:t>همان‌طور</w:t>
      </w:r>
      <w:r w:rsidR="0039750A" w:rsidRPr="00513B6F">
        <w:rPr>
          <w:rFonts w:ascii="IRBadr" w:hAnsi="IRBadr" w:cs="IRBadr"/>
          <w:sz w:val="28"/>
          <w:szCs w:val="28"/>
          <w:rtl/>
        </w:rPr>
        <w:t xml:space="preserve"> که سابقاً نیز اشاره شد تخییر در اینجا </w:t>
      </w:r>
      <w:r w:rsidRPr="00513B6F">
        <w:rPr>
          <w:rFonts w:ascii="IRBadr" w:hAnsi="IRBadr" w:cs="IRBadr"/>
          <w:sz w:val="28"/>
          <w:szCs w:val="28"/>
          <w:rtl/>
        </w:rPr>
        <w:t>درجایی</w:t>
      </w:r>
      <w:r w:rsidR="0039750A" w:rsidRPr="00513B6F">
        <w:rPr>
          <w:rFonts w:ascii="IRBadr" w:hAnsi="IRBadr" w:cs="IRBadr"/>
          <w:sz w:val="28"/>
          <w:szCs w:val="28"/>
          <w:rtl/>
        </w:rPr>
        <w:t xml:space="preserve"> است که فرد متمکن از تخییر باشد.</w:t>
      </w:r>
    </w:p>
    <w:p w:rsidR="0039750A" w:rsidRPr="00513B6F" w:rsidRDefault="0039750A" w:rsidP="0039750A">
      <w:pPr>
        <w:pStyle w:val="Heading2"/>
        <w:rPr>
          <w:rFonts w:ascii="IRBadr" w:hAnsi="IRBadr" w:cs="IRBadr"/>
          <w:rtl/>
        </w:rPr>
      </w:pPr>
      <w:bookmarkStart w:id="11" w:name="_Toc431537130"/>
      <w:r w:rsidRPr="00513B6F">
        <w:rPr>
          <w:rFonts w:ascii="IRBadr" w:hAnsi="IRBadr" w:cs="IRBadr"/>
          <w:rtl/>
        </w:rPr>
        <w:lastRenderedPageBreak/>
        <w:t>صور عدم امکان احتیاط</w:t>
      </w:r>
      <w:bookmarkEnd w:id="11"/>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مقدمه هشتم به این امر اختصاص </w:t>
      </w:r>
      <w:r w:rsidR="00D75A0A" w:rsidRPr="00513B6F">
        <w:rPr>
          <w:rFonts w:ascii="IRBadr" w:hAnsi="IRBadr" w:cs="IRBadr"/>
          <w:sz w:val="28"/>
          <w:szCs w:val="28"/>
          <w:rtl/>
        </w:rPr>
        <w:t>می‌یابد</w:t>
      </w:r>
      <w:r w:rsidRPr="00513B6F">
        <w:rPr>
          <w:rFonts w:ascii="IRBadr" w:hAnsi="IRBadr" w:cs="IRBadr"/>
          <w:sz w:val="28"/>
          <w:szCs w:val="28"/>
          <w:rtl/>
        </w:rPr>
        <w:t xml:space="preserve"> که موارد عدم امکان احتیاط به دو صورت است؛</w:t>
      </w:r>
      <w:r w:rsidR="00D75A0A" w:rsidRPr="00513B6F">
        <w:rPr>
          <w:rFonts w:ascii="IRBadr" w:hAnsi="IRBadr" w:cs="IRBadr"/>
          <w:sz w:val="28"/>
          <w:szCs w:val="28"/>
          <w:rtl/>
        </w:rPr>
        <w:t xml:space="preserve"> گاهی</w:t>
      </w:r>
      <w:r w:rsidRPr="00513B6F">
        <w:rPr>
          <w:rFonts w:ascii="IRBadr" w:hAnsi="IRBadr" w:cs="IRBadr"/>
          <w:sz w:val="28"/>
          <w:szCs w:val="28"/>
          <w:rtl/>
        </w:rPr>
        <w:t xml:space="preserve"> عدم امکان ذاتی است مثل آنجایی که امر دایر بین وجوب و حرمت یا فعل و ترک است.</w:t>
      </w:r>
      <w:r w:rsidR="00D75A0A" w:rsidRPr="00513B6F">
        <w:rPr>
          <w:rFonts w:ascii="IRBadr" w:hAnsi="IRBadr" w:cs="IRBadr"/>
          <w:sz w:val="28"/>
          <w:szCs w:val="28"/>
          <w:rtl/>
        </w:rPr>
        <w:t xml:space="preserve"> لذا</w:t>
      </w:r>
      <w:r w:rsidRPr="00513B6F">
        <w:rPr>
          <w:rFonts w:ascii="IRBadr" w:hAnsi="IRBadr" w:cs="IRBadr"/>
          <w:sz w:val="28"/>
          <w:szCs w:val="28"/>
          <w:rtl/>
        </w:rPr>
        <w:t xml:space="preserve"> این مورد طبعاً از محل بحث خارج است.</w:t>
      </w:r>
    </w:p>
    <w:p w:rsidR="0039750A" w:rsidRPr="00513B6F" w:rsidRDefault="0039750A" w:rsidP="0039750A">
      <w:pPr>
        <w:pStyle w:val="Heading2"/>
        <w:rPr>
          <w:rFonts w:ascii="IRBadr" w:hAnsi="IRBadr" w:cs="IRBadr"/>
          <w:rtl/>
        </w:rPr>
      </w:pPr>
      <w:bookmarkStart w:id="12" w:name="_Toc431537131"/>
      <w:r w:rsidRPr="00513B6F">
        <w:rPr>
          <w:rFonts w:ascii="IRBadr" w:hAnsi="IRBadr" w:cs="IRBadr"/>
          <w:rtl/>
        </w:rPr>
        <w:t>قسم دوم</w:t>
      </w:r>
      <w:bookmarkEnd w:id="12"/>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اما موردی دیگر عدم امکان به سبب عوارض است که این محل کلام است.</w:t>
      </w:r>
    </w:p>
    <w:p w:rsidR="0039750A" w:rsidRPr="00513B6F" w:rsidRDefault="0039750A" w:rsidP="0039750A">
      <w:pPr>
        <w:pStyle w:val="Heading2"/>
        <w:rPr>
          <w:rFonts w:ascii="IRBadr" w:hAnsi="IRBadr" w:cs="IRBadr"/>
          <w:rtl/>
        </w:rPr>
      </w:pPr>
      <w:bookmarkStart w:id="13" w:name="_Toc431537132"/>
      <w:r w:rsidRPr="00513B6F">
        <w:rPr>
          <w:rFonts w:ascii="IRBadr" w:hAnsi="IRBadr" w:cs="IRBadr"/>
          <w:rtl/>
        </w:rPr>
        <w:t>مراد از جواز</w:t>
      </w:r>
      <w:bookmarkEnd w:id="13"/>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مقدمه نهم که وضوح دارد ولی </w:t>
      </w:r>
      <w:r w:rsidR="00D75A0A" w:rsidRPr="00513B6F">
        <w:rPr>
          <w:rFonts w:ascii="IRBadr" w:hAnsi="IRBadr" w:cs="IRBadr"/>
          <w:sz w:val="28"/>
          <w:szCs w:val="28"/>
          <w:rtl/>
        </w:rPr>
        <w:t>درعین‌حال</w:t>
      </w:r>
      <w:r w:rsidRPr="00513B6F">
        <w:rPr>
          <w:rFonts w:ascii="IRBadr" w:hAnsi="IRBadr" w:cs="IRBadr"/>
          <w:sz w:val="28"/>
          <w:szCs w:val="28"/>
          <w:rtl/>
        </w:rPr>
        <w:t xml:space="preserve"> عرض می‌کنیم این است که جواز در اینجا به معنای خاص نیست. برای اینکه </w:t>
      </w:r>
      <w:r w:rsidR="00D75A0A" w:rsidRPr="00513B6F">
        <w:rPr>
          <w:rFonts w:ascii="IRBadr" w:hAnsi="IRBadr" w:cs="IRBadr"/>
          <w:sz w:val="28"/>
          <w:szCs w:val="28"/>
          <w:rtl/>
        </w:rPr>
        <w:t>علی‌الاصول</w:t>
      </w:r>
      <w:r w:rsidRPr="00513B6F">
        <w:rPr>
          <w:rFonts w:ascii="IRBadr" w:hAnsi="IRBadr" w:cs="IRBadr"/>
          <w:sz w:val="28"/>
          <w:szCs w:val="28"/>
          <w:rtl/>
        </w:rPr>
        <w:t xml:space="preserve"> اگر احتیاط جایز به معنای اعم باشد، مقصود انطباق آن بر حسن و رجحان عقلی است. یعنی اینکه عقلاً رجحان دارد، چون احتیاط اگر جایی جایز به معنای اعم بود، حتماً راجح است و حسن دارد.</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 عقل می‌گوید خیلی بهتر است همه اطراف را بیاورد. و لذا جواز در اینجا به معنای اعم است که با رجحان هم سازگار است.</w:t>
      </w:r>
      <w:r w:rsidR="00D75A0A" w:rsidRPr="00513B6F">
        <w:rPr>
          <w:rFonts w:ascii="IRBadr" w:hAnsi="IRBadr" w:cs="IRBadr"/>
          <w:sz w:val="28"/>
          <w:szCs w:val="28"/>
          <w:rtl/>
        </w:rPr>
        <w:t xml:space="preserve"> البته</w:t>
      </w:r>
      <w:r w:rsidRPr="00513B6F">
        <w:rPr>
          <w:rFonts w:ascii="IRBadr" w:hAnsi="IRBadr" w:cs="IRBadr"/>
          <w:sz w:val="28"/>
          <w:szCs w:val="28"/>
          <w:rtl/>
        </w:rPr>
        <w:t xml:space="preserve"> ممکن است در مواردی جواز به معنای خاص خود صادق باشد.</w:t>
      </w:r>
    </w:p>
    <w:p w:rsidR="0039750A" w:rsidRPr="00513B6F" w:rsidRDefault="0039750A" w:rsidP="0039750A">
      <w:pPr>
        <w:pStyle w:val="Heading2"/>
        <w:rPr>
          <w:rFonts w:ascii="IRBadr" w:hAnsi="IRBadr" w:cs="IRBadr"/>
          <w:rtl/>
        </w:rPr>
      </w:pPr>
      <w:bookmarkStart w:id="14" w:name="_Toc431537133"/>
      <w:r w:rsidRPr="00513B6F">
        <w:rPr>
          <w:rFonts w:ascii="IRBadr" w:hAnsi="IRBadr" w:cs="IRBadr"/>
          <w:rtl/>
        </w:rPr>
        <w:t>اقسام مصداقی احتیاط</w:t>
      </w:r>
      <w:bookmarkEnd w:id="14"/>
    </w:p>
    <w:p w:rsidR="00B31426" w:rsidRPr="00513B6F" w:rsidRDefault="0039750A" w:rsidP="00B31426">
      <w:pPr>
        <w:bidi/>
        <w:spacing w:line="360" w:lineRule="auto"/>
        <w:rPr>
          <w:rFonts w:ascii="IRBadr" w:hAnsi="IRBadr" w:cs="IRBadr"/>
          <w:sz w:val="28"/>
          <w:szCs w:val="28"/>
          <w:rtl/>
        </w:rPr>
      </w:pPr>
      <w:r w:rsidRPr="00513B6F">
        <w:rPr>
          <w:rFonts w:ascii="IRBadr" w:hAnsi="IRBadr" w:cs="IRBadr"/>
          <w:sz w:val="28"/>
          <w:szCs w:val="28"/>
          <w:rtl/>
        </w:rPr>
        <w:t xml:space="preserve">نکته دهم این است که احتیاط </w:t>
      </w:r>
      <w:r w:rsidR="00D75A0A" w:rsidRPr="00513B6F">
        <w:rPr>
          <w:rFonts w:ascii="IRBadr" w:hAnsi="IRBadr" w:cs="IRBadr"/>
          <w:sz w:val="28"/>
          <w:szCs w:val="28"/>
          <w:rtl/>
        </w:rPr>
        <w:t>همان‌طور</w:t>
      </w:r>
      <w:r w:rsidRPr="00513B6F">
        <w:rPr>
          <w:rFonts w:ascii="IRBadr" w:hAnsi="IRBadr" w:cs="IRBadr"/>
          <w:sz w:val="28"/>
          <w:szCs w:val="28"/>
          <w:rtl/>
        </w:rPr>
        <w:t xml:space="preserve"> که باز در کلمات آمده است، به دو قسم تصویر می‌شود. گاهی احتیاط به تکرار عمل است. گاهی نه به غیر تکرار است. احتیاط به تکرار، در آنجایی است که شبهه وجوبیه آمده روی دو عمل مستقل، مثل نماز ظهر و نماز جمعه</w:t>
      </w:r>
      <w:r w:rsidR="00D75A0A" w:rsidRPr="00513B6F">
        <w:rPr>
          <w:rFonts w:ascii="IRBadr" w:hAnsi="IRBadr" w:cs="IRBadr"/>
          <w:sz w:val="28"/>
          <w:szCs w:val="28"/>
          <w:rtl/>
        </w:rPr>
        <w:t xml:space="preserve"> قرارگرفته</w:t>
      </w:r>
      <w:r w:rsidRPr="00513B6F">
        <w:rPr>
          <w:rFonts w:ascii="IRBadr" w:hAnsi="IRBadr" w:cs="IRBadr"/>
          <w:sz w:val="28"/>
          <w:szCs w:val="28"/>
          <w:rtl/>
        </w:rPr>
        <w:t xml:space="preserve"> است.</w:t>
      </w:r>
      <w:r w:rsidR="00D75A0A" w:rsidRPr="00513B6F">
        <w:rPr>
          <w:rFonts w:ascii="IRBadr" w:hAnsi="IRBadr" w:cs="IRBadr"/>
          <w:sz w:val="28"/>
          <w:szCs w:val="28"/>
          <w:rtl/>
        </w:rPr>
        <w:t xml:space="preserve"> این</w:t>
      </w:r>
      <w:r w:rsidRPr="00513B6F">
        <w:rPr>
          <w:rFonts w:ascii="IRBadr" w:hAnsi="IRBadr" w:cs="IRBadr"/>
          <w:sz w:val="28"/>
          <w:szCs w:val="28"/>
          <w:rtl/>
        </w:rPr>
        <w:t xml:space="preserve"> احتیاطش به این است که هر دو را بیاورد و عمل را تکرار کند.</w:t>
      </w:r>
      <w:bookmarkStart w:id="15" w:name="_Toc431537134"/>
    </w:p>
    <w:p w:rsidR="0039750A" w:rsidRPr="00513B6F" w:rsidRDefault="0039750A" w:rsidP="00B31426">
      <w:pPr>
        <w:pStyle w:val="Heading2"/>
        <w:rPr>
          <w:rFonts w:ascii="IRBadr" w:hAnsi="IRBadr" w:cs="IRBadr"/>
          <w:sz w:val="28"/>
          <w:szCs w:val="28"/>
          <w:rtl/>
        </w:rPr>
      </w:pPr>
      <w:r w:rsidRPr="00513B6F">
        <w:rPr>
          <w:rFonts w:ascii="IRBadr" w:hAnsi="IRBadr" w:cs="IRBadr"/>
          <w:rtl/>
        </w:rPr>
        <w:lastRenderedPageBreak/>
        <w:t>قسم دوم</w:t>
      </w:r>
      <w:bookmarkEnd w:id="15"/>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نوع دوم آن است که به غیر تکرار محقق می‌شود. نمی‌داند که جلسه استراحت در نماز واجب است، یا واجب نیست؟ نمی‌داند که قنوت واجب است یا واجب نیست؟ نمی‌داند سه تسبیحات در رکعات ثالثه و رابعه واجب است، یا واجب نیست؟ در اینجا تکرار عمل لازم نیست، بلکه با اتیان به آن امری که مشکوک است در ضمن عمل اتیان محقق می‌شود.</w:t>
      </w:r>
    </w:p>
    <w:p w:rsidR="0039750A" w:rsidRPr="00513B6F" w:rsidRDefault="0039750A" w:rsidP="0039750A">
      <w:pPr>
        <w:pStyle w:val="Heading2"/>
        <w:rPr>
          <w:rFonts w:ascii="IRBadr" w:hAnsi="IRBadr" w:cs="IRBadr"/>
          <w:rtl/>
        </w:rPr>
      </w:pPr>
      <w:bookmarkStart w:id="16" w:name="_Toc431537135"/>
      <w:r w:rsidRPr="00513B6F">
        <w:rPr>
          <w:rFonts w:ascii="IRBadr" w:hAnsi="IRBadr" w:cs="IRBadr"/>
          <w:rtl/>
        </w:rPr>
        <w:t>اقسام قسم دوم</w:t>
      </w:r>
      <w:bookmarkEnd w:id="16"/>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این قسم دوم طبعاً به دو قسم دیگر انقسام پیدا می‌کند. یکی آنجایی که اقل و اکثر ارتباطی هستند، یکی آنجایی که اقل و اکثر استقلالی هستند. اقل و اکثر ارتباطی مثل نماز است که در ضمن نماز این جزء را هم می‌گنجاند که مجموعه </w:t>
      </w:r>
      <w:r w:rsidR="00D75A0A" w:rsidRPr="00513B6F">
        <w:rPr>
          <w:rFonts w:ascii="IRBadr" w:hAnsi="IRBadr" w:cs="IRBadr"/>
          <w:sz w:val="28"/>
          <w:szCs w:val="28"/>
          <w:rtl/>
        </w:rPr>
        <w:t>درواقع</w:t>
      </w:r>
      <w:r w:rsidRPr="00513B6F">
        <w:rPr>
          <w:rFonts w:ascii="IRBadr" w:hAnsi="IRBadr" w:cs="IRBadr"/>
          <w:sz w:val="28"/>
          <w:szCs w:val="28"/>
          <w:rtl/>
        </w:rPr>
        <w:t xml:space="preserve"> یک حکم و هویت دارد. قسم دوم این است که مثلاً یک تومان به او بدهد یا دو تومان؟ این شبهه موضوعیه است.</w:t>
      </w:r>
    </w:p>
    <w:p w:rsidR="0039750A" w:rsidRPr="00513B6F" w:rsidRDefault="0039750A" w:rsidP="0039750A">
      <w:pPr>
        <w:pStyle w:val="Heading2"/>
        <w:rPr>
          <w:rFonts w:ascii="IRBadr" w:hAnsi="IRBadr" w:cs="IRBadr"/>
          <w:rtl/>
        </w:rPr>
      </w:pPr>
      <w:bookmarkStart w:id="17" w:name="_Toc431537136"/>
      <w:r w:rsidRPr="00513B6F">
        <w:rPr>
          <w:rFonts w:ascii="IRBadr" w:hAnsi="IRBadr" w:cs="IRBadr"/>
          <w:rtl/>
        </w:rPr>
        <w:t>وجوه منع احتیاط</w:t>
      </w:r>
      <w:bookmarkEnd w:id="17"/>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مقدمه یازدهم این است که وجوهی که برای منع از احتیاط ذکر خواهیم کرد، بر چند قسم است. یا </w:t>
      </w:r>
      <w:r w:rsidR="00D75A0A" w:rsidRPr="00513B6F">
        <w:rPr>
          <w:rFonts w:ascii="IRBadr" w:hAnsi="IRBadr" w:cs="IRBadr"/>
          <w:sz w:val="28"/>
          <w:szCs w:val="28"/>
          <w:rtl/>
        </w:rPr>
        <w:t>به‌عبارت‌دیگر</w:t>
      </w:r>
      <w:r w:rsidRPr="00513B6F">
        <w:rPr>
          <w:rFonts w:ascii="IRBadr" w:hAnsi="IRBadr" w:cs="IRBadr"/>
          <w:sz w:val="28"/>
          <w:szCs w:val="28"/>
          <w:rtl/>
        </w:rPr>
        <w:t xml:space="preserve"> عناوینی که موجب می‌شود بگوییم احتیاط جایز نیست. چند نوع است.</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گاهی عناوین از یک منظر تقسیم می‌شود به عناوین اولیه و عناوین ثانویه. در اینجا در حقیقت گاهی مشکل احتیاط در </w:t>
      </w:r>
      <w:r w:rsidR="00D75A0A" w:rsidRPr="00513B6F">
        <w:rPr>
          <w:rFonts w:ascii="IRBadr" w:hAnsi="IRBadr" w:cs="IRBadr"/>
          <w:sz w:val="28"/>
          <w:szCs w:val="28"/>
          <w:rtl/>
        </w:rPr>
        <w:t>تک‌تک</w:t>
      </w:r>
      <w:r w:rsidRPr="00513B6F">
        <w:rPr>
          <w:rFonts w:ascii="IRBadr" w:hAnsi="IRBadr" w:cs="IRBadr"/>
          <w:sz w:val="28"/>
          <w:szCs w:val="28"/>
          <w:rtl/>
        </w:rPr>
        <w:t xml:space="preserve"> موارد با </w:t>
      </w:r>
      <w:r w:rsidR="00D75A0A" w:rsidRPr="00513B6F">
        <w:rPr>
          <w:rFonts w:ascii="IRBadr" w:hAnsi="IRBadr" w:cs="IRBadr"/>
          <w:sz w:val="28"/>
          <w:szCs w:val="28"/>
          <w:rtl/>
        </w:rPr>
        <w:t>قطع‌نظر</w:t>
      </w:r>
      <w:r w:rsidRPr="00513B6F">
        <w:rPr>
          <w:rFonts w:ascii="IRBadr" w:hAnsi="IRBadr" w:cs="IRBadr"/>
          <w:sz w:val="28"/>
          <w:szCs w:val="28"/>
          <w:rtl/>
        </w:rPr>
        <w:t xml:space="preserve"> از بقیه موارد است و هر موردی مستقلاً احتیاط در آن محل اشکال است، ولی گاهی احتیاط در مجموعه مشکل دارد، نه </w:t>
      </w:r>
      <w:r w:rsidR="00D75A0A" w:rsidRPr="00513B6F">
        <w:rPr>
          <w:rFonts w:ascii="IRBadr" w:hAnsi="IRBadr" w:cs="IRBadr"/>
          <w:sz w:val="28"/>
          <w:szCs w:val="28"/>
          <w:rtl/>
        </w:rPr>
        <w:t>به‌صورت</w:t>
      </w:r>
      <w:r w:rsidRPr="00513B6F">
        <w:rPr>
          <w:rFonts w:ascii="IRBadr" w:hAnsi="IRBadr" w:cs="IRBadr"/>
          <w:sz w:val="28"/>
          <w:szCs w:val="28"/>
          <w:rtl/>
        </w:rPr>
        <w:t xml:space="preserve"> </w:t>
      </w:r>
      <w:r w:rsidR="00D75A0A" w:rsidRPr="00513B6F">
        <w:rPr>
          <w:rFonts w:ascii="IRBadr" w:hAnsi="IRBadr" w:cs="IRBadr"/>
          <w:sz w:val="28"/>
          <w:szCs w:val="28"/>
          <w:rtl/>
        </w:rPr>
        <w:t>تک‌تک</w:t>
      </w:r>
      <w:r w:rsidRPr="00513B6F">
        <w:rPr>
          <w:rFonts w:ascii="IRBadr" w:hAnsi="IRBadr" w:cs="IRBadr"/>
          <w:sz w:val="28"/>
          <w:szCs w:val="28"/>
          <w:rtl/>
        </w:rPr>
        <w:t>. حالت اولی استغراقی و دومی حالت مجموعی است.</w:t>
      </w:r>
    </w:p>
    <w:p w:rsidR="0039750A" w:rsidRPr="00513B6F" w:rsidRDefault="0039750A" w:rsidP="0039750A">
      <w:pPr>
        <w:pStyle w:val="Heading2"/>
        <w:rPr>
          <w:rFonts w:ascii="IRBadr" w:hAnsi="IRBadr" w:cs="IRBadr"/>
          <w:rtl/>
        </w:rPr>
      </w:pPr>
      <w:bookmarkStart w:id="18" w:name="_Toc431537137"/>
      <w:r w:rsidRPr="00513B6F">
        <w:rPr>
          <w:rFonts w:ascii="IRBadr" w:hAnsi="IRBadr" w:cs="IRBadr"/>
          <w:rtl/>
        </w:rPr>
        <w:t>مصداقی از بحث</w:t>
      </w:r>
      <w:bookmarkEnd w:id="18"/>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یک نوعش این است که در باب طهارت و نجاست شخصی خودش احتیاط می‌کند، ولی اگر بخواهد در همه ابواب احتیاط کند، آن موجب وهنی می‌شود.</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lastRenderedPageBreak/>
        <w:t xml:space="preserve">این یازده </w:t>
      </w:r>
      <w:r w:rsidR="00D75A0A" w:rsidRPr="00513B6F">
        <w:rPr>
          <w:rFonts w:ascii="IRBadr" w:hAnsi="IRBadr" w:cs="IRBadr"/>
          <w:sz w:val="28"/>
          <w:szCs w:val="28"/>
          <w:rtl/>
        </w:rPr>
        <w:t>مقدمه‌ای</w:t>
      </w:r>
      <w:r w:rsidRPr="00513B6F">
        <w:rPr>
          <w:rFonts w:ascii="IRBadr" w:hAnsi="IRBadr" w:cs="IRBadr"/>
          <w:sz w:val="28"/>
          <w:szCs w:val="28"/>
          <w:rtl/>
        </w:rPr>
        <w:t xml:space="preserve"> بود که دورنمای بحث را واضح می‌کند و نشان می‌دهد که فروع و شعب مسئله به چه شکلی است. بعد از فراغ از این مقدمات که دورنمای مسئله را نشان می‌دهد وارد بحث در چند مقام می‌شویم</w:t>
      </w:r>
      <w:r w:rsidR="00D75A0A" w:rsidRPr="00513B6F">
        <w:rPr>
          <w:rFonts w:ascii="IRBadr" w:hAnsi="IRBadr" w:cs="IRBadr"/>
          <w:sz w:val="28"/>
          <w:szCs w:val="28"/>
          <w:rtl/>
        </w:rPr>
        <w:t xml:space="preserve"> </w:t>
      </w:r>
      <w:r w:rsidRPr="00513B6F">
        <w:rPr>
          <w:rFonts w:ascii="IRBadr" w:hAnsi="IRBadr" w:cs="IRBadr"/>
          <w:sz w:val="28"/>
          <w:szCs w:val="28"/>
          <w:rtl/>
        </w:rPr>
        <w:t xml:space="preserve">که چند مورد از </w:t>
      </w:r>
      <w:r w:rsidR="00D75A0A" w:rsidRPr="00513B6F">
        <w:rPr>
          <w:rFonts w:ascii="IRBadr" w:hAnsi="IRBadr" w:cs="IRBadr"/>
          <w:sz w:val="28"/>
          <w:szCs w:val="28"/>
          <w:rtl/>
        </w:rPr>
        <w:t>آن‌ها</w:t>
      </w:r>
      <w:r w:rsidRPr="00513B6F">
        <w:rPr>
          <w:rFonts w:ascii="IRBadr" w:hAnsi="IRBadr" w:cs="IRBadr"/>
          <w:sz w:val="28"/>
          <w:szCs w:val="28"/>
          <w:rtl/>
        </w:rPr>
        <w:t xml:space="preserve"> واضح است.</w:t>
      </w:r>
    </w:p>
    <w:p w:rsidR="0039750A" w:rsidRPr="00513B6F" w:rsidRDefault="0039750A" w:rsidP="0039750A">
      <w:pPr>
        <w:pStyle w:val="Heading2"/>
        <w:rPr>
          <w:rFonts w:ascii="IRBadr" w:hAnsi="IRBadr" w:cs="IRBadr"/>
          <w:rtl/>
        </w:rPr>
      </w:pPr>
      <w:r w:rsidRPr="00513B6F">
        <w:rPr>
          <w:rFonts w:ascii="IRBadr" w:hAnsi="IRBadr" w:cs="IRBadr"/>
          <w:rtl/>
        </w:rPr>
        <w:t xml:space="preserve"> </w:t>
      </w:r>
      <w:bookmarkStart w:id="19" w:name="_Toc431537138"/>
      <w:r w:rsidRPr="00513B6F">
        <w:rPr>
          <w:rFonts w:ascii="IRBadr" w:hAnsi="IRBadr" w:cs="IRBadr"/>
          <w:rtl/>
        </w:rPr>
        <w:t>مقام اول</w:t>
      </w:r>
      <w:bookmarkEnd w:id="19"/>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مقام اول در قسم اول است که توصلیات غیر انشائی و </w:t>
      </w:r>
      <w:r w:rsidR="00D75A0A" w:rsidRPr="00513B6F">
        <w:rPr>
          <w:rFonts w:ascii="IRBadr" w:hAnsi="IRBadr" w:cs="IRBadr"/>
          <w:sz w:val="28"/>
          <w:szCs w:val="28"/>
          <w:rtl/>
        </w:rPr>
        <w:t>غیرعبادی</w:t>
      </w:r>
      <w:r w:rsidRPr="00513B6F">
        <w:rPr>
          <w:rFonts w:ascii="IRBadr" w:hAnsi="IRBadr" w:cs="IRBadr"/>
          <w:sz w:val="28"/>
          <w:szCs w:val="28"/>
          <w:rtl/>
        </w:rPr>
        <w:t xml:space="preserve"> است. تکالیفی که جزء توصلیات است نه متقوم به انشاء، یعنی از عقود و ایقاعات نیست،</w:t>
      </w:r>
      <w:r w:rsidR="00D75A0A" w:rsidRPr="00513B6F">
        <w:rPr>
          <w:rFonts w:ascii="IRBadr" w:hAnsi="IRBadr" w:cs="IRBadr"/>
          <w:sz w:val="28"/>
          <w:szCs w:val="28"/>
          <w:rtl/>
        </w:rPr>
        <w:t xml:space="preserve"> بلکه</w:t>
      </w:r>
      <w:r w:rsidRPr="00513B6F">
        <w:rPr>
          <w:rFonts w:ascii="IRBadr" w:hAnsi="IRBadr" w:cs="IRBadr"/>
          <w:sz w:val="28"/>
          <w:szCs w:val="28"/>
          <w:rtl/>
        </w:rPr>
        <w:t xml:space="preserve"> متقوم </w:t>
      </w:r>
      <w:r w:rsidR="00D75A0A" w:rsidRPr="00513B6F">
        <w:rPr>
          <w:rFonts w:ascii="IRBadr" w:hAnsi="IRBadr" w:cs="IRBadr"/>
          <w:sz w:val="28"/>
          <w:szCs w:val="28"/>
          <w:rtl/>
        </w:rPr>
        <w:t>به‌قصد</w:t>
      </w:r>
      <w:r w:rsidRPr="00513B6F">
        <w:rPr>
          <w:rFonts w:ascii="IRBadr" w:hAnsi="IRBadr" w:cs="IRBadr"/>
          <w:sz w:val="28"/>
          <w:szCs w:val="28"/>
          <w:rtl/>
        </w:rPr>
        <w:t xml:space="preserve"> قربت و عبادت است، این نوع تکالیف عامی که به آن معاملات به معنای عام </w:t>
      </w:r>
      <w:r w:rsidR="00D75A0A" w:rsidRPr="00513B6F">
        <w:rPr>
          <w:rFonts w:ascii="IRBadr" w:hAnsi="IRBadr" w:cs="IRBadr"/>
          <w:sz w:val="28"/>
          <w:szCs w:val="28"/>
          <w:rtl/>
        </w:rPr>
        <w:t>می‌گویند</w:t>
      </w:r>
      <w:r w:rsidRPr="00513B6F">
        <w:rPr>
          <w:rFonts w:ascii="IRBadr" w:hAnsi="IRBadr" w:cs="IRBadr"/>
          <w:sz w:val="28"/>
          <w:szCs w:val="28"/>
          <w:rtl/>
        </w:rPr>
        <w:t>،</w:t>
      </w:r>
      <w:r w:rsidR="00D75A0A" w:rsidRPr="00513B6F">
        <w:rPr>
          <w:rFonts w:ascii="IRBadr" w:hAnsi="IRBadr" w:cs="IRBadr"/>
          <w:sz w:val="28"/>
          <w:szCs w:val="28"/>
          <w:rtl/>
        </w:rPr>
        <w:t xml:space="preserve"> این</w:t>
      </w:r>
      <w:r w:rsidRPr="00513B6F">
        <w:rPr>
          <w:rFonts w:ascii="IRBadr" w:hAnsi="IRBadr" w:cs="IRBadr"/>
          <w:sz w:val="28"/>
          <w:szCs w:val="28"/>
          <w:rtl/>
        </w:rPr>
        <w:t xml:space="preserve"> سؤال در آن مطرح است که آیا احتیاط در آن جایز است، یا جایز نیست؟</w:t>
      </w:r>
    </w:p>
    <w:p w:rsidR="0039750A" w:rsidRPr="00513B6F" w:rsidRDefault="0039750A" w:rsidP="0039750A">
      <w:pPr>
        <w:bidi/>
        <w:spacing w:line="360" w:lineRule="auto"/>
        <w:rPr>
          <w:rFonts w:ascii="IRBadr" w:hAnsi="IRBadr" w:cs="IRBadr"/>
          <w:sz w:val="28"/>
          <w:szCs w:val="28"/>
          <w:rtl/>
        </w:rPr>
      </w:pPr>
      <w:r w:rsidRPr="00513B6F">
        <w:rPr>
          <w:rFonts w:ascii="IRBadr" w:hAnsi="IRBadr" w:cs="IRBadr"/>
          <w:sz w:val="28"/>
          <w:szCs w:val="28"/>
          <w:rtl/>
        </w:rPr>
        <w:t xml:space="preserve"> این از آن مواردی است که </w:t>
      </w:r>
      <w:r w:rsidR="00D75A0A" w:rsidRPr="00513B6F">
        <w:rPr>
          <w:rFonts w:ascii="IRBadr" w:hAnsi="IRBadr" w:cs="IRBadr"/>
          <w:sz w:val="28"/>
          <w:szCs w:val="28"/>
          <w:rtl/>
        </w:rPr>
        <w:t>ادعاشده</w:t>
      </w:r>
      <w:r w:rsidRPr="00513B6F">
        <w:rPr>
          <w:rFonts w:ascii="IRBadr" w:hAnsi="IRBadr" w:cs="IRBadr"/>
          <w:sz w:val="28"/>
          <w:szCs w:val="28"/>
          <w:rtl/>
        </w:rPr>
        <w:t xml:space="preserve"> که </w:t>
      </w:r>
      <w:r w:rsidR="00D75A0A" w:rsidRPr="00513B6F">
        <w:rPr>
          <w:rFonts w:ascii="IRBadr" w:hAnsi="IRBadr" w:cs="IRBadr"/>
          <w:sz w:val="28"/>
          <w:szCs w:val="28"/>
          <w:rtl/>
        </w:rPr>
        <w:t>هیچ‌کس</w:t>
      </w:r>
      <w:r w:rsidRPr="00513B6F">
        <w:rPr>
          <w:rFonts w:ascii="IRBadr" w:hAnsi="IRBadr" w:cs="IRBadr"/>
          <w:sz w:val="28"/>
          <w:szCs w:val="28"/>
          <w:rtl/>
        </w:rPr>
        <w:t xml:space="preserve"> در این اختلافی ندارد که احتیاط جایز است.</w:t>
      </w:r>
    </w:p>
    <w:p w:rsidR="0039750A" w:rsidRPr="00513B6F" w:rsidRDefault="0039750A" w:rsidP="0039750A">
      <w:pPr>
        <w:bidi/>
        <w:spacing w:line="360" w:lineRule="auto"/>
        <w:rPr>
          <w:rFonts w:ascii="IRBadr" w:hAnsi="IRBadr" w:cs="IRBadr"/>
          <w:rtl/>
        </w:rPr>
      </w:pPr>
    </w:p>
    <w:p w:rsidR="00152670" w:rsidRPr="00513B6F" w:rsidRDefault="00152670" w:rsidP="00734D59">
      <w:pPr>
        <w:bidi/>
        <w:rPr>
          <w:rFonts w:ascii="IRBadr" w:hAnsi="IRBadr" w:cs="IRBadr"/>
          <w:rtl/>
          <w:lang w:bidi="fa-IR"/>
        </w:rPr>
      </w:pPr>
    </w:p>
    <w:sectPr w:rsidR="00152670" w:rsidRPr="00513B6F"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43" w:rsidRDefault="00600343" w:rsidP="000D5800">
      <w:pPr>
        <w:spacing w:after="0" w:line="240" w:lineRule="auto"/>
      </w:pPr>
      <w:r>
        <w:separator/>
      </w:r>
    </w:p>
  </w:endnote>
  <w:endnote w:type="continuationSeparator" w:id="0">
    <w:p w:rsidR="00600343" w:rsidRDefault="00600343"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0A" w:rsidRDefault="00D75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0A" w:rsidRDefault="00D75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0A" w:rsidRDefault="00D7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43" w:rsidRDefault="00600343" w:rsidP="000D5800">
      <w:pPr>
        <w:spacing w:after="0" w:line="240" w:lineRule="auto"/>
      </w:pPr>
      <w:r>
        <w:separator/>
      </w:r>
    </w:p>
  </w:footnote>
  <w:footnote w:type="continuationSeparator" w:id="0">
    <w:p w:rsidR="00600343" w:rsidRDefault="00600343"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0A" w:rsidRDefault="00D75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9750A">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DA994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9750A">
      <w:rPr>
        <w:rFonts w:ascii="IranNastaliq" w:hAnsi="IranNastaliq" w:cs="IranNastaliq" w:hint="cs"/>
        <w:sz w:val="40"/>
        <w:szCs w:val="40"/>
        <w:rtl/>
        <w:lang w:bidi="fa-IR"/>
      </w:rPr>
      <w:t>4594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0A" w:rsidRDefault="00D7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56CF3"/>
    <w:rsid w:val="00166DD8"/>
    <w:rsid w:val="001712D6"/>
    <w:rsid w:val="001757C8"/>
    <w:rsid w:val="00177934"/>
    <w:rsid w:val="00192A6A"/>
    <w:rsid w:val="00197CDD"/>
    <w:rsid w:val="001B6646"/>
    <w:rsid w:val="001C367D"/>
    <w:rsid w:val="001D24F8"/>
    <w:rsid w:val="001E306E"/>
    <w:rsid w:val="001E3FB0"/>
    <w:rsid w:val="001E4FFF"/>
    <w:rsid w:val="001F2E3E"/>
    <w:rsid w:val="00224C0A"/>
    <w:rsid w:val="002376A5"/>
    <w:rsid w:val="002417C9"/>
    <w:rsid w:val="002529C5"/>
    <w:rsid w:val="00270294"/>
    <w:rsid w:val="002914BD"/>
    <w:rsid w:val="00297263"/>
    <w:rsid w:val="002C291B"/>
    <w:rsid w:val="002C56FD"/>
    <w:rsid w:val="002C7C91"/>
    <w:rsid w:val="002D49E4"/>
    <w:rsid w:val="002E450B"/>
    <w:rsid w:val="002E73F9"/>
    <w:rsid w:val="002F05B9"/>
    <w:rsid w:val="003027A8"/>
    <w:rsid w:val="00303DB6"/>
    <w:rsid w:val="00340BA3"/>
    <w:rsid w:val="00366400"/>
    <w:rsid w:val="00392E9A"/>
    <w:rsid w:val="00396F28"/>
    <w:rsid w:val="0039750A"/>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B337F"/>
    <w:rsid w:val="004F3596"/>
    <w:rsid w:val="00513B6F"/>
    <w:rsid w:val="00572680"/>
    <w:rsid w:val="00572E2D"/>
    <w:rsid w:val="00592103"/>
    <w:rsid w:val="005A545E"/>
    <w:rsid w:val="005A5862"/>
    <w:rsid w:val="005B0852"/>
    <w:rsid w:val="005C06AE"/>
    <w:rsid w:val="00600343"/>
    <w:rsid w:val="00610C18"/>
    <w:rsid w:val="0061376C"/>
    <w:rsid w:val="00636EFA"/>
    <w:rsid w:val="0066229C"/>
    <w:rsid w:val="0069696C"/>
    <w:rsid w:val="006A085A"/>
    <w:rsid w:val="006B0BCE"/>
    <w:rsid w:val="006D3A87"/>
    <w:rsid w:val="006F01B4"/>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61C98"/>
    <w:rsid w:val="00963AA3"/>
    <w:rsid w:val="00980643"/>
    <w:rsid w:val="009B61C3"/>
    <w:rsid w:val="009C7B4F"/>
    <w:rsid w:val="009E588F"/>
    <w:rsid w:val="009F4EB3"/>
    <w:rsid w:val="00A06D48"/>
    <w:rsid w:val="00A21834"/>
    <w:rsid w:val="00A31C17"/>
    <w:rsid w:val="00A31FDE"/>
    <w:rsid w:val="00A35AC2"/>
    <w:rsid w:val="00A37C77"/>
    <w:rsid w:val="00A5418D"/>
    <w:rsid w:val="00A725C2"/>
    <w:rsid w:val="00A769EE"/>
    <w:rsid w:val="00A810A5"/>
    <w:rsid w:val="00A90ACB"/>
    <w:rsid w:val="00A9616A"/>
    <w:rsid w:val="00A96F68"/>
    <w:rsid w:val="00AA2342"/>
    <w:rsid w:val="00AD0304"/>
    <w:rsid w:val="00AD27BE"/>
    <w:rsid w:val="00AF0F1A"/>
    <w:rsid w:val="00B06BB8"/>
    <w:rsid w:val="00B15027"/>
    <w:rsid w:val="00B21CF4"/>
    <w:rsid w:val="00B24300"/>
    <w:rsid w:val="00B31426"/>
    <w:rsid w:val="00B63F15"/>
    <w:rsid w:val="00B7512E"/>
    <w:rsid w:val="00B85A27"/>
    <w:rsid w:val="00BB5F7E"/>
    <w:rsid w:val="00BB6A1C"/>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5A0A"/>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F8176-EDB1-400B-8EF7-99C10C86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76</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21</cp:revision>
  <dcterms:created xsi:type="dcterms:W3CDTF">2014-11-18T06:47:00Z</dcterms:created>
  <dcterms:modified xsi:type="dcterms:W3CDTF">2015-09-01T07:08:00Z</dcterms:modified>
</cp:coreProperties>
</file>