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1DC" w:rsidRDefault="00AF21DC" w:rsidP="00AF21DC">
      <w:pPr>
        <w:bidi/>
        <w:rPr>
          <w:noProof/>
        </w:rPr>
      </w:pPr>
      <w:r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F679A9">
        <w:rPr>
          <w:rFonts w:ascii="IRBadr" w:hAnsi="IRBadr" w:cs="IRBadr"/>
          <w:sz w:val="28"/>
          <w:szCs w:val="28"/>
          <w:rtl/>
          <w:lang w:bidi="fa-IR"/>
        </w:rPr>
        <w:t xml:space="preserve"> الرحمن ال</w:t>
      </w:r>
      <w:r w:rsidR="00F679A9">
        <w:rPr>
          <w:rFonts w:ascii="IRBadr" w:hAnsi="IRBadr" w:cs="IRBadr" w:hint="cs"/>
          <w:sz w:val="28"/>
          <w:szCs w:val="28"/>
          <w:rtl/>
          <w:lang w:bidi="fa-IR"/>
        </w:rPr>
        <w:t>رحیم</w:t>
      </w:r>
      <w:r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>
        <w:rPr>
          <w:rFonts w:ascii="IRBadr" w:hAnsi="IRBadr" w:cs="IRBadr" w:hint="cs"/>
          <w:sz w:val="28"/>
          <w:szCs w:val="28"/>
          <w:lang w:bidi="fa-IR"/>
        </w:rPr>
        <w:instrText>TOC</w:instrText>
      </w:r>
      <w:r>
        <w:rPr>
          <w:rFonts w:ascii="IRBadr" w:hAnsi="IRBadr" w:cs="IRBadr" w:hint="cs"/>
          <w:sz w:val="28"/>
          <w:szCs w:val="28"/>
          <w:rtl/>
          <w:lang w:bidi="fa-IR"/>
        </w:rPr>
        <w:instrText xml:space="preserve"> \</w:instrText>
      </w:r>
      <w:r>
        <w:rPr>
          <w:rFonts w:ascii="IRBadr" w:hAnsi="IRBadr" w:cs="IRBadr" w:hint="cs"/>
          <w:sz w:val="28"/>
          <w:szCs w:val="28"/>
          <w:lang w:bidi="fa-IR"/>
        </w:rPr>
        <w:instrText>o "1-5" \h \z \u</w:instrText>
      </w:r>
      <w:r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AF21DC" w:rsidRDefault="00AE6298" w:rsidP="00AF21DC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54187" w:history="1">
        <w:r w:rsidR="00AF21DC" w:rsidRPr="00031DEA">
          <w:rPr>
            <w:rStyle w:val="Hyperlink"/>
            <w:rFonts w:hint="eastAsia"/>
            <w:noProof/>
            <w:rtl/>
          </w:rPr>
          <w:t>جواز</w:t>
        </w:r>
        <w:r w:rsidR="00AF21DC" w:rsidRPr="00031DEA">
          <w:rPr>
            <w:rStyle w:val="Hyperlink"/>
            <w:noProof/>
            <w:rtl/>
          </w:rPr>
          <w:t xml:space="preserve"> </w:t>
        </w:r>
        <w:r w:rsidR="00AF21DC" w:rsidRPr="00031DEA">
          <w:rPr>
            <w:rStyle w:val="Hyperlink"/>
            <w:rFonts w:hint="eastAsia"/>
            <w:noProof/>
            <w:rtl/>
          </w:rPr>
          <w:t>عمل</w:t>
        </w:r>
        <w:r w:rsidR="00AF21DC" w:rsidRPr="00031DEA">
          <w:rPr>
            <w:rStyle w:val="Hyperlink"/>
            <w:noProof/>
            <w:rtl/>
          </w:rPr>
          <w:t xml:space="preserve"> </w:t>
        </w:r>
        <w:r w:rsidR="00AF21DC" w:rsidRPr="00031DEA">
          <w:rPr>
            <w:rStyle w:val="Hyperlink"/>
            <w:rFonts w:hint="eastAsia"/>
            <w:noProof/>
            <w:rtl/>
          </w:rPr>
          <w:t>به</w:t>
        </w:r>
        <w:r w:rsidR="00AF21DC" w:rsidRPr="00031DEA">
          <w:rPr>
            <w:rStyle w:val="Hyperlink"/>
            <w:noProof/>
            <w:rtl/>
          </w:rPr>
          <w:t xml:space="preserve"> </w:t>
        </w:r>
        <w:r w:rsidR="00AF21DC" w:rsidRPr="00031DEA">
          <w:rPr>
            <w:rStyle w:val="Hyperlink"/>
            <w:rFonts w:hint="eastAsia"/>
            <w:noProof/>
            <w:rtl/>
          </w:rPr>
          <w:t>احت</w:t>
        </w:r>
        <w:r w:rsidR="00AF21DC" w:rsidRPr="00031DEA">
          <w:rPr>
            <w:rStyle w:val="Hyperlink"/>
            <w:rFonts w:hint="cs"/>
            <w:noProof/>
            <w:rtl/>
          </w:rPr>
          <w:t>ی</w:t>
        </w:r>
        <w:r w:rsidR="00AF21DC" w:rsidRPr="00031DEA">
          <w:rPr>
            <w:rStyle w:val="Hyperlink"/>
            <w:rFonts w:hint="eastAsia"/>
            <w:noProof/>
            <w:rtl/>
          </w:rPr>
          <w:t>اط</w:t>
        </w:r>
        <w:r w:rsidR="00AF21DC">
          <w:rPr>
            <w:noProof/>
            <w:webHidden/>
          </w:rPr>
          <w:tab/>
        </w:r>
        <w:r w:rsidR="00AF21DC">
          <w:rPr>
            <w:noProof/>
            <w:webHidden/>
          </w:rPr>
          <w:fldChar w:fldCharType="begin"/>
        </w:r>
        <w:r w:rsidR="00AF21DC">
          <w:rPr>
            <w:noProof/>
            <w:webHidden/>
          </w:rPr>
          <w:instrText xml:space="preserve"> PAGEREF _Toc431554187 \h </w:instrText>
        </w:r>
        <w:r w:rsidR="00AF21DC">
          <w:rPr>
            <w:noProof/>
            <w:webHidden/>
          </w:rPr>
        </w:r>
        <w:r w:rsidR="00AF21DC">
          <w:rPr>
            <w:noProof/>
            <w:webHidden/>
          </w:rPr>
          <w:fldChar w:fldCharType="separate"/>
        </w:r>
        <w:r w:rsidR="00AF21DC">
          <w:rPr>
            <w:noProof/>
            <w:webHidden/>
          </w:rPr>
          <w:t>2</w:t>
        </w:r>
        <w:r w:rsidR="00AF21DC">
          <w:rPr>
            <w:noProof/>
            <w:webHidden/>
          </w:rPr>
          <w:fldChar w:fldCharType="end"/>
        </w:r>
      </w:hyperlink>
    </w:p>
    <w:p w:rsidR="00AF21DC" w:rsidRDefault="00AE6298" w:rsidP="00AF21DC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54188" w:history="1">
        <w:r w:rsidR="00AF21DC" w:rsidRPr="00031DEA">
          <w:rPr>
            <w:rStyle w:val="Hyperlink"/>
            <w:rFonts w:hint="eastAsia"/>
            <w:noProof/>
            <w:rtl/>
          </w:rPr>
          <w:t>اتخاذ</w:t>
        </w:r>
        <w:r w:rsidR="00AF21DC" w:rsidRPr="00031DEA">
          <w:rPr>
            <w:rStyle w:val="Hyperlink"/>
            <w:noProof/>
            <w:rtl/>
          </w:rPr>
          <w:t xml:space="preserve"> </w:t>
        </w:r>
        <w:r w:rsidR="00AF21DC" w:rsidRPr="00031DEA">
          <w:rPr>
            <w:rStyle w:val="Hyperlink"/>
            <w:rFonts w:hint="eastAsia"/>
            <w:noProof/>
            <w:rtl/>
          </w:rPr>
          <w:t>مبنا</w:t>
        </w:r>
        <w:r w:rsidR="00AF21DC">
          <w:rPr>
            <w:noProof/>
            <w:webHidden/>
          </w:rPr>
          <w:tab/>
        </w:r>
        <w:r w:rsidR="00AF21DC">
          <w:rPr>
            <w:noProof/>
            <w:webHidden/>
          </w:rPr>
          <w:fldChar w:fldCharType="begin"/>
        </w:r>
        <w:r w:rsidR="00AF21DC">
          <w:rPr>
            <w:noProof/>
            <w:webHidden/>
          </w:rPr>
          <w:instrText xml:space="preserve"> PAGEREF _Toc431554188 \h </w:instrText>
        </w:r>
        <w:r w:rsidR="00AF21DC">
          <w:rPr>
            <w:noProof/>
            <w:webHidden/>
          </w:rPr>
        </w:r>
        <w:r w:rsidR="00AF21DC">
          <w:rPr>
            <w:noProof/>
            <w:webHidden/>
          </w:rPr>
          <w:fldChar w:fldCharType="separate"/>
        </w:r>
        <w:r w:rsidR="00AF21DC">
          <w:rPr>
            <w:noProof/>
            <w:webHidden/>
          </w:rPr>
          <w:t>2</w:t>
        </w:r>
        <w:r w:rsidR="00AF21DC">
          <w:rPr>
            <w:noProof/>
            <w:webHidden/>
          </w:rPr>
          <w:fldChar w:fldCharType="end"/>
        </w:r>
      </w:hyperlink>
    </w:p>
    <w:p w:rsidR="00AF21DC" w:rsidRDefault="00AE6298" w:rsidP="00AF21DC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54189" w:history="1">
        <w:r w:rsidR="00AF21DC" w:rsidRPr="00031DEA">
          <w:rPr>
            <w:rStyle w:val="Hyperlink"/>
            <w:rFonts w:hint="eastAsia"/>
            <w:noProof/>
            <w:rtl/>
          </w:rPr>
          <w:t>انواع</w:t>
        </w:r>
        <w:r w:rsidR="00AF21DC" w:rsidRPr="00031DEA">
          <w:rPr>
            <w:rStyle w:val="Hyperlink"/>
            <w:noProof/>
            <w:rtl/>
          </w:rPr>
          <w:t xml:space="preserve"> </w:t>
        </w:r>
        <w:r w:rsidR="00AF21DC" w:rsidRPr="00031DEA">
          <w:rPr>
            <w:rStyle w:val="Hyperlink"/>
            <w:rFonts w:hint="eastAsia"/>
            <w:noProof/>
            <w:rtl/>
          </w:rPr>
          <w:t>عسر</w:t>
        </w:r>
        <w:r w:rsidR="00AF21DC" w:rsidRPr="00031DEA">
          <w:rPr>
            <w:rStyle w:val="Hyperlink"/>
            <w:noProof/>
            <w:rtl/>
          </w:rPr>
          <w:t xml:space="preserve"> </w:t>
        </w:r>
        <w:r w:rsidR="00AF21DC" w:rsidRPr="00031DEA">
          <w:rPr>
            <w:rStyle w:val="Hyperlink"/>
            <w:rFonts w:hint="eastAsia"/>
            <w:noProof/>
            <w:rtl/>
          </w:rPr>
          <w:t>و</w:t>
        </w:r>
        <w:r w:rsidR="00AF21DC" w:rsidRPr="00031DEA">
          <w:rPr>
            <w:rStyle w:val="Hyperlink"/>
            <w:noProof/>
            <w:rtl/>
          </w:rPr>
          <w:t xml:space="preserve"> </w:t>
        </w:r>
        <w:r w:rsidR="00AF21DC" w:rsidRPr="00031DEA">
          <w:rPr>
            <w:rStyle w:val="Hyperlink"/>
            <w:rFonts w:hint="eastAsia"/>
            <w:noProof/>
            <w:rtl/>
          </w:rPr>
          <w:t>حرج</w:t>
        </w:r>
        <w:r w:rsidR="00AF21DC">
          <w:rPr>
            <w:noProof/>
            <w:webHidden/>
          </w:rPr>
          <w:tab/>
        </w:r>
        <w:r w:rsidR="00AF21DC">
          <w:rPr>
            <w:noProof/>
            <w:webHidden/>
          </w:rPr>
          <w:fldChar w:fldCharType="begin"/>
        </w:r>
        <w:r w:rsidR="00AF21DC">
          <w:rPr>
            <w:noProof/>
            <w:webHidden/>
          </w:rPr>
          <w:instrText xml:space="preserve"> PAGEREF _Toc431554189 \h </w:instrText>
        </w:r>
        <w:r w:rsidR="00AF21DC">
          <w:rPr>
            <w:noProof/>
            <w:webHidden/>
          </w:rPr>
        </w:r>
        <w:r w:rsidR="00AF21DC">
          <w:rPr>
            <w:noProof/>
            <w:webHidden/>
          </w:rPr>
          <w:fldChar w:fldCharType="separate"/>
        </w:r>
        <w:r w:rsidR="00AF21DC">
          <w:rPr>
            <w:noProof/>
            <w:webHidden/>
          </w:rPr>
          <w:t>2</w:t>
        </w:r>
        <w:r w:rsidR="00AF21DC">
          <w:rPr>
            <w:noProof/>
            <w:webHidden/>
          </w:rPr>
          <w:fldChar w:fldCharType="end"/>
        </w:r>
      </w:hyperlink>
    </w:p>
    <w:p w:rsidR="00AF21DC" w:rsidRDefault="00AE6298" w:rsidP="00AF21DC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54190" w:history="1">
        <w:r w:rsidR="00AF21DC" w:rsidRPr="00031DEA">
          <w:rPr>
            <w:rStyle w:val="Hyperlink"/>
            <w:rFonts w:hint="eastAsia"/>
            <w:noProof/>
            <w:rtl/>
          </w:rPr>
          <w:t>حرج</w:t>
        </w:r>
        <w:r w:rsidR="00AF21DC" w:rsidRPr="00031DEA">
          <w:rPr>
            <w:rStyle w:val="Hyperlink"/>
            <w:noProof/>
            <w:rtl/>
          </w:rPr>
          <w:t xml:space="preserve"> </w:t>
        </w:r>
        <w:r w:rsidR="00AF21DC" w:rsidRPr="00031DEA">
          <w:rPr>
            <w:rStyle w:val="Hyperlink"/>
            <w:rFonts w:hint="eastAsia"/>
            <w:noProof/>
            <w:rtl/>
          </w:rPr>
          <w:t>مجموع</w:t>
        </w:r>
        <w:r w:rsidR="00AF21DC" w:rsidRPr="00031DEA">
          <w:rPr>
            <w:rStyle w:val="Hyperlink"/>
            <w:rFonts w:hint="cs"/>
            <w:noProof/>
            <w:rtl/>
          </w:rPr>
          <w:t>ی</w:t>
        </w:r>
        <w:r w:rsidR="00AF21DC">
          <w:rPr>
            <w:noProof/>
            <w:webHidden/>
          </w:rPr>
          <w:tab/>
        </w:r>
        <w:r w:rsidR="00AF21DC">
          <w:rPr>
            <w:noProof/>
            <w:webHidden/>
          </w:rPr>
          <w:fldChar w:fldCharType="begin"/>
        </w:r>
        <w:r w:rsidR="00AF21DC">
          <w:rPr>
            <w:noProof/>
            <w:webHidden/>
          </w:rPr>
          <w:instrText xml:space="preserve"> PAGEREF _Toc431554190 \h </w:instrText>
        </w:r>
        <w:r w:rsidR="00AF21DC">
          <w:rPr>
            <w:noProof/>
            <w:webHidden/>
          </w:rPr>
        </w:r>
        <w:r w:rsidR="00AF21DC">
          <w:rPr>
            <w:noProof/>
            <w:webHidden/>
          </w:rPr>
          <w:fldChar w:fldCharType="separate"/>
        </w:r>
        <w:r w:rsidR="00AF21DC">
          <w:rPr>
            <w:noProof/>
            <w:webHidden/>
          </w:rPr>
          <w:t>3</w:t>
        </w:r>
        <w:r w:rsidR="00AF21DC">
          <w:rPr>
            <w:noProof/>
            <w:webHidden/>
          </w:rPr>
          <w:fldChar w:fldCharType="end"/>
        </w:r>
      </w:hyperlink>
    </w:p>
    <w:p w:rsidR="00AF21DC" w:rsidRDefault="00AE6298" w:rsidP="00AF21DC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54191" w:history="1">
        <w:r w:rsidR="00AF21DC" w:rsidRPr="00031DEA">
          <w:rPr>
            <w:rStyle w:val="Hyperlink"/>
            <w:rFonts w:hint="eastAsia"/>
            <w:noProof/>
            <w:rtl/>
          </w:rPr>
          <w:t>اتخاذ</w:t>
        </w:r>
        <w:r w:rsidR="00AF21DC" w:rsidRPr="00031DEA">
          <w:rPr>
            <w:rStyle w:val="Hyperlink"/>
            <w:noProof/>
            <w:rtl/>
          </w:rPr>
          <w:t xml:space="preserve"> </w:t>
        </w:r>
        <w:r w:rsidR="00AF21DC" w:rsidRPr="00031DEA">
          <w:rPr>
            <w:rStyle w:val="Hyperlink"/>
            <w:rFonts w:hint="eastAsia"/>
            <w:noProof/>
            <w:rtl/>
          </w:rPr>
          <w:t>مبنا</w:t>
        </w:r>
        <w:r w:rsidR="00AF21DC">
          <w:rPr>
            <w:noProof/>
            <w:webHidden/>
          </w:rPr>
          <w:tab/>
        </w:r>
        <w:r w:rsidR="00AF21DC">
          <w:rPr>
            <w:noProof/>
            <w:webHidden/>
          </w:rPr>
          <w:fldChar w:fldCharType="begin"/>
        </w:r>
        <w:r w:rsidR="00AF21DC">
          <w:rPr>
            <w:noProof/>
            <w:webHidden/>
          </w:rPr>
          <w:instrText xml:space="preserve"> PAGEREF _Toc431554191 \h </w:instrText>
        </w:r>
        <w:r w:rsidR="00AF21DC">
          <w:rPr>
            <w:noProof/>
            <w:webHidden/>
          </w:rPr>
        </w:r>
        <w:r w:rsidR="00AF21DC">
          <w:rPr>
            <w:noProof/>
            <w:webHidden/>
          </w:rPr>
          <w:fldChar w:fldCharType="separate"/>
        </w:r>
        <w:r w:rsidR="00AF21DC">
          <w:rPr>
            <w:noProof/>
            <w:webHidden/>
          </w:rPr>
          <w:t>3</w:t>
        </w:r>
        <w:r w:rsidR="00AF21DC">
          <w:rPr>
            <w:noProof/>
            <w:webHidden/>
          </w:rPr>
          <w:fldChar w:fldCharType="end"/>
        </w:r>
      </w:hyperlink>
    </w:p>
    <w:p w:rsidR="00AF21DC" w:rsidRDefault="00AE6298" w:rsidP="00AF21DC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54192" w:history="1">
        <w:r w:rsidR="00AF21DC" w:rsidRPr="00031DEA">
          <w:rPr>
            <w:rStyle w:val="Hyperlink"/>
            <w:rFonts w:hint="eastAsia"/>
            <w:noProof/>
            <w:rtl/>
          </w:rPr>
          <w:t>مانع</w:t>
        </w:r>
        <w:r w:rsidR="00AF21DC" w:rsidRPr="00031DEA">
          <w:rPr>
            <w:rStyle w:val="Hyperlink"/>
            <w:rFonts w:hint="cs"/>
            <w:noProof/>
            <w:rtl/>
          </w:rPr>
          <w:t>ی</w:t>
        </w:r>
        <w:r w:rsidR="00AF21DC" w:rsidRPr="00031DEA">
          <w:rPr>
            <w:rStyle w:val="Hyperlink"/>
            <w:rFonts w:hint="eastAsia"/>
            <w:noProof/>
            <w:rtl/>
          </w:rPr>
          <w:t>ت</w:t>
        </w:r>
        <w:r w:rsidR="00AF21DC" w:rsidRPr="00031DEA">
          <w:rPr>
            <w:rStyle w:val="Hyperlink"/>
            <w:noProof/>
            <w:rtl/>
          </w:rPr>
          <w:t xml:space="preserve"> </w:t>
        </w:r>
        <w:r w:rsidR="00AF21DC" w:rsidRPr="00031DEA">
          <w:rPr>
            <w:rStyle w:val="Hyperlink"/>
            <w:rFonts w:hint="eastAsia"/>
            <w:noProof/>
            <w:rtl/>
          </w:rPr>
          <w:t>اضرار</w:t>
        </w:r>
        <w:r w:rsidR="00AF21DC">
          <w:rPr>
            <w:noProof/>
            <w:webHidden/>
          </w:rPr>
          <w:tab/>
        </w:r>
        <w:r w:rsidR="00AF21DC">
          <w:rPr>
            <w:noProof/>
            <w:webHidden/>
          </w:rPr>
          <w:fldChar w:fldCharType="begin"/>
        </w:r>
        <w:r w:rsidR="00AF21DC">
          <w:rPr>
            <w:noProof/>
            <w:webHidden/>
          </w:rPr>
          <w:instrText xml:space="preserve"> PAGEREF _Toc431554192 \h </w:instrText>
        </w:r>
        <w:r w:rsidR="00AF21DC">
          <w:rPr>
            <w:noProof/>
            <w:webHidden/>
          </w:rPr>
        </w:r>
        <w:r w:rsidR="00AF21DC">
          <w:rPr>
            <w:noProof/>
            <w:webHidden/>
          </w:rPr>
          <w:fldChar w:fldCharType="separate"/>
        </w:r>
        <w:r w:rsidR="00AF21DC">
          <w:rPr>
            <w:noProof/>
            <w:webHidden/>
          </w:rPr>
          <w:t>3</w:t>
        </w:r>
        <w:r w:rsidR="00AF21DC">
          <w:rPr>
            <w:noProof/>
            <w:webHidden/>
          </w:rPr>
          <w:fldChar w:fldCharType="end"/>
        </w:r>
      </w:hyperlink>
    </w:p>
    <w:p w:rsidR="00AF21DC" w:rsidRDefault="00AE6298" w:rsidP="00AF21DC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54193" w:history="1">
        <w:r w:rsidR="00AF21DC" w:rsidRPr="00031DEA">
          <w:rPr>
            <w:rStyle w:val="Hyperlink"/>
            <w:rFonts w:hint="eastAsia"/>
            <w:noProof/>
            <w:rtl/>
          </w:rPr>
          <w:t>اتخاذ</w:t>
        </w:r>
        <w:r w:rsidR="00AF21DC" w:rsidRPr="00031DEA">
          <w:rPr>
            <w:rStyle w:val="Hyperlink"/>
            <w:noProof/>
            <w:rtl/>
          </w:rPr>
          <w:t xml:space="preserve"> </w:t>
        </w:r>
        <w:r w:rsidR="00AF21DC" w:rsidRPr="00031DEA">
          <w:rPr>
            <w:rStyle w:val="Hyperlink"/>
            <w:rFonts w:hint="eastAsia"/>
            <w:noProof/>
            <w:rtl/>
          </w:rPr>
          <w:t>مبنا</w:t>
        </w:r>
        <w:r w:rsidR="00AF21DC">
          <w:rPr>
            <w:noProof/>
            <w:webHidden/>
          </w:rPr>
          <w:tab/>
        </w:r>
        <w:r w:rsidR="00AF21DC">
          <w:rPr>
            <w:noProof/>
            <w:webHidden/>
          </w:rPr>
          <w:fldChar w:fldCharType="begin"/>
        </w:r>
        <w:r w:rsidR="00AF21DC">
          <w:rPr>
            <w:noProof/>
            <w:webHidden/>
          </w:rPr>
          <w:instrText xml:space="preserve"> PAGEREF _Toc431554193 \h </w:instrText>
        </w:r>
        <w:r w:rsidR="00AF21DC">
          <w:rPr>
            <w:noProof/>
            <w:webHidden/>
          </w:rPr>
        </w:r>
        <w:r w:rsidR="00AF21DC">
          <w:rPr>
            <w:noProof/>
            <w:webHidden/>
          </w:rPr>
          <w:fldChar w:fldCharType="separate"/>
        </w:r>
        <w:r w:rsidR="00AF21DC">
          <w:rPr>
            <w:noProof/>
            <w:webHidden/>
          </w:rPr>
          <w:t>3</w:t>
        </w:r>
        <w:r w:rsidR="00AF21DC">
          <w:rPr>
            <w:noProof/>
            <w:webHidden/>
          </w:rPr>
          <w:fldChar w:fldCharType="end"/>
        </w:r>
      </w:hyperlink>
    </w:p>
    <w:p w:rsidR="00AF21DC" w:rsidRDefault="00AE6298" w:rsidP="00AF21DC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54194" w:history="1">
        <w:r w:rsidR="00AF21DC" w:rsidRPr="00031DEA">
          <w:rPr>
            <w:rStyle w:val="Hyperlink"/>
            <w:rFonts w:hint="eastAsia"/>
            <w:noProof/>
            <w:rtl/>
          </w:rPr>
          <w:t>دامنه</w:t>
        </w:r>
        <w:r w:rsidR="00AF21DC" w:rsidRPr="00031DEA">
          <w:rPr>
            <w:rStyle w:val="Hyperlink"/>
            <w:noProof/>
            <w:rtl/>
          </w:rPr>
          <w:t xml:space="preserve"> </w:t>
        </w:r>
        <w:r w:rsidR="00AF21DC" w:rsidRPr="00031DEA">
          <w:rPr>
            <w:rStyle w:val="Hyperlink"/>
            <w:rFonts w:hint="eastAsia"/>
            <w:noProof/>
            <w:rtl/>
          </w:rPr>
          <w:t>اضرار</w:t>
        </w:r>
        <w:r w:rsidR="00AF21DC" w:rsidRPr="00031DEA">
          <w:rPr>
            <w:rStyle w:val="Hyperlink"/>
            <w:noProof/>
            <w:rtl/>
          </w:rPr>
          <w:t xml:space="preserve"> </w:t>
        </w:r>
        <w:r w:rsidR="00AF21DC" w:rsidRPr="00031DEA">
          <w:rPr>
            <w:rStyle w:val="Hyperlink"/>
            <w:rFonts w:hint="eastAsia"/>
            <w:noProof/>
            <w:rtl/>
          </w:rPr>
          <w:t>محرم</w:t>
        </w:r>
        <w:r w:rsidR="00AF21DC">
          <w:rPr>
            <w:noProof/>
            <w:webHidden/>
          </w:rPr>
          <w:tab/>
        </w:r>
        <w:r w:rsidR="00AF21DC">
          <w:rPr>
            <w:noProof/>
            <w:webHidden/>
          </w:rPr>
          <w:fldChar w:fldCharType="begin"/>
        </w:r>
        <w:r w:rsidR="00AF21DC">
          <w:rPr>
            <w:noProof/>
            <w:webHidden/>
          </w:rPr>
          <w:instrText xml:space="preserve"> PAGEREF _Toc431554194 \h </w:instrText>
        </w:r>
        <w:r w:rsidR="00AF21DC">
          <w:rPr>
            <w:noProof/>
            <w:webHidden/>
          </w:rPr>
        </w:r>
        <w:r w:rsidR="00AF21DC">
          <w:rPr>
            <w:noProof/>
            <w:webHidden/>
          </w:rPr>
          <w:fldChar w:fldCharType="separate"/>
        </w:r>
        <w:r w:rsidR="00AF21DC">
          <w:rPr>
            <w:noProof/>
            <w:webHidden/>
          </w:rPr>
          <w:t>4</w:t>
        </w:r>
        <w:r w:rsidR="00AF21DC">
          <w:rPr>
            <w:noProof/>
            <w:webHidden/>
          </w:rPr>
          <w:fldChar w:fldCharType="end"/>
        </w:r>
      </w:hyperlink>
    </w:p>
    <w:p w:rsidR="00AF21DC" w:rsidRDefault="00AE6298" w:rsidP="00AF21DC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54195" w:history="1">
        <w:r w:rsidR="00AF21DC" w:rsidRPr="00031DEA">
          <w:rPr>
            <w:rStyle w:val="Hyperlink"/>
            <w:rFonts w:hint="eastAsia"/>
            <w:noProof/>
            <w:rtl/>
          </w:rPr>
          <w:t>حکم</w:t>
        </w:r>
        <w:r w:rsidR="00AF21DC" w:rsidRPr="00031DEA">
          <w:rPr>
            <w:rStyle w:val="Hyperlink"/>
            <w:noProof/>
            <w:rtl/>
          </w:rPr>
          <w:t xml:space="preserve"> </w:t>
        </w:r>
        <w:r w:rsidR="00AF21DC" w:rsidRPr="00031DEA">
          <w:rPr>
            <w:rStyle w:val="Hyperlink"/>
            <w:rFonts w:hint="eastAsia"/>
            <w:noProof/>
            <w:rtl/>
          </w:rPr>
          <w:t>اضرار</w:t>
        </w:r>
        <w:r w:rsidR="00AF21DC" w:rsidRPr="00031DEA">
          <w:rPr>
            <w:rStyle w:val="Hyperlink"/>
            <w:noProof/>
            <w:rtl/>
          </w:rPr>
          <w:t xml:space="preserve"> </w:t>
        </w:r>
        <w:r w:rsidR="00AF21DC" w:rsidRPr="00031DEA">
          <w:rPr>
            <w:rStyle w:val="Hyperlink"/>
            <w:rFonts w:hint="eastAsia"/>
            <w:noProof/>
            <w:rtl/>
          </w:rPr>
          <w:t>به</w:t>
        </w:r>
        <w:r w:rsidR="00AF21DC" w:rsidRPr="00031DEA">
          <w:rPr>
            <w:rStyle w:val="Hyperlink"/>
            <w:noProof/>
            <w:rtl/>
          </w:rPr>
          <w:t xml:space="preserve"> </w:t>
        </w:r>
        <w:r w:rsidR="00AF21DC" w:rsidRPr="00031DEA">
          <w:rPr>
            <w:rStyle w:val="Hyperlink"/>
            <w:rFonts w:hint="eastAsia"/>
            <w:noProof/>
            <w:rtl/>
          </w:rPr>
          <w:t>غ</w:t>
        </w:r>
        <w:r w:rsidR="00AF21DC" w:rsidRPr="00031DEA">
          <w:rPr>
            <w:rStyle w:val="Hyperlink"/>
            <w:rFonts w:hint="cs"/>
            <w:noProof/>
            <w:rtl/>
          </w:rPr>
          <w:t>ی</w:t>
        </w:r>
        <w:r w:rsidR="00AF21DC" w:rsidRPr="00031DEA">
          <w:rPr>
            <w:rStyle w:val="Hyperlink"/>
            <w:rFonts w:hint="eastAsia"/>
            <w:noProof/>
            <w:rtl/>
          </w:rPr>
          <w:t>ر</w:t>
        </w:r>
        <w:r w:rsidR="00AF21DC">
          <w:rPr>
            <w:noProof/>
            <w:webHidden/>
          </w:rPr>
          <w:tab/>
        </w:r>
        <w:r w:rsidR="00AF21DC">
          <w:rPr>
            <w:noProof/>
            <w:webHidden/>
          </w:rPr>
          <w:fldChar w:fldCharType="begin"/>
        </w:r>
        <w:r w:rsidR="00AF21DC">
          <w:rPr>
            <w:noProof/>
            <w:webHidden/>
          </w:rPr>
          <w:instrText xml:space="preserve"> PAGEREF _Toc431554195 \h </w:instrText>
        </w:r>
        <w:r w:rsidR="00AF21DC">
          <w:rPr>
            <w:noProof/>
            <w:webHidden/>
          </w:rPr>
        </w:r>
        <w:r w:rsidR="00AF21DC">
          <w:rPr>
            <w:noProof/>
            <w:webHidden/>
          </w:rPr>
          <w:fldChar w:fldCharType="separate"/>
        </w:r>
        <w:r w:rsidR="00AF21DC">
          <w:rPr>
            <w:noProof/>
            <w:webHidden/>
          </w:rPr>
          <w:t>4</w:t>
        </w:r>
        <w:r w:rsidR="00AF21DC">
          <w:rPr>
            <w:noProof/>
            <w:webHidden/>
          </w:rPr>
          <w:fldChar w:fldCharType="end"/>
        </w:r>
      </w:hyperlink>
    </w:p>
    <w:p w:rsidR="00AF21DC" w:rsidRDefault="00AE6298" w:rsidP="00AF21DC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1554196" w:history="1">
        <w:r w:rsidR="00AF21DC" w:rsidRPr="00031DEA">
          <w:rPr>
            <w:rStyle w:val="Hyperlink"/>
            <w:rFonts w:hint="eastAsia"/>
            <w:noProof/>
            <w:rtl/>
          </w:rPr>
          <w:t>بررس</w:t>
        </w:r>
        <w:r w:rsidR="00AF21DC" w:rsidRPr="00031DEA">
          <w:rPr>
            <w:rStyle w:val="Hyperlink"/>
            <w:rFonts w:hint="cs"/>
            <w:noProof/>
            <w:rtl/>
          </w:rPr>
          <w:t>ی</w:t>
        </w:r>
        <w:r w:rsidR="00AF21DC" w:rsidRPr="00031DEA">
          <w:rPr>
            <w:rStyle w:val="Hyperlink"/>
            <w:noProof/>
            <w:rtl/>
          </w:rPr>
          <w:t xml:space="preserve"> </w:t>
        </w:r>
        <w:r w:rsidR="00AF21DC" w:rsidRPr="00031DEA">
          <w:rPr>
            <w:rStyle w:val="Hyperlink"/>
            <w:rFonts w:hint="eastAsia"/>
            <w:noProof/>
            <w:rtl/>
          </w:rPr>
          <w:t>حکم</w:t>
        </w:r>
        <w:r w:rsidR="00AF21DC" w:rsidRPr="00031DEA">
          <w:rPr>
            <w:rStyle w:val="Hyperlink"/>
            <w:noProof/>
            <w:rtl/>
          </w:rPr>
          <w:t xml:space="preserve"> </w:t>
        </w:r>
        <w:r w:rsidR="00AF21DC" w:rsidRPr="00031DEA">
          <w:rPr>
            <w:rStyle w:val="Hyperlink"/>
            <w:rFonts w:hint="eastAsia"/>
            <w:noProof/>
            <w:rtl/>
          </w:rPr>
          <w:t>مورد</w:t>
        </w:r>
        <w:r w:rsidR="00AF21DC" w:rsidRPr="00031DEA">
          <w:rPr>
            <w:rStyle w:val="Hyperlink"/>
            <w:rFonts w:hint="cs"/>
            <w:noProof/>
            <w:rtl/>
          </w:rPr>
          <w:t>ی</w:t>
        </w:r>
        <w:r w:rsidR="00AF21DC" w:rsidRPr="00031DEA">
          <w:rPr>
            <w:rStyle w:val="Hyperlink"/>
            <w:noProof/>
            <w:rtl/>
          </w:rPr>
          <w:t xml:space="preserve"> </w:t>
        </w:r>
        <w:r w:rsidR="00AF21DC" w:rsidRPr="00031DEA">
          <w:rPr>
            <w:rStyle w:val="Hyperlink"/>
            <w:rFonts w:hint="eastAsia"/>
            <w:noProof/>
            <w:rtl/>
          </w:rPr>
          <w:t>در</w:t>
        </w:r>
        <w:r w:rsidR="00AF21DC" w:rsidRPr="00031DEA">
          <w:rPr>
            <w:rStyle w:val="Hyperlink"/>
            <w:noProof/>
            <w:rtl/>
          </w:rPr>
          <w:t xml:space="preserve"> </w:t>
        </w:r>
        <w:r w:rsidR="00AF21DC" w:rsidRPr="00031DEA">
          <w:rPr>
            <w:rStyle w:val="Hyperlink"/>
            <w:rFonts w:hint="eastAsia"/>
            <w:noProof/>
            <w:rtl/>
          </w:rPr>
          <w:t>ا</w:t>
        </w:r>
        <w:r w:rsidR="00AF21DC" w:rsidRPr="00031DEA">
          <w:rPr>
            <w:rStyle w:val="Hyperlink"/>
            <w:rFonts w:hint="cs"/>
            <w:noProof/>
            <w:rtl/>
          </w:rPr>
          <w:t>ی</w:t>
        </w:r>
        <w:r w:rsidR="00AF21DC" w:rsidRPr="00031DEA">
          <w:rPr>
            <w:rStyle w:val="Hyperlink"/>
            <w:rFonts w:hint="eastAsia"/>
            <w:noProof/>
            <w:rtl/>
          </w:rPr>
          <w:t>ن</w:t>
        </w:r>
        <w:r w:rsidR="00AF21DC" w:rsidRPr="00031DEA">
          <w:rPr>
            <w:rStyle w:val="Hyperlink"/>
            <w:noProof/>
            <w:rtl/>
          </w:rPr>
          <w:t xml:space="preserve"> </w:t>
        </w:r>
        <w:r w:rsidR="00AF21DC" w:rsidRPr="00031DEA">
          <w:rPr>
            <w:rStyle w:val="Hyperlink"/>
            <w:rFonts w:hint="eastAsia"/>
            <w:noProof/>
            <w:rtl/>
          </w:rPr>
          <w:t>مقام</w:t>
        </w:r>
        <w:r w:rsidR="00AF21DC">
          <w:rPr>
            <w:noProof/>
            <w:webHidden/>
          </w:rPr>
          <w:tab/>
        </w:r>
        <w:r w:rsidR="00AF21DC">
          <w:rPr>
            <w:noProof/>
            <w:webHidden/>
          </w:rPr>
          <w:fldChar w:fldCharType="begin"/>
        </w:r>
        <w:r w:rsidR="00AF21DC">
          <w:rPr>
            <w:noProof/>
            <w:webHidden/>
          </w:rPr>
          <w:instrText xml:space="preserve"> PAGEREF _Toc431554196 \h </w:instrText>
        </w:r>
        <w:r w:rsidR="00AF21DC">
          <w:rPr>
            <w:noProof/>
            <w:webHidden/>
          </w:rPr>
        </w:r>
        <w:r w:rsidR="00AF21DC">
          <w:rPr>
            <w:noProof/>
            <w:webHidden/>
          </w:rPr>
          <w:fldChar w:fldCharType="separate"/>
        </w:r>
        <w:r w:rsidR="00AF21DC">
          <w:rPr>
            <w:noProof/>
            <w:webHidden/>
          </w:rPr>
          <w:t>4</w:t>
        </w:r>
        <w:r w:rsidR="00AF21DC">
          <w:rPr>
            <w:noProof/>
            <w:webHidden/>
          </w:rPr>
          <w:fldChar w:fldCharType="end"/>
        </w:r>
      </w:hyperlink>
    </w:p>
    <w:p w:rsidR="00AF21DC" w:rsidRDefault="00AE6298" w:rsidP="00AF21DC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554197" w:history="1">
        <w:r w:rsidR="00AF21DC" w:rsidRPr="00031DEA">
          <w:rPr>
            <w:rStyle w:val="Hyperlink"/>
            <w:rFonts w:hint="eastAsia"/>
            <w:noProof/>
            <w:rtl/>
          </w:rPr>
          <w:t>مانع</w:t>
        </w:r>
        <w:r w:rsidR="00AF21DC" w:rsidRPr="00031DEA">
          <w:rPr>
            <w:rStyle w:val="Hyperlink"/>
            <w:rFonts w:hint="cs"/>
            <w:noProof/>
            <w:rtl/>
          </w:rPr>
          <w:t>ی</w:t>
        </w:r>
        <w:r w:rsidR="00AF21DC" w:rsidRPr="00031DEA">
          <w:rPr>
            <w:rStyle w:val="Hyperlink"/>
            <w:rFonts w:hint="eastAsia"/>
            <w:noProof/>
            <w:rtl/>
          </w:rPr>
          <w:t>ت</w:t>
        </w:r>
        <w:r w:rsidR="00AF21DC" w:rsidRPr="00031DEA">
          <w:rPr>
            <w:rStyle w:val="Hyperlink"/>
            <w:noProof/>
            <w:rtl/>
          </w:rPr>
          <w:t xml:space="preserve"> </w:t>
        </w:r>
        <w:r w:rsidR="00AF21DC" w:rsidRPr="00031DEA">
          <w:rPr>
            <w:rStyle w:val="Hyperlink"/>
            <w:rFonts w:hint="eastAsia"/>
            <w:noProof/>
            <w:rtl/>
          </w:rPr>
          <w:t>وهن</w:t>
        </w:r>
        <w:r w:rsidR="00AF21DC" w:rsidRPr="00031DEA">
          <w:rPr>
            <w:rStyle w:val="Hyperlink"/>
            <w:noProof/>
            <w:rtl/>
          </w:rPr>
          <w:t xml:space="preserve"> </w:t>
        </w:r>
        <w:r w:rsidR="00AF21DC" w:rsidRPr="00031DEA">
          <w:rPr>
            <w:rStyle w:val="Hyperlink"/>
            <w:rFonts w:hint="eastAsia"/>
            <w:noProof/>
            <w:rtl/>
          </w:rPr>
          <w:t>و</w:t>
        </w:r>
        <w:r w:rsidR="00AF21DC" w:rsidRPr="00031DEA">
          <w:rPr>
            <w:rStyle w:val="Hyperlink"/>
            <w:noProof/>
            <w:rtl/>
          </w:rPr>
          <w:t xml:space="preserve"> </w:t>
        </w:r>
        <w:r w:rsidR="00AF21DC" w:rsidRPr="00031DEA">
          <w:rPr>
            <w:rStyle w:val="Hyperlink"/>
            <w:rFonts w:hint="eastAsia"/>
            <w:noProof/>
            <w:rtl/>
          </w:rPr>
          <w:t>اضلال</w:t>
        </w:r>
        <w:r w:rsidR="00AF21DC">
          <w:rPr>
            <w:noProof/>
            <w:webHidden/>
          </w:rPr>
          <w:tab/>
        </w:r>
        <w:r w:rsidR="00AF21DC">
          <w:rPr>
            <w:noProof/>
            <w:webHidden/>
          </w:rPr>
          <w:fldChar w:fldCharType="begin"/>
        </w:r>
        <w:r w:rsidR="00AF21DC">
          <w:rPr>
            <w:noProof/>
            <w:webHidden/>
          </w:rPr>
          <w:instrText xml:space="preserve"> PAGEREF _Toc431554197 \h </w:instrText>
        </w:r>
        <w:r w:rsidR="00AF21DC">
          <w:rPr>
            <w:noProof/>
            <w:webHidden/>
          </w:rPr>
        </w:r>
        <w:r w:rsidR="00AF21DC">
          <w:rPr>
            <w:noProof/>
            <w:webHidden/>
          </w:rPr>
          <w:fldChar w:fldCharType="separate"/>
        </w:r>
        <w:r w:rsidR="00AF21DC">
          <w:rPr>
            <w:noProof/>
            <w:webHidden/>
          </w:rPr>
          <w:t>4</w:t>
        </w:r>
        <w:r w:rsidR="00AF21DC">
          <w:rPr>
            <w:noProof/>
            <w:webHidden/>
          </w:rPr>
          <w:fldChar w:fldCharType="end"/>
        </w:r>
      </w:hyperlink>
    </w:p>
    <w:p w:rsidR="00AF21DC" w:rsidRDefault="00AE6298" w:rsidP="00AF21DC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554198" w:history="1">
        <w:r w:rsidR="00AF21DC">
          <w:rPr>
            <w:rStyle w:val="Hyperlink"/>
            <w:rFonts w:hint="eastAsia"/>
            <w:noProof/>
            <w:rtl/>
          </w:rPr>
          <w:t>جمع‌بندی</w:t>
        </w:r>
        <w:r w:rsidR="00AF21DC">
          <w:rPr>
            <w:noProof/>
            <w:webHidden/>
          </w:rPr>
          <w:tab/>
        </w:r>
        <w:r w:rsidR="00AF21DC">
          <w:rPr>
            <w:noProof/>
            <w:webHidden/>
          </w:rPr>
          <w:fldChar w:fldCharType="begin"/>
        </w:r>
        <w:r w:rsidR="00AF21DC">
          <w:rPr>
            <w:noProof/>
            <w:webHidden/>
          </w:rPr>
          <w:instrText xml:space="preserve"> PAGEREF _Toc431554198 \h </w:instrText>
        </w:r>
        <w:r w:rsidR="00AF21DC">
          <w:rPr>
            <w:noProof/>
            <w:webHidden/>
          </w:rPr>
        </w:r>
        <w:r w:rsidR="00AF21DC">
          <w:rPr>
            <w:noProof/>
            <w:webHidden/>
          </w:rPr>
          <w:fldChar w:fldCharType="separate"/>
        </w:r>
        <w:r w:rsidR="00AF21DC">
          <w:rPr>
            <w:noProof/>
            <w:webHidden/>
          </w:rPr>
          <w:t>5</w:t>
        </w:r>
        <w:r w:rsidR="00AF21DC">
          <w:rPr>
            <w:noProof/>
            <w:webHidden/>
          </w:rPr>
          <w:fldChar w:fldCharType="end"/>
        </w:r>
      </w:hyperlink>
    </w:p>
    <w:p w:rsidR="00AF21DC" w:rsidRDefault="00AE6298" w:rsidP="00AF21DC">
      <w:pPr>
        <w:pStyle w:val="TOC4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1554199" w:history="1">
        <w:r w:rsidR="00AF21DC" w:rsidRPr="00031DEA">
          <w:rPr>
            <w:rStyle w:val="Hyperlink"/>
            <w:rFonts w:hint="eastAsia"/>
            <w:noProof/>
            <w:rtl/>
          </w:rPr>
          <w:t>تعط</w:t>
        </w:r>
        <w:r w:rsidR="00AF21DC" w:rsidRPr="00031DEA">
          <w:rPr>
            <w:rStyle w:val="Hyperlink"/>
            <w:rFonts w:hint="cs"/>
            <w:noProof/>
            <w:rtl/>
          </w:rPr>
          <w:t>ی</w:t>
        </w:r>
        <w:r w:rsidR="00AF21DC" w:rsidRPr="00031DEA">
          <w:rPr>
            <w:rStyle w:val="Hyperlink"/>
            <w:rFonts w:hint="eastAsia"/>
            <w:noProof/>
            <w:rtl/>
          </w:rPr>
          <w:t>ل</w:t>
        </w:r>
        <w:r w:rsidR="00AF21DC" w:rsidRPr="00031DEA">
          <w:rPr>
            <w:rStyle w:val="Hyperlink"/>
            <w:rFonts w:hint="cs"/>
            <w:noProof/>
            <w:rtl/>
          </w:rPr>
          <w:t>ی</w:t>
        </w:r>
        <w:r w:rsidR="00AF21DC" w:rsidRPr="00031DEA">
          <w:rPr>
            <w:rStyle w:val="Hyperlink"/>
            <w:noProof/>
            <w:rtl/>
          </w:rPr>
          <w:t xml:space="preserve"> </w:t>
        </w:r>
        <w:r w:rsidR="00AF21DC" w:rsidRPr="00031DEA">
          <w:rPr>
            <w:rStyle w:val="Hyperlink"/>
            <w:rFonts w:hint="eastAsia"/>
            <w:noProof/>
            <w:rtl/>
          </w:rPr>
          <w:t>معارف</w:t>
        </w:r>
        <w:r w:rsidR="00AF21DC" w:rsidRPr="00031DEA">
          <w:rPr>
            <w:rStyle w:val="Hyperlink"/>
            <w:noProof/>
            <w:rtl/>
          </w:rPr>
          <w:t xml:space="preserve"> </w:t>
        </w:r>
        <w:r w:rsidR="00AF21DC" w:rsidRPr="00031DEA">
          <w:rPr>
            <w:rStyle w:val="Hyperlink"/>
            <w:rFonts w:hint="eastAsia"/>
            <w:noProof/>
            <w:rtl/>
          </w:rPr>
          <w:t>د</w:t>
        </w:r>
        <w:r w:rsidR="00AF21DC" w:rsidRPr="00031DEA">
          <w:rPr>
            <w:rStyle w:val="Hyperlink"/>
            <w:rFonts w:hint="cs"/>
            <w:noProof/>
            <w:rtl/>
          </w:rPr>
          <w:t>ی</w:t>
        </w:r>
        <w:r w:rsidR="00AF21DC" w:rsidRPr="00031DEA">
          <w:rPr>
            <w:rStyle w:val="Hyperlink"/>
            <w:rFonts w:hint="eastAsia"/>
            <w:noProof/>
            <w:rtl/>
          </w:rPr>
          <w:t>ن</w:t>
        </w:r>
        <w:r w:rsidR="00AF21DC">
          <w:rPr>
            <w:noProof/>
            <w:webHidden/>
          </w:rPr>
          <w:tab/>
        </w:r>
        <w:r w:rsidR="00AF21DC">
          <w:rPr>
            <w:noProof/>
            <w:webHidden/>
          </w:rPr>
          <w:fldChar w:fldCharType="begin"/>
        </w:r>
        <w:r w:rsidR="00AF21DC">
          <w:rPr>
            <w:noProof/>
            <w:webHidden/>
          </w:rPr>
          <w:instrText xml:space="preserve"> PAGEREF _Toc431554199 \h </w:instrText>
        </w:r>
        <w:r w:rsidR="00AF21DC">
          <w:rPr>
            <w:noProof/>
            <w:webHidden/>
          </w:rPr>
        </w:r>
        <w:r w:rsidR="00AF21DC">
          <w:rPr>
            <w:noProof/>
            <w:webHidden/>
          </w:rPr>
          <w:fldChar w:fldCharType="separate"/>
        </w:r>
        <w:r w:rsidR="00AF21DC">
          <w:rPr>
            <w:noProof/>
            <w:webHidden/>
          </w:rPr>
          <w:t>5</w:t>
        </w:r>
        <w:r w:rsidR="00AF21DC">
          <w:rPr>
            <w:noProof/>
            <w:webHidden/>
          </w:rPr>
          <w:fldChar w:fldCharType="end"/>
        </w:r>
      </w:hyperlink>
    </w:p>
    <w:p w:rsidR="00AF21DC" w:rsidRDefault="00AF21DC" w:rsidP="00AF21DC">
      <w:pPr>
        <w:bidi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AF21DC" w:rsidRDefault="00AF21DC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9A3770" w:rsidRDefault="009A3770" w:rsidP="00CF720F">
      <w:pPr>
        <w:pStyle w:val="Heading1"/>
        <w:rPr>
          <w:rtl/>
        </w:rPr>
      </w:pPr>
      <w:bookmarkStart w:id="0" w:name="_Toc431554187"/>
      <w:r>
        <w:rPr>
          <w:rFonts w:hint="cs"/>
          <w:rtl/>
        </w:rPr>
        <w:lastRenderedPageBreak/>
        <w:t>جواز عمل به احتیاط</w:t>
      </w:r>
      <w:bookmarkEnd w:id="0"/>
    </w:p>
    <w:p w:rsidR="00F679A9" w:rsidRDefault="009A3770" w:rsidP="000872D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این سؤال مطرح شد که احتیاط در عرض اجتهاد و تقلید جایز است یا نیست؟ ولو اینکه راه اجتهاد یا تقلید باز باشد و فرد به دنبال تحصیل علم در آن فرض نرود.</w:t>
      </w:r>
    </w:p>
    <w:p w:rsidR="009A3770" w:rsidRDefault="009A3770" w:rsidP="000872D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ظاهر کلام برخی از قدماء عدم جواز احتیاط بوده که این را بر غیر از مواردی که قصد انشاء لازم نیست مانند نفقه دادن یا 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امربه‌معروف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نهی از منکر، چه در شبهات حکمیه و چه در شبهات موضوعیه، حمل 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>نموده‌اند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چون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غرض در اینجا معلوم است که امر معلوم خارجی است و چیزی از قصد قربت و غیره در آن لازم نیست و مراد ذات عمل و تحقق آن است،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بااحتیاط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 مقام اتیان به غرض شده است.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عبارتی مقتضی برای جواز احتیاط موجود است و مانعی وجود ندارد.</w:t>
      </w:r>
    </w:p>
    <w:p w:rsidR="009A3770" w:rsidRDefault="009A3770" w:rsidP="000872DB">
      <w:pPr>
        <w:pStyle w:val="Heading1"/>
        <w:rPr>
          <w:rtl/>
        </w:rPr>
      </w:pPr>
      <w:bookmarkStart w:id="1" w:name="_Toc431554188"/>
      <w:r>
        <w:rPr>
          <w:rFonts w:hint="cs"/>
          <w:rtl/>
        </w:rPr>
        <w:t>اتخاذ مبنا</w:t>
      </w:r>
      <w:bookmarkEnd w:id="1"/>
    </w:p>
    <w:p w:rsidR="009A3770" w:rsidRDefault="009A3770" w:rsidP="000872D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اصل مطلب به شکل گسترده 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موردقبول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است،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ملاحظاتی وجود دارد چراکه گاهی عناوین اولیه و 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ثانویه‌ای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>م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مانع از عمل به احتیاط شود،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 این موارد توجه داشت،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اینکه بزرگان بدان توجه 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>نداشته‌اند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به‌عنوان‌مثال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برخی از موارد که عسر و حرج حاصل 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>م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9A3770" w:rsidRDefault="009A3770" w:rsidP="000872DB">
      <w:pPr>
        <w:pStyle w:val="Heading1"/>
        <w:rPr>
          <w:rtl/>
        </w:rPr>
      </w:pPr>
      <w:bookmarkStart w:id="2" w:name="_Toc431554189"/>
      <w:r>
        <w:rPr>
          <w:rFonts w:hint="cs"/>
          <w:rtl/>
        </w:rPr>
        <w:t>انواع عسر و حرج</w:t>
      </w:r>
      <w:bookmarkEnd w:id="2"/>
    </w:p>
    <w:p w:rsidR="009A3770" w:rsidRDefault="009A3770" w:rsidP="000872D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عسر و حرج دارای دو حالت است؛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گاهی در موردی خاص 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حاصل‌شده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گاهی به نحو مجموعی رقم 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>م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ی‌خورد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. مورد اول مانند نفقه دادن 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درحالی‌که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حکم را 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>نم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ی‌داند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اگر فرد قصد احتیاط داشته باشد،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دایره وسیعی قرار 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>م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منجر به عسر او خواهد شد.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 w:rsidR="00D836B6">
        <w:rPr>
          <w:rFonts w:ascii="IRBadr" w:hAnsi="IRBadr" w:cs="IRBadr" w:hint="cs"/>
          <w:sz w:val="28"/>
          <w:szCs w:val="28"/>
          <w:rtl/>
          <w:lang w:bidi="fa-IR"/>
        </w:rPr>
        <w:t xml:space="preserve"> او در مورد مواجه به حرجی خواهد شد؛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D836B6">
        <w:rPr>
          <w:rFonts w:ascii="IRBadr" w:hAnsi="IRBadr" w:cs="IRBadr" w:hint="cs"/>
          <w:sz w:val="28"/>
          <w:szCs w:val="28"/>
          <w:rtl/>
          <w:lang w:bidi="fa-IR"/>
        </w:rPr>
        <w:t xml:space="preserve"> اینجا این عسر 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حاصل‌شده</w:t>
      </w:r>
      <w:r w:rsidR="00D836B6">
        <w:rPr>
          <w:rFonts w:ascii="IRBadr" w:hAnsi="IRBadr" w:cs="IRBadr" w:hint="cs"/>
          <w:sz w:val="28"/>
          <w:szCs w:val="28"/>
          <w:rtl/>
          <w:lang w:bidi="fa-IR"/>
        </w:rPr>
        <w:t xml:space="preserve"> مانع از قبول شدن احتیاط در این مقام 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>م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D836B6">
        <w:rPr>
          <w:rFonts w:ascii="IRBadr" w:hAnsi="IRBadr" w:cs="IRBadr" w:hint="cs"/>
          <w:sz w:val="28"/>
          <w:szCs w:val="28"/>
          <w:rtl/>
          <w:lang w:bidi="fa-IR"/>
        </w:rPr>
        <w:t xml:space="preserve"> و باید توجه داشت که در اینجا مراد عسر و حرج است،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نه</w:t>
      </w:r>
      <w:r w:rsidR="00D836B6">
        <w:rPr>
          <w:rFonts w:ascii="IRBadr" w:hAnsi="IRBadr" w:cs="IRBadr" w:hint="cs"/>
          <w:sz w:val="28"/>
          <w:szCs w:val="28"/>
          <w:rtl/>
          <w:lang w:bidi="fa-IR"/>
        </w:rPr>
        <w:t xml:space="preserve"> عدم قدرت،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چراکه</w:t>
      </w:r>
      <w:r w:rsidR="00D836B6">
        <w:rPr>
          <w:rFonts w:ascii="IRBadr" w:hAnsi="IRBadr" w:cs="IRBadr" w:hint="cs"/>
          <w:sz w:val="28"/>
          <w:szCs w:val="28"/>
          <w:rtl/>
          <w:lang w:bidi="fa-IR"/>
        </w:rPr>
        <w:t xml:space="preserve"> آن باید در موطنی دیگر 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موردبررسی</w:t>
      </w:r>
      <w:r w:rsidR="00D836B6">
        <w:rPr>
          <w:rFonts w:ascii="IRBadr" w:hAnsi="IRBadr" w:cs="IRBadr" w:hint="cs"/>
          <w:sz w:val="28"/>
          <w:szCs w:val="28"/>
          <w:rtl/>
          <w:lang w:bidi="fa-IR"/>
        </w:rPr>
        <w:t xml:space="preserve"> قرار گیرد.</w:t>
      </w:r>
    </w:p>
    <w:p w:rsidR="00D836B6" w:rsidRDefault="00D836B6" w:rsidP="000872DB">
      <w:pPr>
        <w:pStyle w:val="Heading1"/>
        <w:rPr>
          <w:rtl/>
        </w:rPr>
      </w:pPr>
      <w:bookmarkStart w:id="3" w:name="_Toc431554190"/>
      <w:r>
        <w:rPr>
          <w:rFonts w:hint="cs"/>
          <w:rtl/>
        </w:rPr>
        <w:lastRenderedPageBreak/>
        <w:t>حرج مجموعی</w:t>
      </w:r>
      <w:bookmarkEnd w:id="3"/>
    </w:p>
    <w:p w:rsidR="00D836B6" w:rsidRDefault="00D836B6" w:rsidP="000872D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این قسم در مورد حرجی ایجاد 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>نم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ولی مجموعاً حرج پدید 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>م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ی‌آید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نیز این مورد از حیث عنوانی ثانوی 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>م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عسر احتیاط را زائل کند.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متوقف بر این است که مکلف بداند شارع در اینجا عسر را برداشته یا عقل او با دلیلی عقلی بدین نتیجه 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>م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ی‌رسد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این خود محل بحث است.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علاوه بر آن دلیل عسر جواز را زائل 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>م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D836B6" w:rsidRDefault="00D836B6" w:rsidP="000872DB">
      <w:pPr>
        <w:pStyle w:val="Heading1"/>
        <w:rPr>
          <w:rtl/>
        </w:rPr>
      </w:pPr>
      <w:bookmarkStart w:id="4" w:name="_Toc431554191"/>
      <w:r>
        <w:rPr>
          <w:rFonts w:hint="cs"/>
          <w:rtl/>
        </w:rPr>
        <w:t>اتخاذ مبنا</w:t>
      </w:r>
      <w:bookmarkEnd w:id="4"/>
    </w:p>
    <w:p w:rsidR="00D836B6" w:rsidRDefault="00D836B6" w:rsidP="000872D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اما اگر این دلیل تنها الزام را بردارد،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جواز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احتیاط برداشته نخواهد شد.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برداشتن صرف عسر در این زمینه محل بحث است که ظاهراً این امر، دلیل لزوم و وجوب را 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برمی‌دارد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باوجود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عسر و حرج احتیاط مجزی است چراکه انتخاب عسر و حرج امر حرامی نیست.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عنوان،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تام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یت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نخواهد داشت.</w:t>
      </w:r>
    </w:p>
    <w:p w:rsidR="00D836B6" w:rsidRDefault="00D836B6" w:rsidP="000872DB">
      <w:pPr>
        <w:pStyle w:val="Heading2"/>
        <w:rPr>
          <w:rtl/>
        </w:rPr>
      </w:pPr>
      <w:bookmarkStart w:id="5" w:name="_Toc431554192"/>
      <w:r>
        <w:rPr>
          <w:rFonts w:hint="cs"/>
          <w:rtl/>
        </w:rPr>
        <w:t>مانعیت اضرار</w:t>
      </w:r>
      <w:bookmarkEnd w:id="5"/>
    </w:p>
    <w:p w:rsidR="00D836B6" w:rsidRDefault="00D836B6" w:rsidP="000872D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عنوان دیگری که 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>م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مقابل احتیاط قرار گیرد،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دل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یل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اضرار به نفس یا غیر است که این نیز 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به‌عنوان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عنوان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ثانوی 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>م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مانع از جواز احتیاط شود برای مثال فرد 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بااحتیاط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دچار وسواس شده یا ابتلائات جسمی پیدا 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>م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ی‌کنند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اضرار اعم از مورد روحی،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جسم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>، مالی و احیاناً عرضی است.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باید توجه داشت اضرار روحی آن،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امر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کمی نبوده و از اهمیت بالایی برخوردار است.</w:t>
      </w:r>
    </w:p>
    <w:p w:rsidR="005B2689" w:rsidRDefault="005B2689" w:rsidP="000872D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اضرار نیز دارای 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تقسیم‌بندی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موردی و مجموعی سابق خواهد بود.</w:t>
      </w:r>
    </w:p>
    <w:p w:rsidR="005B2689" w:rsidRDefault="005B2689" w:rsidP="000872DB">
      <w:pPr>
        <w:pStyle w:val="Heading2"/>
        <w:rPr>
          <w:rtl/>
        </w:rPr>
      </w:pPr>
      <w:bookmarkStart w:id="6" w:name="_Toc431554193"/>
      <w:r>
        <w:rPr>
          <w:rFonts w:hint="cs"/>
          <w:rtl/>
        </w:rPr>
        <w:t>اتخاذ مبنا</w:t>
      </w:r>
      <w:bookmarkEnd w:id="6"/>
    </w:p>
    <w:p w:rsidR="005B2689" w:rsidRDefault="005B2689" w:rsidP="000872D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اینجا برخلاف حکم سابق مواردی که اضرار ثابت شود،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حرمت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به دنبال خود خواهد آورد و جواز را 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بر خواهد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داشت، لذا این مورد از قوت استدلالی بالاتری برخوردار است.</w:t>
      </w:r>
    </w:p>
    <w:p w:rsidR="005B2689" w:rsidRDefault="005B2689" w:rsidP="000872DB">
      <w:pPr>
        <w:pStyle w:val="Heading2"/>
        <w:rPr>
          <w:rtl/>
        </w:rPr>
      </w:pPr>
      <w:bookmarkStart w:id="7" w:name="_Toc431554194"/>
      <w:r>
        <w:rPr>
          <w:rFonts w:hint="cs"/>
          <w:rtl/>
        </w:rPr>
        <w:lastRenderedPageBreak/>
        <w:t>دامنه اضرار محرم</w:t>
      </w:r>
      <w:bookmarkEnd w:id="7"/>
    </w:p>
    <w:p w:rsidR="005B2689" w:rsidRDefault="005B2689" w:rsidP="000872D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دامنه اضرار محرم محل اختلاف است،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مثلاً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اضرار به نفس موارد متعارف و معتنابه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آن حرام است که نظر مشهور همین است،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نظر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دیگر این است که اضرار به نفس در حد قتل و خودکشی موجب حرمت خواهد شد که این نظریه آقای خویی است.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بنابراین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اضرار به نفس سه دیدگاه حرام است.</w:t>
      </w:r>
    </w:p>
    <w:p w:rsidR="005B2689" w:rsidRDefault="005B2689" w:rsidP="000872DB">
      <w:pPr>
        <w:pStyle w:val="Heading2"/>
        <w:rPr>
          <w:rtl/>
        </w:rPr>
      </w:pPr>
      <w:bookmarkStart w:id="8" w:name="_Toc431554195"/>
      <w:r>
        <w:rPr>
          <w:rFonts w:hint="cs"/>
          <w:rtl/>
        </w:rPr>
        <w:t>حکم اضرار به غیر</w:t>
      </w:r>
      <w:bookmarkEnd w:id="8"/>
    </w:p>
    <w:p w:rsidR="002C7DDB" w:rsidRDefault="005B2689" w:rsidP="000872D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اضرار محرم در هر دامنه که این اقوال 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می‌گویند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اگر عارض شد جواز احتیاط را 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بر خواهد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داشت.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قبال اضرار به غیر مسأله اوضح است چراکه دایره حرمت اوسعی را دارد.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گرچه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 زمینه اختلافاتی وجود دارد.</w:t>
      </w:r>
    </w:p>
    <w:p w:rsidR="002C7DDB" w:rsidRDefault="002C7DDB" w:rsidP="000872DB">
      <w:pPr>
        <w:pStyle w:val="Heading2"/>
        <w:rPr>
          <w:rtl/>
        </w:rPr>
      </w:pPr>
      <w:bookmarkStart w:id="9" w:name="_Toc431554196"/>
      <w:r>
        <w:rPr>
          <w:rFonts w:hint="cs"/>
          <w:rtl/>
        </w:rPr>
        <w:t>بررسی حکم موردی در این مقام</w:t>
      </w:r>
      <w:bookmarkEnd w:id="9"/>
    </w:p>
    <w:p w:rsidR="002C7DDB" w:rsidRDefault="002C7DDB" w:rsidP="000872D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موارد</w:t>
      </w:r>
      <w:r w:rsidR="005B2689">
        <w:rPr>
          <w:rFonts w:ascii="IRBadr" w:hAnsi="IRBadr" w:cs="IRBadr" w:hint="cs"/>
          <w:sz w:val="28"/>
          <w:szCs w:val="28"/>
          <w:rtl/>
          <w:lang w:bidi="fa-IR"/>
        </w:rPr>
        <w:t xml:space="preserve"> موردی در همان مورد احتیاط حرام خواهد شد برخلاف مجموعی که تا آنجایی که باعث اضرار 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>م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 w:rsidR="005B2689">
        <w:rPr>
          <w:rFonts w:ascii="IRBadr" w:hAnsi="IRBadr" w:cs="IRBadr" w:hint="cs"/>
          <w:sz w:val="28"/>
          <w:szCs w:val="28"/>
          <w:rtl/>
          <w:lang w:bidi="fa-IR"/>
        </w:rPr>
        <w:t xml:space="preserve"> حرمت حاصل خواهد شد.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لذا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دلیل اضرار از 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نقطه‌ای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ضرر حاصل 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>م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بر خواهد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داشت. موارد قبل از آن نیز دارای ارزشی نخواهد بود چراکه امتثال احتمالی است و عدل اجتهاد و تقلید نخواهد بود،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هرچند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حرام نبوده و بلکه دارای حسنی هست.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مواردی که تکلیف مستقل دارد و ضرری وجود ندارد،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احتیاط عمل 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>م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5B2689" w:rsidRDefault="002C7DDB" w:rsidP="000872D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رابطه عسر و حرج و اضرار رابطه من وجه است.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و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گاهی کل امر اضراری بوده و گاهی برخی از آن دارای اضرار است.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نیز عنوان دومی است که 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>م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مدنظر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قرار گیرد.</w:t>
      </w:r>
    </w:p>
    <w:p w:rsidR="002C7DDB" w:rsidRDefault="002C7DDB" w:rsidP="000872DB">
      <w:pPr>
        <w:pStyle w:val="Heading3"/>
        <w:rPr>
          <w:rtl/>
        </w:rPr>
      </w:pPr>
      <w:bookmarkStart w:id="10" w:name="_Toc431554197"/>
      <w:r>
        <w:rPr>
          <w:rFonts w:hint="cs"/>
          <w:rtl/>
        </w:rPr>
        <w:t>مانعیت وهن و اضلال</w:t>
      </w:r>
      <w:bookmarkEnd w:id="10"/>
    </w:p>
    <w:p w:rsidR="002C7DDB" w:rsidRDefault="002C7DDB" w:rsidP="000872D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مراد از وهن در اینجا وهن به مذهب و دین است یا اینکه موجب اضلال دیگران 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>م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به‌عبارتی‌دیگر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احتیاط زیاد فرد باعث ایجاد بدبینی به دین و مذهب و یا استهزاء به آن 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>م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ی‌شود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حت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مواردی نفرت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و زدگی از شریعت را ایجاد خواهد کرد.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>م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>عناو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از یکدیگر تفکیک نمود.</w:t>
      </w:r>
    </w:p>
    <w:p w:rsidR="002C7DDB" w:rsidRDefault="001547BD" w:rsidP="000872D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lastRenderedPageBreak/>
        <w:t xml:space="preserve">وهن 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گفته‌شده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شامل مواردی است که عرف عادی آن را وهن 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>م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ی‌دانند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برخلاف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مواردی که مانند برخی از احکام زن در متن دین 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بیان‌شده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برخی آن را موجب وهن 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>م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ی‌دانند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عرف عادی کسانی هستند که ذهنشان به مسائلی دیگر مشوب نشده باشد.</w:t>
      </w:r>
    </w:p>
    <w:p w:rsidR="001547BD" w:rsidRDefault="00AF21DC" w:rsidP="000872DB">
      <w:pPr>
        <w:pStyle w:val="Heading3"/>
        <w:rPr>
          <w:rtl/>
        </w:rPr>
      </w:pPr>
      <w:r>
        <w:rPr>
          <w:rFonts w:hint="cs"/>
          <w:rtl/>
        </w:rPr>
        <w:t>جمع‌بندی</w:t>
      </w:r>
    </w:p>
    <w:p w:rsidR="001547BD" w:rsidRDefault="001547BD" w:rsidP="000872D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عناوین 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بیان‌شده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جای خود منجز به رفع جواز احتیاط 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>م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باشد.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عناوین دیگری همچون اختلال نظام یا نظم اجتماعی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در اینجا وجود دارد.</w:t>
      </w:r>
    </w:p>
    <w:p w:rsidR="001547BD" w:rsidRDefault="001547BD" w:rsidP="000872DB">
      <w:pPr>
        <w:pStyle w:val="Heading4"/>
        <w:ind w:firstLine="0"/>
        <w:rPr>
          <w:rtl/>
        </w:rPr>
      </w:pPr>
      <w:bookmarkStart w:id="11" w:name="_Toc431554199"/>
      <w:r>
        <w:rPr>
          <w:rFonts w:hint="cs"/>
          <w:rtl/>
        </w:rPr>
        <w:t>تعطیلی معارف دین</w:t>
      </w:r>
      <w:bookmarkEnd w:id="11"/>
    </w:p>
    <w:p w:rsidR="001547BD" w:rsidRPr="00F679A9" w:rsidRDefault="001547BD" w:rsidP="000872DB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یکی از عناوین دیگر اندراس دین است که اگر همه افراد اخذ به احتیاط کنند،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فقاهت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>بن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یان‌های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>آن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متزلزل شده و برچیده گردد.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 xml:space="preserve"> همچنان 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عناوین دیگری نیز </w:t>
      </w:r>
      <w:r w:rsidR="00AF21DC">
        <w:rPr>
          <w:rFonts w:ascii="IRBadr" w:hAnsi="IRBadr" w:cs="IRBadr"/>
          <w:sz w:val="28"/>
          <w:szCs w:val="28"/>
          <w:rtl/>
          <w:lang w:bidi="fa-IR"/>
        </w:rPr>
        <w:t>م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ی‌تواند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مطرح شود که تنها مورد اول از امور </w:t>
      </w:r>
      <w:r w:rsidR="00AF21DC">
        <w:rPr>
          <w:rFonts w:ascii="IRBadr" w:hAnsi="IRBadr" w:cs="IRBadr" w:hint="cs"/>
          <w:sz w:val="28"/>
          <w:szCs w:val="28"/>
          <w:rtl/>
          <w:lang w:bidi="fa-IR"/>
        </w:rPr>
        <w:t>بیان‌شده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مورد خدشه قرار گرفت اما سایر مورد این قابلیت را دارد که مانع جواز احتیاط در این مقام گردد.</w:t>
      </w:r>
      <w:bookmarkStart w:id="12" w:name="_GoBack"/>
      <w:bookmarkEnd w:id="12"/>
    </w:p>
    <w:sectPr w:rsidR="001547BD" w:rsidRPr="00F679A9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298" w:rsidRDefault="00AE6298" w:rsidP="000D5800">
      <w:pPr>
        <w:spacing w:after="0" w:line="240" w:lineRule="auto"/>
      </w:pPr>
      <w:r>
        <w:separator/>
      </w:r>
    </w:p>
  </w:endnote>
  <w:endnote w:type="continuationSeparator" w:id="0">
    <w:p w:rsidR="00AE6298" w:rsidRDefault="00AE6298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charset w:val="B2"/>
    <w:family w:val="auto"/>
    <w:pitch w:val="variable"/>
    <w:sig w:usb0="00002001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1DC" w:rsidRDefault="00AF21D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1DC" w:rsidRDefault="00AF21D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1DC" w:rsidRDefault="00AF21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298" w:rsidRDefault="00AE6298" w:rsidP="000D5800">
      <w:pPr>
        <w:spacing w:after="0" w:line="240" w:lineRule="auto"/>
      </w:pPr>
      <w:r>
        <w:separator/>
      </w:r>
    </w:p>
  </w:footnote>
  <w:footnote w:type="continuationSeparator" w:id="0">
    <w:p w:rsidR="00AE6298" w:rsidRDefault="00AE6298" w:rsidP="000D5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1DC" w:rsidRDefault="00AF21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F679A9">
    <w:pPr>
      <w:tabs>
        <w:tab w:val="left" w:pos="1256"/>
        <w:tab w:val="left" w:pos="5696"/>
        <w:tab w:val="right" w:pos="9071"/>
      </w:tabs>
      <w:bidi/>
      <w:rPr>
        <w:b/>
        <w:bCs/>
        <w:sz w:val="32"/>
        <w:rtl/>
        <w:lang w:bidi="fa-IR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EA3CFEA" wp14:editId="6D6C3EE3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827963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3" w:name="OLE_LINK1"/>
    <w:bookmarkStart w:id="14" w:name="OLE_LINK2"/>
    <w:r>
      <w:rPr>
        <w:noProof/>
        <w:lang w:bidi="fa-IR"/>
      </w:rPr>
      <w:drawing>
        <wp:inline distT="0" distB="0" distL="0" distR="0" wp14:anchorId="6CB58678" wp14:editId="0AF49B1D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3"/>
    <w:bookmarkEnd w:id="14"/>
    <w:r w:rsidR="00B85A27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39750A">
      <w:rPr>
        <w:rFonts w:ascii="IranNastaliq" w:hAnsi="IranNastaliq" w:cs="IranNastaliq" w:hint="cs"/>
        <w:sz w:val="40"/>
        <w:szCs w:val="40"/>
        <w:rtl/>
        <w:lang w:bidi="fa-IR"/>
      </w:rPr>
      <w:t>459</w:t>
    </w:r>
    <w:r w:rsidR="00F679A9">
      <w:rPr>
        <w:rFonts w:ascii="IranNastaliq" w:hAnsi="IranNastaliq" w:cs="IranNastaliq" w:hint="cs"/>
        <w:sz w:val="40"/>
        <w:szCs w:val="40"/>
        <w:rtl/>
        <w:lang w:bidi="fa-IR"/>
      </w:rPr>
      <w:t>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1DC" w:rsidRDefault="00AF21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F"/>
    <w:rsid w:val="000228A2"/>
    <w:rsid w:val="000324F1"/>
    <w:rsid w:val="00052BA3"/>
    <w:rsid w:val="0006363E"/>
    <w:rsid w:val="00080DFF"/>
    <w:rsid w:val="00085ED5"/>
    <w:rsid w:val="000872DB"/>
    <w:rsid w:val="000A1A51"/>
    <w:rsid w:val="000D2D0D"/>
    <w:rsid w:val="000D5800"/>
    <w:rsid w:val="000D7F48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547BD"/>
    <w:rsid w:val="00156CF3"/>
    <w:rsid w:val="00166DD8"/>
    <w:rsid w:val="001712D6"/>
    <w:rsid w:val="001757C8"/>
    <w:rsid w:val="00177934"/>
    <w:rsid w:val="00192A6A"/>
    <w:rsid w:val="00197CDD"/>
    <w:rsid w:val="001B6646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7263"/>
    <w:rsid w:val="002C291B"/>
    <w:rsid w:val="002C56FD"/>
    <w:rsid w:val="002C7C91"/>
    <w:rsid w:val="002C7DDB"/>
    <w:rsid w:val="002D49E4"/>
    <w:rsid w:val="002E450B"/>
    <w:rsid w:val="002E73F9"/>
    <w:rsid w:val="002F05B9"/>
    <w:rsid w:val="003027A8"/>
    <w:rsid w:val="00303DB6"/>
    <w:rsid w:val="00340BA3"/>
    <w:rsid w:val="00366400"/>
    <w:rsid w:val="00392E9A"/>
    <w:rsid w:val="00396F28"/>
    <w:rsid w:val="0039750A"/>
    <w:rsid w:val="003A1A05"/>
    <w:rsid w:val="003A2654"/>
    <w:rsid w:val="003A7D46"/>
    <w:rsid w:val="003C06BF"/>
    <w:rsid w:val="003C7899"/>
    <w:rsid w:val="003D2F0A"/>
    <w:rsid w:val="003D4AC6"/>
    <w:rsid w:val="003D563F"/>
    <w:rsid w:val="003E1E58"/>
    <w:rsid w:val="003E4ADF"/>
    <w:rsid w:val="003F604C"/>
    <w:rsid w:val="00405199"/>
    <w:rsid w:val="00410699"/>
    <w:rsid w:val="00415360"/>
    <w:rsid w:val="0044591E"/>
    <w:rsid w:val="004651D2"/>
    <w:rsid w:val="00465D26"/>
    <w:rsid w:val="004679F8"/>
    <w:rsid w:val="004A1153"/>
    <w:rsid w:val="004A7364"/>
    <w:rsid w:val="004B337F"/>
    <w:rsid w:val="004F3596"/>
    <w:rsid w:val="00572680"/>
    <w:rsid w:val="00572E2D"/>
    <w:rsid w:val="00592103"/>
    <w:rsid w:val="005A545E"/>
    <w:rsid w:val="005A5862"/>
    <w:rsid w:val="005B0852"/>
    <w:rsid w:val="005B2689"/>
    <w:rsid w:val="005C06AE"/>
    <w:rsid w:val="00610C18"/>
    <w:rsid w:val="0061376C"/>
    <w:rsid w:val="00636EFA"/>
    <w:rsid w:val="00655B7D"/>
    <w:rsid w:val="0066229C"/>
    <w:rsid w:val="0069696C"/>
    <w:rsid w:val="006A085A"/>
    <w:rsid w:val="006B0BCE"/>
    <w:rsid w:val="006D3A87"/>
    <w:rsid w:val="006F01B4"/>
    <w:rsid w:val="0072383B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4DF9"/>
    <w:rsid w:val="007A5D2F"/>
    <w:rsid w:val="007A7AF7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61C98"/>
    <w:rsid w:val="00963AA3"/>
    <w:rsid w:val="00980643"/>
    <w:rsid w:val="00992D2C"/>
    <w:rsid w:val="009A3770"/>
    <w:rsid w:val="009B61C3"/>
    <w:rsid w:val="009C7B4F"/>
    <w:rsid w:val="009E588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0ACB"/>
    <w:rsid w:val="00A9616A"/>
    <w:rsid w:val="00A96F68"/>
    <w:rsid w:val="00AA2342"/>
    <w:rsid w:val="00AC6B45"/>
    <w:rsid w:val="00AD0304"/>
    <w:rsid w:val="00AD27BE"/>
    <w:rsid w:val="00AE6298"/>
    <w:rsid w:val="00AF0F1A"/>
    <w:rsid w:val="00AF21DC"/>
    <w:rsid w:val="00B06BB8"/>
    <w:rsid w:val="00B15027"/>
    <w:rsid w:val="00B21CF4"/>
    <w:rsid w:val="00B24300"/>
    <w:rsid w:val="00B31426"/>
    <w:rsid w:val="00B63F15"/>
    <w:rsid w:val="00B67C08"/>
    <w:rsid w:val="00B7512E"/>
    <w:rsid w:val="00B85A27"/>
    <w:rsid w:val="00BB5F7E"/>
    <w:rsid w:val="00BB6A1C"/>
    <w:rsid w:val="00BC26F6"/>
    <w:rsid w:val="00BD3122"/>
    <w:rsid w:val="00BD40DA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20F"/>
    <w:rsid w:val="00CF7916"/>
    <w:rsid w:val="00D158F3"/>
    <w:rsid w:val="00D3665C"/>
    <w:rsid w:val="00D508CC"/>
    <w:rsid w:val="00D50F4B"/>
    <w:rsid w:val="00D60547"/>
    <w:rsid w:val="00D66444"/>
    <w:rsid w:val="00D75A0A"/>
    <w:rsid w:val="00D836B6"/>
    <w:rsid w:val="00DB28BB"/>
    <w:rsid w:val="00DC603F"/>
    <w:rsid w:val="00DD3C0D"/>
    <w:rsid w:val="00DD475D"/>
    <w:rsid w:val="00DD4864"/>
    <w:rsid w:val="00DD71A2"/>
    <w:rsid w:val="00DF5659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679A9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E7B0737B-154D-406B-8830-79B0B846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3E4ADF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B85A27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3975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19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hragh\Desktop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2222F-7FA1-481B-8617-3424B9E14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Doc11.dotx</Template>
  <TotalTime>167</TotalTime>
  <Pages>5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اشراق</dc:creator>
  <cp:lastModifiedBy>ac</cp:lastModifiedBy>
  <cp:revision>34</cp:revision>
  <dcterms:created xsi:type="dcterms:W3CDTF">2014-11-18T06:47:00Z</dcterms:created>
  <dcterms:modified xsi:type="dcterms:W3CDTF">2015-10-02T10:21:00Z</dcterms:modified>
</cp:coreProperties>
</file>