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D" w:rsidRDefault="00A634AD" w:rsidP="00A634AD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1E615E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"1-6"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0" w:history="1">
        <w:r w:rsidR="00A634AD" w:rsidRPr="00C031C5">
          <w:rPr>
            <w:rStyle w:val="Hyperlink"/>
            <w:rFonts w:hint="eastAsia"/>
            <w:noProof/>
            <w:rtl/>
          </w:rPr>
          <w:t>احت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 w:rsidRPr="00C031C5">
          <w:rPr>
            <w:rStyle w:val="Hyperlink"/>
            <w:rFonts w:hint="eastAsia"/>
            <w:noProof/>
            <w:rtl/>
          </w:rPr>
          <w:t>اط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در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عبادات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_Toc432348730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2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1" w:history="1">
        <w:r w:rsidR="00A634AD" w:rsidRPr="00C031C5">
          <w:rPr>
            <w:rStyle w:val="Hyperlink"/>
            <w:rFonts w:hint="eastAsia"/>
            <w:noProof/>
            <w:rtl/>
          </w:rPr>
          <w:t>وجه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ششم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در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عدم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جواز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احت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 w:rsidRPr="00C031C5">
          <w:rPr>
            <w:rStyle w:val="Hyperlink"/>
            <w:rFonts w:hint="eastAsia"/>
            <w:noProof/>
            <w:rtl/>
          </w:rPr>
          <w:t>اط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_Toc432348731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2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2" w:history="1">
        <w:r w:rsidR="00A634AD" w:rsidRPr="00C031C5">
          <w:rPr>
            <w:rStyle w:val="Hyperlink"/>
            <w:rFonts w:hint="eastAsia"/>
            <w:noProof/>
            <w:rtl/>
          </w:rPr>
          <w:t>مناقشه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دوم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در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استدلال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فوق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_Toc432348732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2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3" w:history="1">
        <w:r w:rsidR="00A634AD" w:rsidRPr="00C031C5">
          <w:rPr>
            <w:rStyle w:val="Hyperlink"/>
            <w:rFonts w:hint="eastAsia"/>
            <w:noProof/>
            <w:rtl/>
          </w:rPr>
          <w:t>تشر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 w:rsidRPr="00C031C5">
          <w:rPr>
            <w:rStyle w:val="Hyperlink"/>
            <w:rFonts w:hint="eastAsia"/>
            <w:noProof/>
            <w:rtl/>
          </w:rPr>
          <w:t>ح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ب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 w:rsidRPr="00C031C5">
          <w:rPr>
            <w:rStyle w:val="Hyperlink"/>
            <w:rFonts w:hint="eastAsia"/>
            <w:noProof/>
            <w:rtl/>
          </w:rPr>
          <w:t>ان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مرحوم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خو</w:t>
        </w:r>
        <w:r w:rsidR="00A634AD" w:rsidRPr="00C031C5">
          <w:rPr>
            <w:rStyle w:val="Hyperlink"/>
            <w:rFonts w:hint="cs"/>
            <w:noProof/>
            <w:rtl/>
          </w:rPr>
          <w:t>یی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و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حائر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_Toc432348733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2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4" w:history="1">
        <w:r w:rsidR="00A634AD">
          <w:rPr>
            <w:rStyle w:val="Hyperlink"/>
            <w:rFonts w:hint="eastAsia"/>
            <w:noProof/>
            <w:rtl/>
          </w:rPr>
          <w:t>جمع‌بندی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_Toc432348734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2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5" w:history="1">
        <w:r w:rsidR="00A634AD" w:rsidRPr="00C031C5">
          <w:rPr>
            <w:rStyle w:val="Hyperlink"/>
            <w:rFonts w:hint="eastAsia"/>
            <w:noProof/>
            <w:rtl/>
          </w:rPr>
          <w:t>حالات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شک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تع</w:t>
        </w:r>
        <w:r w:rsidR="00A634AD" w:rsidRPr="00C031C5">
          <w:rPr>
            <w:rStyle w:val="Hyperlink"/>
            <w:rFonts w:hint="cs"/>
            <w:noProof/>
            <w:rtl/>
          </w:rPr>
          <w:t>یی</w:t>
        </w:r>
        <w:r w:rsidR="00A634AD" w:rsidRPr="00C031C5">
          <w:rPr>
            <w:rStyle w:val="Hyperlink"/>
            <w:rFonts w:hint="eastAsia"/>
            <w:noProof/>
            <w:rtl/>
          </w:rPr>
          <w:t>ن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ـ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تخ</w:t>
        </w:r>
        <w:r w:rsidR="00A634AD" w:rsidRPr="00C031C5">
          <w:rPr>
            <w:rStyle w:val="Hyperlink"/>
            <w:rFonts w:hint="cs"/>
            <w:noProof/>
            <w:rtl/>
          </w:rPr>
          <w:t>یی</w:t>
        </w:r>
        <w:r w:rsidR="00A634AD" w:rsidRPr="00C031C5">
          <w:rPr>
            <w:rStyle w:val="Hyperlink"/>
            <w:rFonts w:hint="eastAsia"/>
            <w:noProof/>
            <w:rtl/>
          </w:rPr>
          <w:t>ر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_Toc432348735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3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6" w:history="1">
        <w:r w:rsidR="00A634AD" w:rsidRPr="00C031C5">
          <w:rPr>
            <w:rStyle w:val="Hyperlink"/>
            <w:rFonts w:hint="eastAsia"/>
            <w:noProof/>
            <w:rtl/>
          </w:rPr>
          <w:t>اتخاذ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مبنا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_Toc432348736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3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7" w:history="1">
        <w:r w:rsidR="00A634AD" w:rsidRPr="00C031C5">
          <w:rPr>
            <w:rStyle w:val="Hyperlink"/>
            <w:rFonts w:hint="eastAsia"/>
            <w:noProof/>
            <w:rtl/>
          </w:rPr>
          <w:t>مناقشه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در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استدلال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فوق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_Toc432348737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3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8" w:history="1">
        <w:r w:rsidR="00A634AD" w:rsidRPr="00C031C5">
          <w:rPr>
            <w:rStyle w:val="Hyperlink"/>
            <w:rFonts w:hint="eastAsia"/>
            <w:noProof/>
            <w:rtl/>
          </w:rPr>
          <w:t>بررس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وجوه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گذشته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_Toc432348738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4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39" w:history="1">
        <w:r w:rsidR="00A634AD">
          <w:rPr>
            <w:rStyle w:val="Hyperlink"/>
            <w:rFonts w:hint="eastAsia"/>
            <w:noProof/>
            <w:rtl/>
          </w:rPr>
          <w:t>جمع‌بندی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_Toc432348739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4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40" w:history="1">
        <w:r w:rsidR="00A634AD" w:rsidRPr="00C031C5">
          <w:rPr>
            <w:rStyle w:val="Hyperlink"/>
            <w:rFonts w:hint="eastAsia"/>
            <w:noProof/>
            <w:rtl/>
          </w:rPr>
          <w:t>پاسخ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دوم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_Toc432348740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4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41" w:history="1">
        <w:r w:rsidR="00A634AD" w:rsidRPr="00C031C5">
          <w:rPr>
            <w:rStyle w:val="Hyperlink"/>
            <w:rFonts w:hint="eastAsia"/>
            <w:noProof/>
            <w:rtl/>
          </w:rPr>
          <w:t>مورد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تنج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 w:rsidRPr="00C031C5">
          <w:rPr>
            <w:rStyle w:val="Hyperlink"/>
            <w:rFonts w:hint="eastAsia"/>
            <w:noProof/>
            <w:rtl/>
          </w:rPr>
          <w:t>ز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علم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اجمال</w:t>
        </w:r>
        <w:r w:rsidR="00A634AD" w:rsidRPr="00C031C5">
          <w:rPr>
            <w:rStyle w:val="Hyperlink"/>
            <w:rFonts w:hint="cs"/>
            <w:noProof/>
            <w:rtl/>
          </w:rPr>
          <w:t>ی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_Toc432348741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4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42" w:history="1">
        <w:r w:rsidR="00A634AD" w:rsidRPr="00C031C5">
          <w:rPr>
            <w:rStyle w:val="Hyperlink"/>
            <w:rFonts w:hint="eastAsia"/>
            <w:noProof/>
            <w:rtl/>
          </w:rPr>
          <w:t>مناشئ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اقوال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اصالت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تع</w:t>
        </w:r>
        <w:r w:rsidR="00A634AD" w:rsidRPr="00C031C5">
          <w:rPr>
            <w:rStyle w:val="Hyperlink"/>
            <w:rFonts w:hint="cs"/>
            <w:noProof/>
            <w:rtl/>
          </w:rPr>
          <w:t>یی</w:t>
        </w:r>
        <w:r w:rsidR="00A634AD" w:rsidRPr="00C031C5">
          <w:rPr>
            <w:rStyle w:val="Hyperlink"/>
            <w:rFonts w:hint="eastAsia"/>
            <w:noProof/>
            <w:rtl/>
          </w:rPr>
          <w:t>ن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و</w:t>
        </w:r>
        <w:r w:rsidR="00A634AD" w:rsidRPr="00C031C5">
          <w:rPr>
            <w:rStyle w:val="Hyperlink"/>
            <w:noProof/>
            <w:rtl/>
          </w:rPr>
          <w:t xml:space="preserve"> </w:t>
        </w:r>
        <w:r w:rsidR="00A634AD" w:rsidRPr="00C031C5">
          <w:rPr>
            <w:rStyle w:val="Hyperlink"/>
            <w:rFonts w:hint="eastAsia"/>
            <w:noProof/>
            <w:rtl/>
          </w:rPr>
          <w:t>تخ</w:t>
        </w:r>
        <w:r w:rsidR="00A634AD" w:rsidRPr="00C031C5">
          <w:rPr>
            <w:rStyle w:val="Hyperlink"/>
            <w:rFonts w:hint="cs"/>
            <w:noProof/>
            <w:rtl/>
          </w:rPr>
          <w:t>یی</w:t>
        </w:r>
        <w:r w:rsidR="00A634AD" w:rsidRPr="00C031C5">
          <w:rPr>
            <w:rStyle w:val="Hyperlink"/>
            <w:rFonts w:hint="eastAsia"/>
            <w:noProof/>
            <w:rtl/>
          </w:rPr>
          <w:t>ر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_Toc432348742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5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5D3055" w:rsidP="00A634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48743" w:history="1">
        <w:r w:rsidR="00A634AD">
          <w:rPr>
            <w:rStyle w:val="Hyperlink"/>
            <w:rFonts w:hint="eastAsia"/>
            <w:noProof/>
            <w:rtl/>
          </w:rPr>
          <w:t>نتیجه‌گیری</w:t>
        </w:r>
        <w:r w:rsidR="00A634AD">
          <w:rPr>
            <w:noProof/>
            <w:webHidden/>
          </w:rPr>
          <w:tab/>
        </w:r>
        <w:r w:rsidR="00A634AD">
          <w:rPr>
            <w:rStyle w:val="Hyperlink"/>
            <w:noProof/>
            <w:rtl/>
          </w:rPr>
          <w:fldChar w:fldCharType="begin"/>
        </w:r>
        <w:r w:rsidR="00A634AD">
          <w:rPr>
            <w:noProof/>
            <w:webHidden/>
          </w:rPr>
          <w:instrText xml:space="preserve"> PAGEREF _Toc432348743 \h </w:instrText>
        </w:r>
        <w:r w:rsidR="00A634AD">
          <w:rPr>
            <w:rStyle w:val="Hyperlink"/>
            <w:noProof/>
            <w:rtl/>
          </w:rPr>
        </w:r>
        <w:r w:rsidR="00A634AD">
          <w:rPr>
            <w:rStyle w:val="Hyperlink"/>
            <w:noProof/>
            <w:rtl/>
          </w:rPr>
          <w:fldChar w:fldCharType="separate"/>
        </w:r>
        <w:r w:rsidR="00A634AD">
          <w:rPr>
            <w:noProof/>
            <w:webHidden/>
          </w:rPr>
          <w:t>5</w:t>
        </w:r>
        <w:r w:rsidR="00A634AD">
          <w:rPr>
            <w:rStyle w:val="Hyperlink"/>
            <w:noProof/>
            <w:rtl/>
          </w:rPr>
          <w:fldChar w:fldCharType="end"/>
        </w:r>
      </w:hyperlink>
    </w:p>
    <w:p w:rsidR="00A634AD" w:rsidRDefault="00A634AD" w:rsidP="00A634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634AD" w:rsidRDefault="00A634AD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1E615E" w:rsidRDefault="001E615E" w:rsidP="009711B8">
      <w:pPr>
        <w:pStyle w:val="Heading1"/>
        <w:rPr>
          <w:rtl/>
        </w:rPr>
      </w:pPr>
      <w:bookmarkStart w:id="0" w:name="_Toc432348730"/>
      <w:r>
        <w:rPr>
          <w:rFonts w:hint="cs"/>
          <w:rtl/>
        </w:rPr>
        <w:lastRenderedPageBreak/>
        <w:t>احتیاط در عبادات</w:t>
      </w:r>
      <w:bookmarkEnd w:id="0"/>
    </w:p>
    <w:p w:rsidR="001E615E" w:rsidRDefault="001E615E" w:rsidP="009711B8">
      <w:pPr>
        <w:pStyle w:val="Heading1"/>
        <w:rPr>
          <w:rtl/>
        </w:rPr>
      </w:pPr>
      <w:bookmarkStart w:id="1" w:name="_Toc432348731"/>
      <w:r>
        <w:rPr>
          <w:rFonts w:hint="cs"/>
          <w:rtl/>
        </w:rPr>
        <w:t>وجه ششم در عدم جواز احتیاط</w:t>
      </w:r>
      <w:bookmarkEnd w:id="1"/>
    </w:p>
    <w:p w:rsidR="001E615E" w:rsidRDefault="001E615E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وجه ششم برای عدم جواز احتیاط در عبادات،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تمسک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اصول عملیه بعد از فرض شک است.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نائینی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برفرض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وجوه قبلی بر نفی صحت احتیاط حکم ندهد،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اصول عملیه روی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در اینجا شک بر تعیین و تخییر است که در این مورد اصل بر تعیین است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محققین دیگر نیز همین نظر را دارند.</w:t>
      </w:r>
    </w:p>
    <w:p w:rsidR="001E615E" w:rsidRDefault="007542C6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مورد تعیینی اجتهاد و تقلید است که جایی برای احتیاط باقی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ی‌ماند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542C6" w:rsidRDefault="007542C6" w:rsidP="009711B8">
      <w:pPr>
        <w:pStyle w:val="Heading1"/>
        <w:rPr>
          <w:rtl/>
        </w:rPr>
      </w:pPr>
      <w:bookmarkStart w:id="2" w:name="_Toc432348732"/>
      <w:r>
        <w:rPr>
          <w:rFonts w:hint="cs"/>
          <w:rtl/>
        </w:rPr>
        <w:t>مناقشه دوم در استدلال فوق</w:t>
      </w:r>
      <w:bookmarkEnd w:id="2"/>
    </w:p>
    <w:p w:rsidR="007542C6" w:rsidRDefault="007542C6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مناقشاتی در این رابطه وجود داشت که عمده مناقشه دوم بود و از طرف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حائری در ذیل همین بحث تقریری وجود دارد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نیز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باروحی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واحد و اما ظاهری متفاوت تقریری دارند،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روح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تقریر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که؛</w:t>
      </w:r>
    </w:p>
    <w:p w:rsidR="007542C6" w:rsidRDefault="007542C6" w:rsidP="009711B8">
      <w:pPr>
        <w:pStyle w:val="Heading1"/>
        <w:rPr>
          <w:rtl/>
        </w:rPr>
      </w:pPr>
      <w:bookmarkStart w:id="3" w:name="_Toc432348733"/>
      <w:r>
        <w:rPr>
          <w:rFonts w:hint="cs"/>
          <w:rtl/>
        </w:rPr>
        <w:t>تشریح بیان مرحوم خویی و حائری</w:t>
      </w:r>
      <w:bookmarkEnd w:id="3"/>
    </w:p>
    <w:p w:rsidR="007542C6" w:rsidRDefault="007542C6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هر دو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برخلاف ادعای مرحوم نائینی که اینجا شک بر تعیین و تخییر است،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شک به نحو اقل و اکثر است.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شک بر انحاء متفاوتی است.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شک از نوعی بود که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نائینی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ی‌فرمود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کلام ایشان صحیح بود.</w:t>
      </w:r>
    </w:p>
    <w:p w:rsidR="001A0F17" w:rsidRDefault="00A634AD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طبق عقیده آ</w:t>
      </w:r>
      <w:r w:rsidR="007542C6">
        <w:rPr>
          <w:rFonts w:ascii="IRBadr" w:hAnsi="IRBadr" w:cs="IRBadr" w:hint="cs"/>
          <w:sz w:val="28"/>
          <w:szCs w:val="28"/>
          <w:rtl/>
          <w:lang w:bidi="fa-IR"/>
        </w:rPr>
        <w:t xml:space="preserve">ن دو بزرگوار </w:t>
      </w:r>
      <w:r>
        <w:rPr>
          <w:rFonts w:ascii="IRBadr" w:hAnsi="IRBadr" w:cs="IRBadr" w:hint="cs"/>
          <w:sz w:val="28"/>
          <w:szCs w:val="28"/>
          <w:rtl/>
          <w:lang w:bidi="fa-IR"/>
        </w:rPr>
        <w:t>می‌دانیم</w:t>
      </w:r>
      <w:r w:rsidR="007542C6">
        <w:rPr>
          <w:rFonts w:ascii="IRBadr" w:hAnsi="IRBadr" w:cs="IRBadr" w:hint="cs"/>
          <w:sz w:val="28"/>
          <w:szCs w:val="28"/>
          <w:rtl/>
          <w:lang w:bidi="fa-IR"/>
        </w:rPr>
        <w:t xml:space="preserve"> قصد قربت در عبادت شرط است و در جواز احتیاط در اینجا شک به وجود آمد چراکه در اینجا بدون فرض قصد تمییز و وجه اقل و با فرض وجوب این موارد حالت اکثری پیدا خواهد شد.</w:t>
      </w:r>
    </w:p>
    <w:p w:rsidR="009711B8" w:rsidRDefault="00A634AD" w:rsidP="009711B8">
      <w:pPr>
        <w:pStyle w:val="Heading1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7542C6" w:rsidRDefault="007542C6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در اینجا شک در تعیین و تخییری که وجود دارد شک در جزئیت امر زائد است.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 اجمالی در اینجا شک بین اقل و اکثر است.</w:t>
      </w:r>
    </w:p>
    <w:p w:rsidR="00C91587" w:rsidRDefault="00C91587" w:rsidP="009711B8">
      <w:pPr>
        <w:pStyle w:val="Heading1"/>
        <w:rPr>
          <w:rtl/>
        </w:rPr>
      </w:pPr>
      <w:bookmarkStart w:id="4" w:name="_Toc432348735"/>
      <w:r>
        <w:rPr>
          <w:rFonts w:hint="cs"/>
          <w:rtl/>
        </w:rPr>
        <w:t>حالات شک تعیینی ـ تخییری</w:t>
      </w:r>
      <w:bookmarkEnd w:id="4"/>
    </w:p>
    <w:p w:rsidR="001A0F17" w:rsidRDefault="007542C6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یعنی در موردی که شک به نحو تعیینی و تخییری است به دو نحو متصور است که باید دید این نوع از شک دارای چه منشأیی است که در مواردی شک پایه مکشوف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قانون تعیین و تخییر اجراء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91587" w:rsidRDefault="007542C6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در برخی موارد این شک به شکی دیگر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</w:t>
      </w:r>
      <w:r w:rsidR="00C91587">
        <w:rPr>
          <w:rFonts w:ascii="IRBadr" w:hAnsi="IRBadr" w:cs="IRBadr" w:hint="cs"/>
          <w:sz w:val="28"/>
          <w:szCs w:val="28"/>
          <w:rtl/>
          <w:lang w:bidi="fa-IR"/>
        </w:rPr>
        <w:t xml:space="preserve">ه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 w:rsidR="00C91587">
        <w:rPr>
          <w:rFonts w:ascii="IRBadr" w:hAnsi="IRBadr" w:cs="IRBadr" w:hint="cs"/>
          <w:sz w:val="28"/>
          <w:szCs w:val="28"/>
          <w:rtl/>
          <w:lang w:bidi="fa-IR"/>
        </w:rPr>
        <w:t xml:space="preserve"> از قبیل نوع دوم است و در اقل و اکثر علم اجمالی منحل شده و برائت جاری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="00C91587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C91587">
        <w:rPr>
          <w:rFonts w:ascii="IRBadr" w:hAnsi="IRBadr" w:cs="IRBadr" w:hint="cs"/>
          <w:sz w:val="28"/>
          <w:szCs w:val="28"/>
          <w:rtl/>
          <w:lang w:bidi="fa-IR"/>
        </w:rPr>
        <w:t xml:space="preserve"> اقل و اکثر استقلالی و چه ارتباطی باشند.</w:t>
      </w:r>
    </w:p>
    <w:p w:rsidR="00C91587" w:rsidRDefault="00C91587" w:rsidP="009711B8">
      <w:pPr>
        <w:pStyle w:val="Heading1"/>
        <w:rPr>
          <w:rtl/>
        </w:rPr>
      </w:pPr>
      <w:bookmarkStart w:id="5" w:name="_Toc432348736"/>
      <w:r>
        <w:rPr>
          <w:rFonts w:hint="cs"/>
          <w:rtl/>
        </w:rPr>
        <w:t>اتخاذ مبنا</w:t>
      </w:r>
      <w:bookmarkEnd w:id="5"/>
    </w:p>
    <w:p w:rsidR="00C91587" w:rsidRDefault="00C91587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در باب اقل و اکثر ارتباطی بالای ده نظریه است که آیا منحل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خیر؟ که معمول محققین و نظریه حق قائل به انحلال است.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حائری بیشتر اقل و اکثر را مستند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به‌قصد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تمییز و وجه و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به امر دیگری مستند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استناد آن به امر معلوم بوده و هر دو نیز صحیح است.</w:t>
      </w:r>
    </w:p>
    <w:p w:rsidR="00C91587" w:rsidRDefault="00C91587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اشکال،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اشکال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قوی‌ای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دقت نمود که آیا شک در اینجا به منشأیی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خیر؟</w:t>
      </w:r>
    </w:p>
    <w:p w:rsidR="00C91587" w:rsidRDefault="00C91587" w:rsidP="009711B8">
      <w:pPr>
        <w:pStyle w:val="Heading1"/>
        <w:rPr>
          <w:rtl/>
        </w:rPr>
      </w:pPr>
      <w:bookmarkStart w:id="6" w:name="_Toc432348737"/>
      <w:r>
        <w:rPr>
          <w:rFonts w:hint="cs"/>
          <w:rtl/>
        </w:rPr>
        <w:t>مناقشه در استدلال فوق</w:t>
      </w:r>
      <w:bookmarkEnd w:id="6"/>
    </w:p>
    <w:p w:rsidR="00C91587" w:rsidRDefault="00C91587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ما در این فرمایش مناقشه داریم چراکه پاسخ ایشان تمام نیست با این توضیح که؛</w:t>
      </w:r>
    </w:p>
    <w:p w:rsidR="00C91587" w:rsidRDefault="008843C9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در اینجا رجوع این شک را به شک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پایه‌ای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قبول داریم،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همه سخن در اینجاست که شک پایه از یکی از پنج وجه سابق،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قبل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وجه ششم ناشی شده است که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عبادت را تکرار کرد.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وجه سه تا پنج شک بر اقل و اکثر است و فرمایش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حائری و خویی صحیح است.</w:t>
      </w:r>
    </w:p>
    <w:p w:rsidR="008843C9" w:rsidRDefault="008843C9" w:rsidP="009711B8">
      <w:pPr>
        <w:pStyle w:val="Heading1"/>
        <w:rPr>
          <w:rtl/>
        </w:rPr>
      </w:pPr>
      <w:bookmarkStart w:id="7" w:name="_Toc432348738"/>
      <w:r>
        <w:rPr>
          <w:rFonts w:hint="cs"/>
          <w:rtl/>
        </w:rPr>
        <w:t>بررسی وجوه گذشته</w:t>
      </w:r>
      <w:bookmarkEnd w:id="7"/>
    </w:p>
    <w:p w:rsidR="009711B8" w:rsidRDefault="008843C9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همه تردید ما به سبب این است که در اینجا وجه اول و دوم نیز وجود دارد که احتمال لعب به امر مولی و یا اجماع است که در این صورت تعیین و تخییر به اقل و اکثر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برنمی‌گردد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شک در مکلف به است و فرد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قصد قربت مأخوذ است اما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قصد قربت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حاصل گردد یا خیر؟</w:t>
      </w:r>
    </w:p>
    <w:p w:rsidR="008843C9" w:rsidRDefault="008843C9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لذا تردید در اینجا در قصد قربت است. در قبال اجماع هم احتمال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نکته‌ای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مضر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به‌قصد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قربت است و شک در مکلف به است لذا جایی برای احتمال برائت باقی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ی‌ماند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843C9" w:rsidRDefault="00A634AD" w:rsidP="009711B8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8843C9" w:rsidRDefault="00A634AD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8843C9">
        <w:rPr>
          <w:rFonts w:ascii="IRBadr" w:hAnsi="IRBadr" w:cs="IRBadr" w:hint="cs"/>
          <w:sz w:val="28"/>
          <w:szCs w:val="28"/>
          <w:rtl/>
          <w:lang w:bidi="fa-IR"/>
        </w:rPr>
        <w:t xml:space="preserve"> اگر مورد از قبیل احتمال اول و دوم باشد،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کلام</w:t>
      </w:r>
      <w:r w:rsidR="008843C9">
        <w:rPr>
          <w:rFonts w:ascii="IRBadr" w:hAnsi="IRBadr" w:cs="IRBadr" w:hint="cs"/>
          <w:sz w:val="28"/>
          <w:szCs w:val="28"/>
          <w:rtl/>
          <w:lang w:bidi="fa-IR"/>
        </w:rPr>
        <w:t xml:space="preserve"> این دو بزرگوار صحیح نخواهد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8843C9">
        <w:rPr>
          <w:rFonts w:ascii="IRBadr" w:hAnsi="IRBadr" w:cs="IRBadr" w:hint="cs"/>
          <w:sz w:val="28"/>
          <w:szCs w:val="28"/>
          <w:rtl/>
          <w:lang w:bidi="fa-IR"/>
        </w:rPr>
        <w:t xml:space="preserve"> در احتمالات دیگر جزء زائدی وجود داشت برخلاف موارد اول و دوم که شک در مکلف به است.</w:t>
      </w:r>
    </w:p>
    <w:p w:rsidR="001A0F17" w:rsidRDefault="001A0F17" w:rsidP="009711B8">
      <w:pPr>
        <w:pStyle w:val="Heading2"/>
        <w:rPr>
          <w:rtl/>
        </w:rPr>
      </w:pPr>
      <w:bookmarkStart w:id="8" w:name="_Toc432348740"/>
      <w:r>
        <w:rPr>
          <w:rFonts w:hint="cs"/>
          <w:rtl/>
        </w:rPr>
        <w:t>پاسخ دوم</w:t>
      </w:r>
      <w:bookmarkEnd w:id="8"/>
    </w:p>
    <w:p w:rsidR="001A0F17" w:rsidRDefault="001A0F17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جواب دیگر که مبنایی است،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نحو است که شک در تعیین و تخییر،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تخییر است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و تبریزی بر این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عق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وجه اشکال به کبرای مسأله است.</w:t>
      </w:r>
    </w:p>
    <w:p w:rsidR="001A0F17" w:rsidRDefault="001A0F17" w:rsidP="009711B8">
      <w:pPr>
        <w:pStyle w:val="Heading2"/>
        <w:rPr>
          <w:rtl/>
        </w:rPr>
      </w:pPr>
      <w:bookmarkStart w:id="9" w:name="_Toc432348741"/>
      <w:r>
        <w:rPr>
          <w:rFonts w:hint="cs"/>
          <w:rtl/>
        </w:rPr>
        <w:lastRenderedPageBreak/>
        <w:t>مورد تنجیز علم اجمالی</w:t>
      </w:r>
      <w:bookmarkEnd w:id="9"/>
    </w:p>
    <w:p w:rsidR="001A0F17" w:rsidRDefault="001A0F17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اجمال داستان نیز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تنجیز علم اجمالی در حالتی است که اصول مؤمنه در دو طرف تعارض کنند و برائت در دو طرف جاری نشود.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تعیین یکی از این دو مشخص نیست،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تعارض رسیده و علم اجمالی منجز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A0F17" w:rsidRDefault="001A0F17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در موارد اقل و اکثر تعارض صورت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اقل قطعی است و نسبت به اکثر برائت حاصل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A0F17" w:rsidRDefault="001A0F17" w:rsidP="009711B8">
      <w:pPr>
        <w:pStyle w:val="Heading2"/>
        <w:rPr>
          <w:rtl/>
        </w:rPr>
      </w:pPr>
      <w:bookmarkStart w:id="10" w:name="_Toc432348742"/>
      <w:r>
        <w:rPr>
          <w:rFonts w:hint="cs"/>
          <w:rtl/>
        </w:rPr>
        <w:t>مناشئ اقوال اصالت تعیین و تخییر</w:t>
      </w:r>
      <w:bookmarkEnd w:id="10"/>
    </w:p>
    <w:p w:rsidR="001A0F17" w:rsidRDefault="00A634AD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در اقل و اکثر علم اجمالی منحل خواهد شد و در تعیین و تخییر امثال </w:t>
      </w:r>
      <w:r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نائینی </w:t>
      </w:r>
      <w:r>
        <w:rPr>
          <w:rFonts w:ascii="IRBadr" w:hAnsi="IRBadr" w:cs="IRBadr" w:hint="cs"/>
          <w:sz w:val="28"/>
          <w:szCs w:val="28"/>
          <w:rtl/>
          <w:lang w:bidi="fa-IR"/>
        </w:rPr>
        <w:t>می‌گویند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که برائت از دو طرف حاصل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و احتیاط در </w:t>
      </w:r>
      <w:r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به تعیین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خویی که قائل به نکته ظریف مانع از اجرای برائت از دو طرف است؛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برائت و حدیث رفع اصل امتنانی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همین اگر حکم تعیینی را بردارد دارای منتی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="001A0F17">
        <w:rPr>
          <w:rFonts w:ascii="IRBadr" w:hAnsi="IRBadr" w:cs="IRBadr" w:hint="cs"/>
          <w:sz w:val="28"/>
          <w:szCs w:val="28"/>
          <w:rtl/>
          <w:lang w:bidi="fa-IR"/>
        </w:rPr>
        <w:t xml:space="preserve"> رفع حکم تخییری که در آن منتی وجود ندارد.</w:t>
      </w:r>
    </w:p>
    <w:p w:rsidR="009711B8" w:rsidRDefault="00A634AD" w:rsidP="009711B8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1A0F17" w:rsidRDefault="001A0F17" w:rsidP="009711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برائت در اینجا مانند اقل و اکثر است.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تعیین برائت جاری است برخلاف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تخ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ییر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قائل به تفصیلی هستیم و در جای خود باید مطرح گردد و 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به‌هرحال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واضح </w:t>
      </w:r>
      <w:r w:rsidR="00A634A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634A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که اصل در اینجا بر تعیین است.</w:t>
      </w:r>
    </w:p>
    <w:p w:rsidR="00C91587" w:rsidRDefault="00C91587" w:rsidP="00C91587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C91587" w:rsidRDefault="00C91587" w:rsidP="00C91587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1E615E" w:rsidRPr="00BC1C66" w:rsidRDefault="001E615E" w:rsidP="001E615E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1E615E" w:rsidRPr="00BC1C66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55" w:rsidRDefault="005D3055" w:rsidP="000D5800">
      <w:pPr>
        <w:spacing w:after="0" w:line="240" w:lineRule="auto"/>
      </w:pPr>
      <w:r>
        <w:separator/>
      </w:r>
    </w:p>
  </w:endnote>
  <w:endnote w:type="continuationSeparator" w:id="0">
    <w:p w:rsidR="005D3055" w:rsidRDefault="005D305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D" w:rsidRDefault="00A63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D" w:rsidRDefault="00A634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D" w:rsidRDefault="00A63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55" w:rsidRDefault="005D3055" w:rsidP="000D5800">
      <w:pPr>
        <w:spacing w:after="0" w:line="240" w:lineRule="auto"/>
      </w:pPr>
      <w:r>
        <w:separator/>
      </w:r>
    </w:p>
  </w:footnote>
  <w:footnote w:type="continuationSeparator" w:id="0">
    <w:p w:rsidR="005D3055" w:rsidRDefault="005D3055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D" w:rsidRDefault="00A63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FF1822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8906E10" wp14:editId="57DB5F0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230160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  <w:lang w:bidi="fa-IR"/>
      </w:rPr>
      <w:drawing>
        <wp:inline distT="0" distB="0" distL="0" distR="0" wp14:anchorId="15D8D208" wp14:editId="39FE2B8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F1822">
      <w:rPr>
        <w:rFonts w:ascii="IranNastaliq" w:hAnsi="IranNastaliq" w:cs="IranNastaliq" w:hint="cs"/>
        <w:sz w:val="40"/>
        <w:szCs w:val="40"/>
        <w:rtl/>
        <w:lang w:bidi="fa-IR"/>
      </w:rPr>
      <w:t>4618</w:t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D" w:rsidRDefault="00A63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A0F17"/>
    <w:rsid w:val="001B6646"/>
    <w:rsid w:val="001C367D"/>
    <w:rsid w:val="001D24F8"/>
    <w:rsid w:val="001D3E24"/>
    <w:rsid w:val="001E306E"/>
    <w:rsid w:val="001E3FB0"/>
    <w:rsid w:val="001E4FFF"/>
    <w:rsid w:val="001E615E"/>
    <w:rsid w:val="001F211E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A6F5C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5D3055"/>
    <w:rsid w:val="00610C18"/>
    <w:rsid w:val="0061376C"/>
    <w:rsid w:val="00636EFA"/>
    <w:rsid w:val="006378D3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542C6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843C9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711B8"/>
    <w:rsid w:val="00980643"/>
    <w:rsid w:val="00992D2C"/>
    <w:rsid w:val="009B61C3"/>
    <w:rsid w:val="009C7B4F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634A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1587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0819-1C99-4D8D-A8E6-51917E4C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777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اکبریان</cp:lastModifiedBy>
  <cp:revision>41</cp:revision>
  <dcterms:created xsi:type="dcterms:W3CDTF">2014-11-18T06:47:00Z</dcterms:created>
  <dcterms:modified xsi:type="dcterms:W3CDTF">2015-09-12T09:29:00Z</dcterms:modified>
</cp:coreProperties>
</file>