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3D" w:rsidRDefault="00C7623D" w:rsidP="00C7623D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 w:hint="cs"/>
          <w:sz w:val="28"/>
          <w:szCs w:val="28"/>
          <w:lang w:bidi="fa-IR"/>
        </w:rPr>
        <w:instrText>TOC</w:instrText>
      </w:r>
      <w:r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7623D" w:rsidRDefault="00C7623D" w:rsidP="00C7623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59" w:history="1">
        <w:r w:rsidRPr="009C200D">
          <w:rPr>
            <w:rStyle w:val="Hyperlink"/>
            <w:rFonts w:hint="eastAsia"/>
            <w:noProof/>
            <w:rtl/>
          </w:rPr>
          <w:t>نظر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ه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تخ</w:t>
        </w:r>
        <w:r w:rsidRPr="009C200D">
          <w:rPr>
            <w:rStyle w:val="Hyperlink"/>
            <w:rFonts w:hint="cs"/>
            <w:noProof/>
            <w:rtl/>
          </w:rPr>
          <w:t>یی</w:t>
        </w:r>
        <w:r w:rsidRPr="009C200D">
          <w:rPr>
            <w:rStyle w:val="Hyperlink"/>
            <w:rFonts w:hint="eastAsia"/>
            <w:noProof/>
            <w:rtl/>
          </w:rPr>
          <w:t>ر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در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ن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0" w:history="1">
        <w:r w:rsidRPr="009C200D">
          <w:rPr>
            <w:rStyle w:val="Hyperlink"/>
            <w:rFonts w:hint="eastAsia"/>
            <w:noProof/>
            <w:rtl/>
          </w:rPr>
          <w:t>مرور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بحث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1" w:history="1">
        <w:r w:rsidRPr="009C200D">
          <w:rPr>
            <w:rStyle w:val="Hyperlink"/>
            <w:rFonts w:hint="eastAsia"/>
            <w:noProof/>
            <w:rtl/>
          </w:rPr>
          <w:t>نظر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ه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2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3" w:history="1">
        <w:r w:rsidRPr="009C200D">
          <w:rPr>
            <w:rStyle w:val="Hyperlink"/>
            <w:rFonts w:hint="eastAsia"/>
            <w:noProof/>
            <w:rtl/>
          </w:rPr>
          <w:t>تکمله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4" w:history="1">
        <w:r w:rsidRPr="009C200D">
          <w:rPr>
            <w:rStyle w:val="Hyperlink"/>
            <w:rFonts w:hint="eastAsia"/>
            <w:noProof/>
            <w:rtl/>
          </w:rPr>
          <w:t>تکمله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5" w:history="1">
        <w:r w:rsidRPr="009C200D">
          <w:rPr>
            <w:rStyle w:val="Hyperlink"/>
            <w:rFonts w:hint="eastAsia"/>
            <w:noProof/>
            <w:rtl/>
          </w:rPr>
          <w:t>انواع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واجبات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طر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ق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6" w:history="1">
        <w:r w:rsidRPr="009C200D">
          <w:rPr>
            <w:rStyle w:val="Hyperlink"/>
            <w:rFonts w:hint="eastAsia"/>
            <w:noProof/>
            <w:rtl/>
          </w:rPr>
          <w:t>احتمال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مقابل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7" w:history="1">
        <w:r w:rsidRPr="009C200D">
          <w:rPr>
            <w:rStyle w:val="Hyperlink"/>
            <w:rFonts w:hint="eastAsia"/>
            <w:noProof/>
            <w:rtl/>
          </w:rPr>
          <w:t>مبنا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احتمال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8" w:history="1">
        <w:r w:rsidRPr="009C200D">
          <w:rPr>
            <w:rStyle w:val="Hyperlink"/>
            <w:rFonts w:hint="eastAsia"/>
            <w:noProof/>
            <w:rtl/>
          </w:rPr>
          <w:t>فرض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بحث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در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سا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ر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صور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69" w:history="1">
        <w:r w:rsidRPr="009C200D">
          <w:rPr>
            <w:rStyle w:val="Hyperlink"/>
            <w:rFonts w:hint="eastAsia"/>
            <w:noProof/>
            <w:rtl/>
          </w:rPr>
          <w:t>دل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ل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70" w:history="1">
        <w:r w:rsidRPr="009C200D">
          <w:rPr>
            <w:rStyle w:val="Hyperlink"/>
            <w:rFonts w:hint="eastAsia"/>
            <w:noProof/>
            <w:rtl/>
          </w:rPr>
          <w:t>دل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ل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49271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49272" w:history="1">
        <w:r w:rsidRPr="009C200D">
          <w:rPr>
            <w:rStyle w:val="Hyperlink"/>
            <w:rFonts w:hint="eastAsia"/>
            <w:noProof/>
            <w:rtl/>
          </w:rPr>
          <w:t>افضل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ت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جامع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اجتهاد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و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تقل</w:t>
        </w:r>
        <w:r w:rsidRPr="009C200D">
          <w:rPr>
            <w:rStyle w:val="Hyperlink"/>
            <w:rFonts w:hint="cs"/>
            <w:noProof/>
            <w:rtl/>
          </w:rPr>
          <w:t>ی</w:t>
        </w:r>
        <w:r w:rsidRPr="009C200D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49273" w:history="1">
        <w:r w:rsidRPr="009C200D">
          <w:rPr>
            <w:rStyle w:val="Hyperlink"/>
            <w:rFonts w:hint="eastAsia"/>
            <w:noProof/>
            <w:rtl/>
          </w:rPr>
          <w:t>پاسخ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از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استدلال</w:t>
        </w:r>
        <w:r w:rsidRPr="009C200D">
          <w:rPr>
            <w:rStyle w:val="Hyperlink"/>
            <w:noProof/>
            <w:rtl/>
          </w:rPr>
          <w:t xml:space="preserve"> </w:t>
        </w:r>
        <w:r w:rsidRPr="009C200D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49274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_Toc432649274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623D" w:rsidRDefault="00C7623D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7623D" w:rsidRDefault="00C7623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  <w:bookmarkStart w:id="0" w:name="_GoBack"/>
      <w:bookmarkEnd w:id="0"/>
    </w:p>
    <w:p w:rsidR="003D71F9" w:rsidRDefault="003D71F9" w:rsidP="00C7623D">
      <w:pPr>
        <w:pStyle w:val="Heading1"/>
        <w:rPr>
          <w:rFonts w:hint="cs"/>
          <w:rtl/>
        </w:rPr>
      </w:pPr>
      <w:bookmarkStart w:id="1" w:name="_Toc432649259"/>
      <w:r>
        <w:rPr>
          <w:rFonts w:hint="cs"/>
          <w:rtl/>
        </w:rPr>
        <w:lastRenderedPageBreak/>
        <w:t>نظریه تخییر در این مقام</w:t>
      </w:r>
      <w:bookmarkEnd w:id="1"/>
    </w:p>
    <w:p w:rsidR="003D71F9" w:rsidRDefault="003D71F9" w:rsidP="00C7623D">
      <w:pPr>
        <w:pStyle w:val="Heading1"/>
        <w:rPr>
          <w:rtl/>
        </w:rPr>
      </w:pPr>
      <w:bookmarkStart w:id="2" w:name="_Toc432649260"/>
      <w:r>
        <w:rPr>
          <w:rFonts w:hint="cs"/>
          <w:rtl/>
        </w:rPr>
        <w:t>مرور بحث سابق</w:t>
      </w:r>
      <w:bookmarkEnd w:id="2"/>
    </w:p>
    <w:p w:rsidR="00CC1BE2" w:rsidRDefault="00CC1BE2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بیان شد که در امر ششم که مقام شک و رجوع به اصول عملیه بود،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سه نظریه وجود داشت؛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نائینی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تردید بین تعیین و تخییر است و در اینجا اصالت با تعیین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که از آن آقای خویی،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حائر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غالب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اینجا شک بین اقل و اکثر ارتباطی است و در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اصالت با تخییر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اقل و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 xml:space="preserve"> اکثر مجرای برائت بوده و نتیجه آ</w:t>
      </w:r>
      <w:r>
        <w:rPr>
          <w:rFonts w:ascii="IRBadr" w:hAnsi="IRBadr" w:cs="IRBadr" w:hint="cs"/>
          <w:sz w:val="28"/>
          <w:szCs w:val="28"/>
          <w:rtl/>
          <w:lang w:bidi="fa-IR"/>
        </w:rPr>
        <w:t>ن تخییر است.</w:t>
      </w:r>
    </w:p>
    <w:p w:rsidR="003D71F9" w:rsidRDefault="003D71F9" w:rsidP="00C7623D">
      <w:pPr>
        <w:pStyle w:val="Heading1"/>
        <w:rPr>
          <w:rtl/>
        </w:rPr>
      </w:pPr>
      <w:bookmarkStart w:id="3" w:name="_Toc432649261"/>
      <w:r>
        <w:rPr>
          <w:rFonts w:hint="cs"/>
          <w:rtl/>
        </w:rPr>
        <w:t>نظریه دوم</w:t>
      </w:r>
      <w:bookmarkEnd w:id="3"/>
    </w:p>
    <w:p w:rsidR="00CC1BE2" w:rsidRDefault="00CC1BE2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نظریه دوم که قائل به تخییر است یا نفی کبری نموده و یا نفی صغری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 اینجا بیان کردیم نظریه سوم است که؛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شبهه از ناحیه موارد سوم تا پنجم باشد،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آقای خویی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برگرفته از اقل و اکثر باشد حق با آقای خویی نیست.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شک در همه جهات قبلی بود،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تابع اخص مقدمات است و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تخییر جاری نمود.</w:t>
      </w:r>
    </w:p>
    <w:p w:rsidR="00CC1BE2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بعید نیست نظریه غالب مشهور صحیح باشد.</w:t>
      </w:r>
    </w:p>
    <w:p w:rsidR="00153D1A" w:rsidRDefault="00C7623D" w:rsidP="00C7623D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153D1A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تا اینجا این نتیجه حاصل شد که وجوه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شش‌گانه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قابل جواب است و وجه ششم اگر نوبت به آن برسد،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اظهر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این است که احتیاط در عبادات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به‌مثابه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عدل اجتهاد و تقلید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قابل‌قبول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چراکه آنچه ضروری است انجام عمل برای خداوند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وجهی مثل قصد وجه و تمییز ضرورتی ندارد و با اطلاقات و برائت قابل نفی است.</w:t>
      </w:r>
    </w:p>
    <w:p w:rsidR="00153D1A" w:rsidRDefault="00153D1A" w:rsidP="00C7623D">
      <w:pPr>
        <w:pStyle w:val="Heading2"/>
        <w:rPr>
          <w:rtl/>
        </w:rPr>
      </w:pPr>
      <w:bookmarkStart w:id="4" w:name="_Toc432649263"/>
      <w:r>
        <w:rPr>
          <w:rFonts w:hint="cs"/>
          <w:rtl/>
        </w:rPr>
        <w:t>تکمله بحث</w:t>
      </w:r>
      <w:bookmarkEnd w:id="4"/>
    </w:p>
    <w:p w:rsidR="00153D1A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ضمن بحث چند نکته تکملة وجود دارد؛</w:t>
      </w:r>
    </w:p>
    <w:p w:rsidR="003D71F9" w:rsidRDefault="003D71F9" w:rsidP="00C7623D">
      <w:pPr>
        <w:pStyle w:val="Heading2"/>
        <w:rPr>
          <w:rtl/>
        </w:rPr>
      </w:pPr>
      <w:bookmarkStart w:id="5" w:name="_Toc432649264"/>
      <w:r>
        <w:rPr>
          <w:rFonts w:hint="cs"/>
          <w:rtl/>
        </w:rPr>
        <w:lastRenderedPageBreak/>
        <w:t>تکمله اول</w:t>
      </w:r>
      <w:bookmarkEnd w:id="5"/>
    </w:p>
    <w:p w:rsidR="00153D1A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دقیقی که در اینجا وجود دارد این است که بر اساس نتیجه احتیاط در عبادات عدل اجتهاد و تقلید شد ولو فرد تمکن از دو مورد دیگر دارد.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سؤال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مطرح است که آیا احتیاط افضل است یا خیر؟ یعنی بین این اطراف افضلیتی وجود دارد یا همه متساوی هستند؟</w:t>
      </w:r>
    </w:p>
    <w:p w:rsidR="003D71F9" w:rsidRDefault="003D71F9" w:rsidP="00C7623D">
      <w:pPr>
        <w:pStyle w:val="Heading2"/>
        <w:rPr>
          <w:rtl/>
        </w:rPr>
      </w:pPr>
      <w:bookmarkStart w:id="6" w:name="_Toc432649265"/>
      <w:r>
        <w:rPr>
          <w:rFonts w:hint="cs"/>
          <w:rtl/>
        </w:rPr>
        <w:t>انواع واجبات طریقیه</w:t>
      </w:r>
      <w:bookmarkEnd w:id="6"/>
    </w:p>
    <w:p w:rsidR="00153D1A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واجبات طریقیه بر دو نوع است؛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اطراف به نحو واحد و گاهی یکی افضل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واجب تخییری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حاصل‌شده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چه در عبادات و سایر موارد،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اطراف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به چه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صورت‌اند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153D1A" w:rsidRDefault="00153D1A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کسی ابتداءً قائل شود در صورت نبود محذور ثانوی احتیاط افضل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احتیاط رسیدن به متن واقع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به دو عدل دیگر رجوع کند به حججی رسیده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وصول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قطع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دو طرف دیگر در فرض وجود قطع نیز ممکن است فرد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برسد یا نرسد.</w:t>
      </w:r>
    </w:p>
    <w:p w:rsidR="00153D1A" w:rsidRDefault="008C0719" w:rsidP="00C7623D">
      <w:pPr>
        <w:pStyle w:val="Heading2"/>
        <w:rPr>
          <w:rtl/>
        </w:rPr>
      </w:pPr>
      <w:bookmarkStart w:id="7" w:name="_Toc432649266"/>
      <w:r>
        <w:rPr>
          <w:rFonts w:hint="cs"/>
          <w:rtl/>
        </w:rPr>
        <w:t>احتمال مقابل</w:t>
      </w:r>
      <w:bookmarkEnd w:id="7"/>
    </w:p>
    <w:p w:rsidR="003D71F9" w:rsidRDefault="008C071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نقطه مقابل ممکن است کسی قائل به افضلیت نباشد به دلیل اینکه در عبادات احتیاط به معنی توصل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نداشته باشد چراکه وجوه آقای نائینی اجتهاداً پاسخ داده شد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وجه ممکن است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 بوده و لذا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وجه یا استناد به امر معلوم و یا سایر موارد صحیح باشد.</w:t>
      </w:r>
    </w:p>
    <w:p w:rsidR="003D71F9" w:rsidRDefault="003D71F9" w:rsidP="00C7623D">
      <w:pPr>
        <w:pStyle w:val="Heading2"/>
        <w:rPr>
          <w:rtl/>
        </w:rPr>
      </w:pPr>
      <w:bookmarkStart w:id="8" w:name="_Toc432649267"/>
      <w:r>
        <w:rPr>
          <w:rFonts w:hint="cs"/>
          <w:rtl/>
        </w:rPr>
        <w:t>مبنای احتمال دوم</w:t>
      </w:r>
      <w:bookmarkEnd w:id="8"/>
    </w:p>
    <w:p w:rsidR="008C0719" w:rsidRDefault="008C071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مبنای احتمال دوم است که تکرار </w:t>
      </w:r>
      <w:r w:rsidR="003D71F9">
        <w:rPr>
          <w:rFonts w:ascii="IRBadr" w:hAnsi="IRBadr" w:cs="IRBadr" w:hint="cs"/>
          <w:sz w:val="28"/>
          <w:szCs w:val="28"/>
          <w:rtl/>
          <w:lang w:bidi="fa-IR"/>
        </w:rPr>
        <w:t>عبادت از اجتهاد و تقلید برتر نیست.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3D71F9">
        <w:rPr>
          <w:rFonts w:ascii="IRBadr" w:hAnsi="IRBadr" w:cs="IRBadr" w:hint="cs"/>
          <w:sz w:val="28"/>
          <w:szCs w:val="28"/>
          <w:rtl/>
          <w:lang w:bidi="fa-IR"/>
        </w:rPr>
        <w:t xml:space="preserve"> در فرض تکرار وصول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 w:rsidR="003D71F9">
        <w:rPr>
          <w:rFonts w:ascii="IRBadr" w:hAnsi="IRBadr" w:cs="IRBadr" w:hint="cs"/>
          <w:sz w:val="28"/>
          <w:szCs w:val="28"/>
          <w:rtl/>
          <w:lang w:bidi="fa-IR"/>
        </w:rPr>
        <w:t xml:space="preserve"> چندان قوی نیست و شبهه مرحوم نائینی دارای ضعف نبوده است.</w:t>
      </w:r>
    </w:p>
    <w:p w:rsidR="003D71F9" w:rsidRDefault="003D71F9" w:rsidP="00C7623D">
      <w:pPr>
        <w:pStyle w:val="Heading2"/>
        <w:rPr>
          <w:rFonts w:hint="cs"/>
          <w:rtl/>
        </w:rPr>
      </w:pPr>
      <w:bookmarkStart w:id="9" w:name="_Toc432649268"/>
      <w:r>
        <w:rPr>
          <w:rFonts w:hint="cs"/>
          <w:rtl/>
        </w:rPr>
        <w:lastRenderedPageBreak/>
        <w:t>فرض بحث در سایر صور</w:t>
      </w:r>
      <w:bookmarkEnd w:id="9"/>
    </w:p>
    <w:p w:rsidR="003D71F9" w:rsidRDefault="003D71F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در عبادات است و در معاملات نیز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انشاء باید منجز و قطعی باشد،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آن نیز جواب داده شد اما جواب در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اجتهادی بود.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تکرار در توصلیات که مقام اول بود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احتمال دارد در آنجا مانعی وجود ندارد.</w:t>
      </w:r>
    </w:p>
    <w:p w:rsidR="003D71F9" w:rsidRDefault="003D71F9" w:rsidP="00C7623D">
      <w:pPr>
        <w:pStyle w:val="Heading2"/>
        <w:rPr>
          <w:rtl/>
        </w:rPr>
      </w:pPr>
      <w:bookmarkStart w:id="10" w:name="_Toc432649269"/>
      <w:r>
        <w:rPr>
          <w:rFonts w:hint="cs"/>
          <w:rtl/>
        </w:rPr>
        <w:t>دلیل دوم</w:t>
      </w:r>
      <w:bookmarkEnd w:id="10"/>
    </w:p>
    <w:p w:rsidR="003D71F9" w:rsidRDefault="003D71F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دوم نیز این است که علاوه بر این مباحث،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احت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حتی در توصلیات دچار موانعی بود و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معروض چندین و چند عنوان ثانوی باشد که در ابتدای بحث بیان شد که گفته شد آن عناوین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را معروض و حتی حرام گرداند.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این حالت وجود دارد.</w:t>
      </w:r>
    </w:p>
    <w:p w:rsidR="003D71F9" w:rsidRDefault="003D71F9" w:rsidP="00C7623D">
      <w:pPr>
        <w:pStyle w:val="Heading2"/>
        <w:rPr>
          <w:rFonts w:hint="cs"/>
          <w:rtl/>
        </w:rPr>
      </w:pPr>
      <w:bookmarkStart w:id="11" w:name="_Toc432649270"/>
      <w:r>
        <w:rPr>
          <w:rFonts w:hint="cs"/>
          <w:rtl/>
        </w:rPr>
        <w:t>دلیل سوم</w:t>
      </w:r>
      <w:bookmarkEnd w:id="11"/>
    </w:p>
    <w:p w:rsidR="003D71F9" w:rsidRDefault="003D71F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سومی که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عدم افضلیت احتیاط آورد،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احتمال داده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شارع بنای اولیه خود را بر عدم احتیاط گذاشته است.</w:t>
      </w:r>
    </w:p>
    <w:p w:rsidR="003D71F9" w:rsidRDefault="00C7623D" w:rsidP="00C7623D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3D71F9" w:rsidRDefault="003D71F9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دلایل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در هیچ مقام حتی توصلیات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افضلیت احتیاط رسید،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احتیاط نیز در کنار دو واجب دیگر قرار دارد.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E31FE4">
        <w:rPr>
          <w:rFonts w:ascii="IRBadr" w:hAnsi="IRBadr" w:cs="IRBadr" w:hint="cs"/>
          <w:sz w:val="28"/>
          <w:szCs w:val="28"/>
          <w:rtl/>
          <w:lang w:bidi="fa-IR"/>
        </w:rPr>
        <w:t xml:space="preserve"> حکم عقل در حالت اولیه به افضلیت احتیاط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E31FE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 w:rsidR="00E31FE4"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یعنی فرض تکرار است.</w:t>
      </w:r>
    </w:p>
    <w:p w:rsidR="00E31FE4" w:rsidRDefault="00E31FE4" w:rsidP="00C7623D">
      <w:pPr>
        <w:pStyle w:val="Heading3"/>
        <w:rPr>
          <w:rFonts w:hint="cs"/>
          <w:rtl/>
        </w:rPr>
      </w:pPr>
      <w:bookmarkStart w:id="12" w:name="_Toc432649272"/>
      <w:r>
        <w:rPr>
          <w:rFonts w:hint="cs"/>
          <w:rtl/>
        </w:rPr>
        <w:t>افضلیت جامع اجتهاد و تقلید</w:t>
      </w:r>
      <w:bookmarkEnd w:id="12"/>
    </w:p>
    <w:p w:rsidR="00E31FE4" w:rsidRDefault="00E31FE4" w:rsidP="00C7623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عدل دیگری که در اینجا مطرح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آیا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در این مقام جامع بین اجتهاد و تقلید افضل است؟</w:t>
      </w:r>
    </w:p>
    <w:p w:rsidR="00E31FE4" w:rsidRDefault="00E31FE4" w:rsidP="00C7623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ممکن است کسی در این رابطه ادعا کند که فرد با تمسک به این جامع به معارف دست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خود دارای افضلیت است،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به‌ویژه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که دارای افضلیت خاص است.</w:t>
      </w:r>
    </w:p>
    <w:p w:rsidR="00E31FE4" w:rsidRDefault="00E31FE4" w:rsidP="00C7623D">
      <w:pPr>
        <w:pStyle w:val="Heading3"/>
        <w:rPr>
          <w:rFonts w:hint="cs"/>
          <w:rtl/>
        </w:rPr>
      </w:pPr>
      <w:bookmarkStart w:id="13" w:name="_Toc432649273"/>
      <w:r>
        <w:rPr>
          <w:rFonts w:hint="cs"/>
          <w:rtl/>
        </w:rPr>
        <w:lastRenderedPageBreak/>
        <w:t>پاسخ از استدلال فوق</w:t>
      </w:r>
      <w:bookmarkEnd w:id="13"/>
    </w:p>
    <w:p w:rsidR="00E31FE4" w:rsidRDefault="00E31FE4" w:rsidP="00C7623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بیان فوق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م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داده شود به اینکه افضلیت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غیر از افضلیت عمل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آن‌هاست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C7623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افضلیت 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مسلم است.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بین علم و عمل به آن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اینجا تفکیک قائل شد.</w:t>
      </w:r>
      <w:r w:rsidR="00C7623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فردی دلیلی بر این حالت پیدا کند که این نیز نیازمند فحص و بررسی است.</w:t>
      </w:r>
    </w:p>
    <w:p w:rsidR="00E31FE4" w:rsidRDefault="00C7623D" w:rsidP="00C7623D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E31FE4" w:rsidRPr="00BC1C66" w:rsidRDefault="00C7623D" w:rsidP="00C7623D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31FE4"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بخواهد به ادله فضیلت علم را دلیل بر مطلب فوق قرار دهد،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31FE4">
        <w:rPr>
          <w:rFonts w:ascii="IRBadr" w:hAnsi="IRBadr" w:cs="IRBadr" w:hint="cs"/>
          <w:sz w:val="28"/>
          <w:szCs w:val="28"/>
          <w:rtl/>
          <w:lang w:bidi="fa-IR"/>
        </w:rPr>
        <w:t xml:space="preserve"> دلالت تام و مقبول نخواهد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دراین‌باره در اینجا به نقطه واضحی نرسیدیم.</w:t>
      </w:r>
    </w:p>
    <w:sectPr w:rsidR="00E31FE4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E8" w:rsidRDefault="004A33E8" w:rsidP="000D5800">
      <w:pPr>
        <w:spacing w:after="0" w:line="240" w:lineRule="auto"/>
      </w:pPr>
      <w:r>
        <w:separator/>
      </w:r>
    </w:p>
  </w:endnote>
  <w:endnote w:type="continuationSeparator" w:id="0">
    <w:p w:rsidR="004A33E8" w:rsidRDefault="004A33E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3D" w:rsidRDefault="00C7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3D" w:rsidRDefault="00C76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3D" w:rsidRDefault="00C76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E8" w:rsidRDefault="004A33E8" w:rsidP="000D5800">
      <w:pPr>
        <w:spacing w:after="0" w:line="240" w:lineRule="auto"/>
      </w:pPr>
      <w:r>
        <w:separator/>
      </w:r>
    </w:p>
  </w:footnote>
  <w:footnote w:type="continuationSeparator" w:id="0">
    <w:p w:rsidR="004A33E8" w:rsidRDefault="004A33E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3D" w:rsidRDefault="00C76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53DE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8E63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53DE6">
      <w:rPr>
        <w:rFonts w:ascii="IranNastaliq" w:hAnsi="IranNastaliq" w:cs="IranNastaliq"/>
        <w:sz w:val="40"/>
        <w:szCs w:val="40"/>
        <w:lang w:bidi="fa-IR"/>
      </w:rPr>
      <w:t>4620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3D" w:rsidRDefault="00C76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3D1A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A4F4D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D71F9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A33E8"/>
    <w:rsid w:val="004B337F"/>
    <w:rsid w:val="004E7830"/>
    <w:rsid w:val="004F3596"/>
    <w:rsid w:val="0056275D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393E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0719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23D"/>
    <w:rsid w:val="00C763DD"/>
    <w:rsid w:val="00C84FC0"/>
    <w:rsid w:val="00C9244A"/>
    <w:rsid w:val="00CB5DA3"/>
    <w:rsid w:val="00CC1BE2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AD3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FE4"/>
    <w:rsid w:val="00E53DE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8F0A-0934-4C84-9FE7-EF8BA26B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788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60</cp:revision>
  <dcterms:created xsi:type="dcterms:W3CDTF">2014-11-18T06:47:00Z</dcterms:created>
  <dcterms:modified xsi:type="dcterms:W3CDTF">2015-10-15T12:15:00Z</dcterms:modified>
</cp:coreProperties>
</file>