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08" w:rsidRPr="00C11A08" w:rsidRDefault="00FF4E82" w:rsidP="00C11A08">
      <w:pPr>
        <w:bidi/>
        <w:spacing w:line="360" w:lineRule="auto"/>
        <w:jc w:val="both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6378D3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6378D3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C11A08" w:rsidRPr="00C11A08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C11A08" w:rsidRPr="00C11A0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11A08" w:rsidRPr="00C11A08">
        <w:rPr>
          <w:rFonts w:ascii="IRBadr" w:hAnsi="IRBadr" w:cs="IRBadr"/>
          <w:sz w:val="28"/>
          <w:szCs w:val="28"/>
          <w:lang w:bidi="fa-IR"/>
        </w:rPr>
        <w:instrText>TOC</w:instrText>
      </w:r>
      <w:r w:rsidR="00C11A08" w:rsidRPr="00C11A08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C11A08" w:rsidRPr="00C11A08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C11A08" w:rsidRPr="00C11A08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11A08" w:rsidRPr="00C11A08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C11A08" w:rsidRPr="00C11A08" w:rsidRDefault="00E10B52" w:rsidP="00C11A0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19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حکم عقل در دلیل انسداد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_Toc433660719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2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0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مناقشه سوم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_Toc433660720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2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1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پاسخ از مناقشه فوق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_Toc433660721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2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2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وجه اول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_Toc433660722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2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3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وجه دوم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_Toc433660723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3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4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_Toc433660724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3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5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تحقیق در مسأله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_Toc433660725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3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6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تشریح مسأله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_Toc433660726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3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7" w:history="1">
        <w:r w:rsidR="00FF4E82">
          <w:rPr>
            <w:rStyle w:val="Hyperlink"/>
            <w:rFonts w:ascii="IRBadr" w:hAnsi="IRBadr" w:cs="IRBadr"/>
            <w:noProof/>
            <w:rtl/>
          </w:rPr>
          <w:t>جمع‌بندی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_Toc433660727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4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8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تبصره بحث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_Toc433660728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4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29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تشریح حکم عامی متوسط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_Toc433660729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4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30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اتخاذ مبنا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_Toc433660730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4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Pr="00C11A08" w:rsidRDefault="00E10B52" w:rsidP="00C11A08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660731" w:history="1">
        <w:r w:rsidR="00C11A08" w:rsidRPr="00C11A08">
          <w:rPr>
            <w:rStyle w:val="Hyperlink"/>
            <w:rFonts w:ascii="IRBadr" w:hAnsi="IRBadr" w:cs="IRBadr"/>
            <w:noProof/>
            <w:rtl/>
          </w:rPr>
          <w:t>حکم قسم سوم از عامی</w:t>
        </w:r>
        <w:r w:rsidR="00C11A08" w:rsidRPr="00C11A08">
          <w:rPr>
            <w:rFonts w:ascii="IRBadr" w:hAnsi="IRBadr" w:cs="IRBadr"/>
            <w:noProof/>
            <w:webHidden/>
          </w:rPr>
          <w:tab/>
        </w:r>
        <w:r w:rsidR="00C11A08" w:rsidRPr="00C11A08">
          <w:rPr>
            <w:rFonts w:ascii="IRBadr" w:hAnsi="IRBadr" w:cs="IRBadr"/>
            <w:noProof/>
            <w:webHidden/>
          </w:rPr>
          <w:fldChar w:fldCharType="begin"/>
        </w:r>
        <w:r w:rsidR="00C11A08" w:rsidRPr="00C11A08">
          <w:rPr>
            <w:rFonts w:ascii="IRBadr" w:hAnsi="IRBadr" w:cs="IRBadr"/>
            <w:noProof/>
            <w:webHidden/>
          </w:rPr>
          <w:instrText xml:space="preserve"> PAGEREF _Toc433660731 \h </w:instrText>
        </w:r>
        <w:r w:rsidR="00C11A08" w:rsidRPr="00C11A08">
          <w:rPr>
            <w:rFonts w:ascii="IRBadr" w:hAnsi="IRBadr" w:cs="IRBadr"/>
            <w:noProof/>
            <w:webHidden/>
          </w:rPr>
        </w:r>
        <w:r w:rsidR="00C11A08" w:rsidRPr="00C11A08">
          <w:rPr>
            <w:rFonts w:ascii="IRBadr" w:hAnsi="IRBadr" w:cs="IRBadr"/>
            <w:noProof/>
            <w:webHidden/>
          </w:rPr>
          <w:fldChar w:fldCharType="separate"/>
        </w:r>
        <w:r w:rsidR="00C11A08" w:rsidRPr="00C11A08">
          <w:rPr>
            <w:rFonts w:ascii="IRBadr" w:hAnsi="IRBadr" w:cs="IRBadr"/>
            <w:noProof/>
            <w:webHidden/>
          </w:rPr>
          <w:t>5</w:t>
        </w:r>
        <w:r w:rsidR="00C11A08" w:rsidRPr="00C11A08">
          <w:rPr>
            <w:rFonts w:ascii="IRBadr" w:hAnsi="IRBadr" w:cs="IRBadr"/>
            <w:noProof/>
            <w:webHidden/>
          </w:rPr>
          <w:fldChar w:fldCharType="end"/>
        </w:r>
      </w:hyperlink>
    </w:p>
    <w:p w:rsidR="00C11A08" w:rsidRDefault="00C11A08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C11A08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11A08" w:rsidRDefault="00C11A08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5E13F9" w:rsidRDefault="005E13F9" w:rsidP="00C11A08">
      <w:pPr>
        <w:pStyle w:val="Heading1"/>
        <w:rPr>
          <w:rtl/>
        </w:rPr>
      </w:pPr>
      <w:bookmarkStart w:id="1" w:name="_Toc433660719"/>
      <w:r>
        <w:rPr>
          <w:rFonts w:hint="cs"/>
          <w:rtl/>
        </w:rPr>
        <w:lastRenderedPageBreak/>
        <w:t>حکم عقل در دلیل انسداد</w:t>
      </w:r>
      <w:bookmarkEnd w:id="1"/>
    </w:p>
    <w:p w:rsidR="005E13F9" w:rsidRDefault="005E13F9" w:rsidP="00C11A08">
      <w:pPr>
        <w:pStyle w:val="Heading1"/>
        <w:rPr>
          <w:rtl/>
        </w:rPr>
      </w:pPr>
      <w:bookmarkStart w:id="2" w:name="_Toc433660720"/>
      <w:r>
        <w:rPr>
          <w:rFonts w:hint="cs"/>
          <w:rtl/>
        </w:rPr>
        <w:t>مناقشه سوم</w:t>
      </w:r>
      <w:bookmarkEnd w:id="2"/>
    </w:p>
    <w:p w:rsidR="005E13F9" w:rsidRDefault="005E13F9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دلیل انسداد در اینجا حکم عقل بود اما از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احکام عقلی با توضیح دیروز که نباید با ردعی از شارع مواجه شود.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فرد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وقتی با علم اجمالی مواجه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عقل او حکم به فراغت ذمه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ی‌نماید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یکی از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راه‌ها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تقلید و رجوع به کارشناس در مسأله است.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آنچه مهم است،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که کشف عدم ردع از عهده شارع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درنخواهد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آمد.</w:t>
      </w:r>
    </w:p>
    <w:p w:rsidR="005E13F9" w:rsidRDefault="005E13F9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پس دلیل انسداد از این حیث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عامی را به سمت تقلید ببرد،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حیثی که در جلسات گذشته بیان شد.</w:t>
      </w:r>
    </w:p>
    <w:p w:rsidR="005E13F9" w:rsidRDefault="005E13F9" w:rsidP="00C11A08">
      <w:pPr>
        <w:pStyle w:val="Heading1"/>
        <w:rPr>
          <w:rtl/>
        </w:rPr>
      </w:pPr>
      <w:bookmarkStart w:id="3" w:name="_Toc433660721"/>
      <w:r>
        <w:rPr>
          <w:rFonts w:hint="cs"/>
          <w:rtl/>
        </w:rPr>
        <w:t>پاسخ از مناقشه فوق</w:t>
      </w:r>
      <w:bookmarkEnd w:id="3"/>
    </w:p>
    <w:p w:rsidR="005E13F9" w:rsidRDefault="005E13F9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ممکن است کسی از این مناقشه با یکی از این وجوه پاسخ دهد که؛</w:t>
      </w:r>
    </w:p>
    <w:p w:rsidR="005E13F9" w:rsidRDefault="005E13F9" w:rsidP="00C11A08">
      <w:pPr>
        <w:pStyle w:val="Heading1"/>
        <w:rPr>
          <w:rtl/>
        </w:rPr>
      </w:pPr>
      <w:bookmarkStart w:id="4" w:name="_Toc433660722"/>
      <w:r>
        <w:rPr>
          <w:rFonts w:hint="cs"/>
          <w:rtl/>
        </w:rPr>
        <w:t>وجه اول</w:t>
      </w:r>
      <w:bookmarkEnd w:id="4"/>
    </w:p>
    <w:p w:rsidR="00C11A08" w:rsidRDefault="005E13F9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ما اصل لزوم عدم ردع را در اینجا قبول داریم و مکان ردع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جانب شارع را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ی‌پذیریم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توجه داشت که این ردع باید به نحو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جلی‌ای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5E13F9" w:rsidRDefault="005E13F9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همچنان که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شاء الله در سیره نیز خواهیم رسید که در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س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یره‌هایی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جوانب مختلف زندگی بشر را دربر گرفته است، باید در قبال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رادع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قوی‌ای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داشته باشد.</w:t>
      </w:r>
    </w:p>
    <w:p w:rsidR="005E13F9" w:rsidRDefault="005E13F9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وجود رادع ضعیف در اینجا کفایت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بدان حد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بسنده نمود.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42048E"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بسیار در ارتکاز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جاافتاده</w:t>
      </w:r>
      <w:r w:rsidR="0042048E">
        <w:rPr>
          <w:rFonts w:ascii="IRBadr" w:hAnsi="IRBadr" w:cs="IRBadr" w:hint="cs"/>
          <w:sz w:val="28"/>
          <w:szCs w:val="28"/>
          <w:rtl/>
          <w:lang w:bidi="fa-IR"/>
        </w:rPr>
        <w:t xml:space="preserve"> است که فرد نزد تحیر و عدم علم به تکلیف باید به اقرب ظنون که تقلید است باید رجوع نماید و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به‌صرف</w:t>
      </w:r>
      <w:r w:rsidR="0042048E"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ردع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 w:rsidR="0042048E"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42048E">
        <w:rPr>
          <w:rFonts w:ascii="IRBadr" w:hAnsi="IRBadr" w:cs="IRBadr" w:hint="cs"/>
          <w:sz w:val="28"/>
          <w:szCs w:val="28"/>
          <w:rtl/>
          <w:lang w:bidi="fa-IR"/>
        </w:rPr>
        <w:t xml:space="preserve"> دست کشید.</w:t>
      </w:r>
    </w:p>
    <w:p w:rsidR="0042048E" w:rsidRDefault="0042048E" w:rsidP="00C11A08">
      <w:pPr>
        <w:pStyle w:val="Heading1"/>
        <w:rPr>
          <w:rtl/>
        </w:rPr>
      </w:pPr>
      <w:bookmarkStart w:id="5" w:name="_Toc433660723"/>
      <w:r>
        <w:rPr>
          <w:rFonts w:hint="cs"/>
          <w:rtl/>
        </w:rPr>
        <w:lastRenderedPageBreak/>
        <w:t>وجه دوم</w:t>
      </w:r>
      <w:bookmarkEnd w:id="5"/>
    </w:p>
    <w:p w:rsidR="0042048E" w:rsidRDefault="0042048E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جواب دومی که در اینجا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دفع احتمال رادع نیاز به تقلید نداشته و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اساس تحقیقی مختصر و اقوال علماء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دفع نمود.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اطمینان در این جهت صرف رجوع به اقوال کفایت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4E82">
        <w:rPr>
          <w:rFonts w:ascii="IRBadr" w:hAnsi="IRBadr" w:cs="IRBadr"/>
          <w:sz w:val="28"/>
          <w:szCs w:val="28"/>
          <w:rtl/>
          <w:lang w:bidi="fa-IR"/>
        </w:rPr>
        <w:t>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عدم راجع در اینجا امر روشنی بوده و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باملاحظه‌ای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قابل احراز است.</w:t>
      </w:r>
    </w:p>
    <w:p w:rsidR="0054338A" w:rsidRDefault="0042048E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پاسخ‌ها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در قبال مناقشه سوم مطرح شد.</w:t>
      </w:r>
    </w:p>
    <w:p w:rsidR="0054338A" w:rsidRDefault="0054338A" w:rsidP="00C11A08">
      <w:pPr>
        <w:pStyle w:val="Heading1"/>
        <w:rPr>
          <w:rtl/>
        </w:rPr>
      </w:pPr>
      <w:bookmarkStart w:id="6" w:name="_Toc433660724"/>
      <w:r>
        <w:rPr>
          <w:rFonts w:hint="cs"/>
          <w:rtl/>
        </w:rPr>
        <w:t>اتخاذ مبنا</w:t>
      </w:r>
      <w:bookmarkEnd w:id="6"/>
    </w:p>
    <w:p w:rsidR="0042048E" w:rsidRDefault="0054338A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این شبهه هنوز برجستگی دارد که احتیاط حداکثری میسر نیست و مستبعد خواهد بود و نفی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بسیاری از اذهان خطور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احت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یاط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میانه و در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غ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تقلید است،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ممکن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کسی در اینجا بگوید که حکم عقل در اینجا به تقلید نیست بلکه او به احتیاط میانه حکم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قطعیتی در حکم عقل در اینجا دیده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این شبهه همچنان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باقوتی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باقی خواهد ماند.</w:t>
      </w:r>
    </w:p>
    <w:p w:rsidR="0054338A" w:rsidRDefault="00D70615" w:rsidP="00C11A08">
      <w:pPr>
        <w:pStyle w:val="Heading2"/>
        <w:rPr>
          <w:rtl/>
        </w:rPr>
      </w:pPr>
      <w:bookmarkStart w:id="7" w:name="_Toc433660725"/>
      <w:r>
        <w:rPr>
          <w:rFonts w:hint="cs"/>
          <w:rtl/>
        </w:rPr>
        <w:t>تحقیق در مسأله</w:t>
      </w:r>
      <w:bookmarkEnd w:id="7"/>
    </w:p>
    <w:p w:rsidR="00D70615" w:rsidRDefault="00D70615" w:rsidP="00FF4E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به نظر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عقل در قبال عامی </w:t>
      </w:r>
      <w:r w:rsidR="00FF4E82">
        <w:rPr>
          <w:rFonts w:ascii="IRBadr" w:hAnsi="IRBadr" w:cs="IRBadr"/>
          <w:sz w:val="28"/>
          <w:szCs w:val="28"/>
          <w:rtl/>
          <w:lang w:bidi="fa-IR"/>
        </w:rPr>
        <w:t>غ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یر</w:t>
      </w:r>
      <w:r w:rsidR="00FF4E82">
        <w:rPr>
          <w:rFonts w:ascii="IRBadr" w:hAnsi="IRBadr" w:cs="IRBadr"/>
          <w:sz w:val="28"/>
          <w:szCs w:val="28"/>
          <w:rtl/>
          <w:lang w:bidi="fa-IR"/>
        </w:rPr>
        <w:t xml:space="preserve"> لاابالی</w:t>
      </w:r>
      <w:r>
        <w:rPr>
          <w:rFonts w:ascii="IRBadr" w:hAnsi="IRBadr" w:cs="IRBadr" w:hint="cs"/>
          <w:sz w:val="28"/>
          <w:szCs w:val="28"/>
          <w:rtl/>
          <w:lang w:bidi="fa-IR"/>
        </w:rPr>
        <w:t>، این است که نیاز به تحقیق است.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حالت انسداد نوعی تحقیق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چراکه فرد علمی به تکالیف دارد و راه برای این تحقیق اولیه برای او وجود دارد.</w:t>
      </w:r>
    </w:p>
    <w:p w:rsidR="00D70615" w:rsidRDefault="00D70615" w:rsidP="00C11A08">
      <w:pPr>
        <w:pStyle w:val="Heading2"/>
        <w:rPr>
          <w:rtl/>
        </w:rPr>
      </w:pPr>
      <w:bookmarkStart w:id="8" w:name="_Toc433660726"/>
      <w:r>
        <w:rPr>
          <w:rFonts w:hint="cs"/>
          <w:rtl/>
        </w:rPr>
        <w:t>تشریح مسأله</w:t>
      </w:r>
      <w:bookmarkEnd w:id="8"/>
    </w:p>
    <w:p w:rsidR="00C11A08" w:rsidRDefault="00D70615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حالت احتمال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گفت که عقل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احتیاطی کلی حکم کند که معقول نیست.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دوم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بررسی و یافتن راه امتثال و اطاعت است که فرد را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پیرابند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خواند تا نظر کارشناسان را مطالعه کند که این غیر از تقلید است.</w:t>
      </w:r>
    </w:p>
    <w:p w:rsidR="00D70615" w:rsidRDefault="00FF4E82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D70615"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عامی محض عقل حکمی فراتر از این ندارد.</w:t>
      </w:r>
    </w:p>
    <w:p w:rsidR="00283964" w:rsidRDefault="00FF4E82" w:rsidP="00C11A08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D70615" w:rsidRDefault="00D25948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اگر ا</w:t>
      </w:r>
      <w:r w:rsidR="00283964">
        <w:rPr>
          <w:rFonts w:ascii="IRBadr" w:hAnsi="IRBadr" w:cs="IRBadr" w:hint="cs"/>
          <w:sz w:val="28"/>
          <w:szCs w:val="28"/>
          <w:rtl/>
          <w:lang w:bidi="fa-IR"/>
        </w:rPr>
        <w:t xml:space="preserve">ین حالت به تقلید نامیده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283964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تببین شود که این حالت غیر از تقلید معروف است.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F4E82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283964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این‌یک</w:t>
      </w:r>
      <w:r w:rsidR="00283964">
        <w:rPr>
          <w:rFonts w:ascii="IRBadr" w:hAnsi="IRBadr" w:cs="IRBadr" w:hint="cs"/>
          <w:sz w:val="28"/>
          <w:szCs w:val="28"/>
          <w:rtl/>
          <w:lang w:bidi="fa-IR"/>
        </w:rPr>
        <w:t xml:space="preserve"> مرحله است که به عامی محض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 w:rsidR="00283964">
        <w:rPr>
          <w:rFonts w:ascii="IRBadr" w:hAnsi="IRBadr" w:cs="IRBadr" w:hint="cs"/>
          <w:sz w:val="28"/>
          <w:szCs w:val="28"/>
          <w:rtl/>
          <w:lang w:bidi="fa-IR"/>
        </w:rPr>
        <w:t xml:space="preserve"> که چیزی از دین را به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283964">
        <w:rPr>
          <w:rFonts w:ascii="IRBadr" w:hAnsi="IRBadr" w:cs="IRBadr" w:hint="cs"/>
          <w:sz w:val="28"/>
          <w:szCs w:val="28"/>
          <w:rtl/>
          <w:lang w:bidi="fa-IR"/>
        </w:rPr>
        <w:t xml:space="preserve"> صورت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 w:rsidR="00283964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283964">
        <w:rPr>
          <w:rFonts w:ascii="IRBadr" w:hAnsi="IRBadr" w:cs="IRBadr" w:hint="cs"/>
          <w:sz w:val="28"/>
          <w:szCs w:val="28"/>
          <w:rtl/>
          <w:lang w:bidi="fa-IR"/>
        </w:rPr>
        <w:t xml:space="preserve"> مسأله اول عروة به نظر ما باید این مسأله قرار گیرد که حکم در قبال عامی محض چیست؟</w:t>
      </w:r>
    </w:p>
    <w:p w:rsidR="00283964" w:rsidRDefault="00283964" w:rsidP="00C11A08">
      <w:pPr>
        <w:pStyle w:val="Heading2"/>
        <w:rPr>
          <w:rtl/>
        </w:rPr>
      </w:pPr>
      <w:bookmarkStart w:id="9" w:name="_Toc433660728"/>
      <w:r>
        <w:rPr>
          <w:rFonts w:hint="cs"/>
          <w:rtl/>
        </w:rPr>
        <w:t>تبصره بحث</w:t>
      </w:r>
      <w:bookmarkEnd w:id="9"/>
    </w:p>
    <w:p w:rsidR="00C11A08" w:rsidRDefault="00283964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تبصره در اینجا وجود دارد که زمان عمل رسیده است و امری در ذهن او نیز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به 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آمده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تقلید دائره واسعی دارد،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بحث در این است که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بی‌نهایت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عمل بر ذمه او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283964" w:rsidRDefault="00283964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حالت اول وظیفه او غالباً مشخص است.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فضای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غبارآلود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مطلق به نظر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اولین فرمان عقل،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آغاز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کردن تحقیق است که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اشاره شد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معن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تقلید به معنی خاص نبود.</w:t>
      </w:r>
    </w:p>
    <w:p w:rsidR="00283964" w:rsidRDefault="00283964" w:rsidP="00C11A08">
      <w:pPr>
        <w:pStyle w:val="Heading2"/>
        <w:rPr>
          <w:rtl/>
        </w:rPr>
      </w:pPr>
      <w:bookmarkStart w:id="10" w:name="_Toc433660729"/>
      <w:r>
        <w:rPr>
          <w:rFonts w:hint="cs"/>
          <w:rtl/>
        </w:rPr>
        <w:t>تشریح حکم عامی متوسط</w:t>
      </w:r>
      <w:bookmarkEnd w:id="10"/>
    </w:p>
    <w:p w:rsidR="00C11A08" w:rsidRDefault="00283964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مرحله دوم نسبت به عامی متوسط بود که فرد دارای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آگاه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ی‌هایی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 اگر قطعی پیدا کرد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بر عهده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خود او خواهد بود.</w:t>
      </w:r>
    </w:p>
    <w:p w:rsidR="00283964" w:rsidRDefault="00283964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غیر این صورت این فرد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مطلق را انجام دهد،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امر او دائر بین احتیاط میانه و تقلید است.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وهله عقل او حکم خواهد کرد که او مخیر است.</w:t>
      </w:r>
    </w:p>
    <w:p w:rsidR="00967D71" w:rsidRDefault="00967D71" w:rsidP="00C11A08">
      <w:pPr>
        <w:pStyle w:val="Heading2"/>
        <w:rPr>
          <w:rtl/>
        </w:rPr>
      </w:pPr>
      <w:bookmarkStart w:id="11" w:name="_Toc433660730"/>
      <w:r>
        <w:rPr>
          <w:rFonts w:hint="cs"/>
          <w:rtl/>
        </w:rPr>
        <w:t>اتخاذ مبنا</w:t>
      </w:r>
      <w:bookmarkEnd w:id="11"/>
    </w:p>
    <w:p w:rsidR="00283964" w:rsidRDefault="00283964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ولو اینکه در اینجا احتیاط میانه از برجستگی بیشتری برخوردار است،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باز در همین نوع از احتیا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 xml:space="preserve">ط نیز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اختلاف‌نظرهایی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 xml:space="preserve"> به همین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سهولتان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 xml:space="preserve"> را اخذ نمود.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زمینه نیز برخی امثال قصد انشاء و مانند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 xml:space="preserve"> را شرط 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>دانسته‌اند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11A08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 xml:space="preserve"> ترجیحی نیز در اینجا باشد به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967D71">
        <w:rPr>
          <w:rFonts w:ascii="IRBadr" w:hAnsi="IRBadr" w:cs="IRBadr" w:hint="cs"/>
          <w:sz w:val="28"/>
          <w:szCs w:val="28"/>
          <w:rtl/>
          <w:lang w:bidi="fa-IR"/>
        </w:rPr>
        <w:t xml:space="preserve"> میزان نیست که عقل حکم الزامی بر او داشته باشد.</w:t>
      </w:r>
    </w:p>
    <w:p w:rsidR="00C11A08" w:rsidRDefault="00C11A08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این نیز گام دوم است که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گرفت.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فرد حتی اگر بتواند مجتهد شود حکم تخییر پابرجاست،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احتمال که شارع </w:t>
      </w:r>
      <w:r>
        <w:rPr>
          <w:rFonts w:ascii="IRBadr" w:hAnsi="IRBadr" w:cs="IRBadr"/>
          <w:sz w:val="28"/>
          <w:szCs w:val="28"/>
          <w:rtl/>
          <w:lang w:bidi="fa-IR"/>
        </w:rPr>
        <w:t>نم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ی‌خواهد همه افراد مجتهد شوند،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موردپذیرش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C11A08" w:rsidRDefault="00FF4E82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C11A08">
        <w:rPr>
          <w:rFonts w:ascii="IRBadr" w:hAnsi="IRBadr" w:cs="IRBadr" w:hint="cs"/>
          <w:sz w:val="28"/>
          <w:szCs w:val="28"/>
          <w:rtl/>
          <w:lang w:bidi="fa-IR"/>
        </w:rPr>
        <w:t>، این مرحله قسمی از عوام را دربرمی گیرد.</w:t>
      </w:r>
    </w:p>
    <w:p w:rsidR="00C11A08" w:rsidRDefault="00C11A08" w:rsidP="00C11A08">
      <w:pPr>
        <w:pStyle w:val="Heading2"/>
        <w:rPr>
          <w:rtl/>
        </w:rPr>
      </w:pPr>
      <w:bookmarkStart w:id="12" w:name="_Toc433660731"/>
      <w:r>
        <w:rPr>
          <w:rFonts w:hint="cs"/>
          <w:rtl/>
        </w:rPr>
        <w:t>حکم قسم سوم از عامی</w:t>
      </w:r>
      <w:bookmarkEnd w:id="12"/>
    </w:p>
    <w:p w:rsidR="00C11A08" w:rsidRDefault="00C11A08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اگر عامی جلوتر بیاید و مانند کسی که درس خارج شرکت نموده و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ی‌تواند تحلیل کند </w:t>
      </w:r>
      <w:r w:rsidR="00FF4E82">
        <w:rPr>
          <w:rFonts w:ascii="IRBadr" w:hAnsi="IRBadr" w:cs="IRBadr" w:hint="cs"/>
          <w:sz w:val="28"/>
          <w:szCs w:val="28"/>
          <w:rtl/>
          <w:lang w:bidi="fa-IR"/>
        </w:rPr>
        <w:t>و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برداشت داشته باشد،</w:t>
      </w:r>
      <w:r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شاید بتوان گفت که عقل احتمال میانه را ترجیح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ی‌دهد.</w:t>
      </w:r>
    </w:p>
    <w:p w:rsidR="00967D71" w:rsidRDefault="00967D71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83964" w:rsidRDefault="00283964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E13F9" w:rsidRDefault="005E13F9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5E13F9" w:rsidRDefault="005E13F9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B31CE" w:rsidRPr="00485C6D" w:rsidRDefault="00AB31CE" w:rsidP="00C11A08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AB31CE" w:rsidRPr="00485C6D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9E" w:rsidRDefault="00D4459E" w:rsidP="000D5800">
      <w:pPr>
        <w:spacing w:after="0" w:line="240" w:lineRule="auto"/>
      </w:pPr>
      <w:r>
        <w:separator/>
      </w:r>
    </w:p>
  </w:endnote>
  <w:endnote w:type="continuationSeparator" w:id="0">
    <w:p w:rsidR="00D4459E" w:rsidRDefault="00D4459E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08" w:rsidRDefault="00C11A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08" w:rsidRDefault="00C11A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08" w:rsidRDefault="00C11A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9E" w:rsidRDefault="00D4459E" w:rsidP="000D5800">
      <w:pPr>
        <w:spacing w:after="0" w:line="240" w:lineRule="auto"/>
      </w:pPr>
      <w:r>
        <w:separator/>
      </w:r>
    </w:p>
  </w:footnote>
  <w:footnote w:type="continuationSeparator" w:id="0">
    <w:p w:rsidR="00D4459E" w:rsidRDefault="00D4459E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08" w:rsidRDefault="00C11A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A77312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E49C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A77312">
      <w:rPr>
        <w:rFonts w:ascii="IranNastaliq" w:hAnsi="IranNastaliq" w:cs="IranNastaliq" w:hint="cs"/>
        <w:sz w:val="40"/>
        <w:szCs w:val="40"/>
        <w:rtl/>
        <w:lang w:bidi="fa-IR"/>
      </w:rPr>
      <w:t>4641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A08" w:rsidRDefault="00C11A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96608"/>
    <w:rsid w:val="000A1A51"/>
    <w:rsid w:val="000B08D5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D3E24"/>
    <w:rsid w:val="001E306E"/>
    <w:rsid w:val="001E3FB0"/>
    <w:rsid w:val="001E4FFF"/>
    <w:rsid w:val="001F2E3E"/>
    <w:rsid w:val="002118B4"/>
    <w:rsid w:val="00224C0A"/>
    <w:rsid w:val="002376A5"/>
    <w:rsid w:val="002417C9"/>
    <w:rsid w:val="00245356"/>
    <w:rsid w:val="002529C5"/>
    <w:rsid w:val="00270294"/>
    <w:rsid w:val="0028396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3F1D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2048E"/>
    <w:rsid w:val="0044591E"/>
    <w:rsid w:val="004651D2"/>
    <w:rsid w:val="00465D26"/>
    <w:rsid w:val="004679F8"/>
    <w:rsid w:val="00485C6D"/>
    <w:rsid w:val="004967C5"/>
    <w:rsid w:val="004B337F"/>
    <w:rsid w:val="004E7830"/>
    <w:rsid w:val="004F3596"/>
    <w:rsid w:val="0054338A"/>
    <w:rsid w:val="00572680"/>
    <w:rsid w:val="00572E2D"/>
    <w:rsid w:val="00592103"/>
    <w:rsid w:val="005A545E"/>
    <w:rsid w:val="005A5862"/>
    <w:rsid w:val="005B0852"/>
    <w:rsid w:val="005C06AE"/>
    <w:rsid w:val="005E13F9"/>
    <w:rsid w:val="00610C18"/>
    <w:rsid w:val="0061376C"/>
    <w:rsid w:val="00636EFA"/>
    <w:rsid w:val="006378D3"/>
    <w:rsid w:val="0066229C"/>
    <w:rsid w:val="0069696C"/>
    <w:rsid w:val="006A085A"/>
    <w:rsid w:val="006B0BCE"/>
    <w:rsid w:val="006B5B5C"/>
    <w:rsid w:val="006D3A87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111E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67D71"/>
    <w:rsid w:val="00980643"/>
    <w:rsid w:val="00992D2C"/>
    <w:rsid w:val="009B61C3"/>
    <w:rsid w:val="009C5549"/>
    <w:rsid w:val="009C7B4F"/>
    <w:rsid w:val="009E4228"/>
    <w:rsid w:val="009E577C"/>
    <w:rsid w:val="009E588F"/>
    <w:rsid w:val="009F06A6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77312"/>
    <w:rsid w:val="00A810A5"/>
    <w:rsid w:val="00A90ACB"/>
    <w:rsid w:val="00A9616A"/>
    <w:rsid w:val="00A96F68"/>
    <w:rsid w:val="00AA2342"/>
    <w:rsid w:val="00AA5D49"/>
    <w:rsid w:val="00AB31CE"/>
    <w:rsid w:val="00AD0304"/>
    <w:rsid w:val="00AD27BE"/>
    <w:rsid w:val="00AE2096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1F17"/>
    <w:rsid w:val="00B85A27"/>
    <w:rsid w:val="00BB5F7E"/>
    <w:rsid w:val="00BB6A1C"/>
    <w:rsid w:val="00BC1C66"/>
    <w:rsid w:val="00BC26F6"/>
    <w:rsid w:val="00BC7CDE"/>
    <w:rsid w:val="00BD3122"/>
    <w:rsid w:val="00BD40DA"/>
    <w:rsid w:val="00C11A08"/>
    <w:rsid w:val="00C160AF"/>
    <w:rsid w:val="00C22299"/>
    <w:rsid w:val="00C25609"/>
    <w:rsid w:val="00C26607"/>
    <w:rsid w:val="00C60D75"/>
    <w:rsid w:val="00C64CEA"/>
    <w:rsid w:val="00C73012"/>
    <w:rsid w:val="00C763DD"/>
    <w:rsid w:val="00C83EB0"/>
    <w:rsid w:val="00C84FC0"/>
    <w:rsid w:val="00C9244A"/>
    <w:rsid w:val="00CB5DA3"/>
    <w:rsid w:val="00CC603A"/>
    <w:rsid w:val="00CE31E6"/>
    <w:rsid w:val="00CE3B74"/>
    <w:rsid w:val="00CF42E2"/>
    <w:rsid w:val="00CF7916"/>
    <w:rsid w:val="00D158F3"/>
    <w:rsid w:val="00D1608B"/>
    <w:rsid w:val="00D255E9"/>
    <w:rsid w:val="00D25948"/>
    <w:rsid w:val="00D3665C"/>
    <w:rsid w:val="00D4459E"/>
    <w:rsid w:val="00D508CC"/>
    <w:rsid w:val="00D50F4B"/>
    <w:rsid w:val="00D60547"/>
    <w:rsid w:val="00D66444"/>
    <w:rsid w:val="00D70615"/>
    <w:rsid w:val="00D75A0A"/>
    <w:rsid w:val="00DB28BB"/>
    <w:rsid w:val="00DC5FB8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326C"/>
    <w:rsid w:val="00E276A1"/>
    <w:rsid w:val="00E55891"/>
    <w:rsid w:val="00E60E0B"/>
    <w:rsid w:val="00E6283A"/>
    <w:rsid w:val="00E732A3"/>
    <w:rsid w:val="00E824B5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1398E"/>
    <w:rsid w:val="00F30236"/>
    <w:rsid w:val="00F40284"/>
    <w:rsid w:val="00F67976"/>
    <w:rsid w:val="00F70BE1"/>
    <w:rsid w:val="00F74740"/>
    <w:rsid w:val="00FC0862"/>
    <w:rsid w:val="00FC70FB"/>
    <w:rsid w:val="00FD143D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BDB4-E676-4051-9C60-0343DA3D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1099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85</cp:revision>
  <dcterms:created xsi:type="dcterms:W3CDTF">2014-11-18T06:47:00Z</dcterms:created>
  <dcterms:modified xsi:type="dcterms:W3CDTF">2015-10-27T17:22:00Z</dcterms:modified>
</cp:coreProperties>
</file>