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05" w:rsidRDefault="00025EBB" w:rsidP="00DC4B05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6378D3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DC4B0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DC4B0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C4B05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DC4B05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DC4B0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C4B0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C4B05" w:rsidRPr="00DC4B05" w:rsidRDefault="00DC4893" w:rsidP="00DC4B0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24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دلیل سوم تقلید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_Toc433612124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2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25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انواع سیره متشرعه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_Toc433612125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2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26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نوع اول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_Toc433612126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2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27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نوع دوم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_Toc433612127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2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28" w:history="1">
        <w:r w:rsidR="00025EBB">
          <w:rPr>
            <w:rStyle w:val="Hyperlink"/>
            <w:rFonts w:ascii="IRBadr" w:hAnsi="IRBadr" w:cs="IRBadr"/>
            <w:noProof/>
            <w:rtl/>
          </w:rPr>
          <w:t>درجات</w:t>
        </w:r>
        <w:r w:rsidR="00DC4B05" w:rsidRPr="00DC4B05">
          <w:rPr>
            <w:rStyle w:val="Hyperlink"/>
            <w:rFonts w:ascii="IRBadr" w:hAnsi="IRBadr" w:cs="IRBadr"/>
            <w:noProof/>
            <w:rtl/>
          </w:rPr>
          <w:t xml:space="preserve"> در این نوع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_Toc433612128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2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29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آثار نوع اول از سیره فوق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_Toc433612129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3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0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اثر اول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_Toc433612130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3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1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اثر دوم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_Toc433612131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3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2" w:history="1">
        <w:r w:rsidR="00025EBB">
          <w:rPr>
            <w:rStyle w:val="Hyperlink"/>
            <w:rFonts w:ascii="IRBadr" w:hAnsi="IRBadr" w:cs="IRBadr"/>
            <w:noProof/>
            <w:rtl/>
          </w:rPr>
          <w:t>جمع‌بندی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_Toc433612132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3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3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تفصیل در سیره متشرعه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_Toc433612133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3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4" w:history="1">
        <w:r w:rsidR="00025EBB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_Toc433612134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4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5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کلام مرحوم شیخ در عده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_Toc433612135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4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6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خدشه در سیره متشرعه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_Toc433612136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4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12137" w:history="1">
        <w:r w:rsidR="00025EBB">
          <w:rPr>
            <w:rStyle w:val="Hyperlink"/>
            <w:rFonts w:ascii="IRBadr" w:hAnsi="IRBadr" w:cs="IRBadr"/>
            <w:noProof/>
            <w:rtl/>
          </w:rPr>
          <w:t>جمع‌بندی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_Toc433612137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4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612138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اشکال به اصل سیره در این مقام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_Toc433612138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5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Pr="00DC4B05" w:rsidRDefault="00DC4893" w:rsidP="00DC4B0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612139" w:history="1">
        <w:r w:rsidR="00DC4B05" w:rsidRPr="00DC4B05">
          <w:rPr>
            <w:rStyle w:val="Hyperlink"/>
            <w:rFonts w:ascii="IRBadr" w:hAnsi="IRBadr" w:cs="IRBadr"/>
            <w:noProof/>
            <w:rtl/>
          </w:rPr>
          <w:t>پاسخ از اشکال فوق</w:t>
        </w:r>
        <w:r w:rsidR="00DC4B05" w:rsidRPr="00DC4B05">
          <w:rPr>
            <w:rFonts w:ascii="IRBadr" w:hAnsi="IRBadr" w:cs="IRBadr"/>
            <w:noProof/>
            <w:webHidden/>
          </w:rPr>
          <w:tab/>
        </w:r>
        <w:r w:rsidR="00DC4B05" w:rsidRPr="00DC4B05">
          <w:rPr>
            <w:rFonts w:ascii="IRBadr" w:hAnsi="IRBadr" w:cs="IRBadr"/>
            <w:noProof/>
            <w:webHidden/>
          </w:rPr>
          <w:fldChar w:fldCharType="begin"/>
        </w:r>
        <w:r w:rsidR="00DC4B05" w:rsidRPr="00DC4B05">
          <w:rPr>
            <w:rFonts w:ascii="IRBadr" w:hAnsi="IRBadr" w:cs="IRBadr"/>
            <w:noProof/>
            <w:webHidden/>
          </w:rPr>
          <w:instrText xml:space="preserve"> PAGEREF _Toc433612139 \h </w:instrText>
        </w:r>
        <w:r w:rsidR="00DC4B05" w:rsidRPr="00DC4B05">
          <w:rPr>
            <w:rFonts w:ascii="IRBadr" w:hAnsi="IRBadr" w:cs="IRBadr"/>
            <w:noProof/>
            <w:webHidden/>
          </w:rPr>
        </w:r>
        <w:r w:rsidR="00DC4B05" w:rsidRPr="00DC4B05">
          <w:rPr>
            <w:rFonts w:ascii="IRBadr" w:hAnsi="IRBadr" w:cs="IRBadr"/>
            <w:noProof/>
            <w:webHidden/>
          </w:rPr>
          <w:fldChar w:fldCharType="separate"/>
        </w:r>
        <w:r w:rsidR="00DC4B05" w:rsidRPr="00DC4B05">
          <w:rPr>
            <w:rFonts w:ascii="IRBadr" w:hAnsi="IRBadr" w:cs="IRBadr"/>
            <w:noProof/>
            <w:webHidden/>
          </w:rPr>
          <w:t>5</w:t>
        </w:r>
        <w:r w:rsidR="00DC4B05" w:rsidRPr="00DC4B05">
          <w:rPr>
            <w:rFonts w:ascii="IRBadr" w:hAnsi="IRBadr" w:cs="IRBadr"/>
            <w:noProof/>
            <w:webHidden/>
          </w:rPr>
          <w:fldChar w:fldCharType="end"/>
        </w:r>
      </w:hyperlink>
    </w:p>
    <w:p w:rsidR="00DC4B05" w:rsidRDefault="00DC4B05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C4B05" w:rsidRDefault="00DC4B0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B23B0E" w:rsidRDefault="00B23B0E" w:rsidP="00DC4B05">
      <w:pPr>
        <w:pStyle w:val="Heading1"/>
        <w:rPr>
          <w:rtl/>
        </w:rPr>
      </w:pPr>
      <w:bookmarkStart w:id="1" w:name="_Toc433612124"/>
      <w:r>
        <w:rPr>
          <w:rFonts w:hint="cs"/>
          <w:rtl/>
        </w:rPr>
        <w:lastRenderedPageBreak/>
        <w:t>دلیل سوم تقلید</w:t>
      </w:r>
      <w:bookmarkEnd w:id="1"/>
    </w:p>
    <w:p w:rsidR="00AB31CE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سومین دلیل برای اثبات نیاز به تقلید،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متشرعه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ادعا که مشی و روش متشرعه در عمل به تکالیف مراجعه به سیره فقیه و کارشناسان دین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در کنار سیره عقلائیه،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ادعا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این مقام وجود دارد.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قبال کبرای مسأله که سیره متشرعه باشد،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لازم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اشاره به نکته ایست؛</w:t>
      </w:r>
    </w:p>
    <w:p w:rsidR="00B23B0E" w:rsidRDefault="00B23B0E" w:rsidP="00DC4B05">
      <w:pPr>
        <w:pStyle w:val="Heading1"/>
        <w:rPr>
          <w:rtl/>
        </w:rPr>
      </w:pPr>
      <w:bookmarkStart w:id="2" w:name="_Toc433612125"/>
      <w:r>
        <w:rPr>
          <w:rFonts w:hint="cs"/>
          <w:rtl/>
        </w:rPr>
        <w:t>انواع سیره متشرعه</w:t>
      </w:r>
      <w:bookmarkEnd w:id="2"/>
    </w:p>
    <w:p w:rsidR="00B23B0E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سیره متشرعه بر دو نوع است؛</w:t>
      </w:r>
    </w:p>
    <w:p w:rsidR="00B23B0E" w:rsidRDefault="00B23B0E" w:rsidP="00DC4B05">
      <w:pPr>
        <w:pStyle w:val="Heading1"/>
        <w:rPr>
          <w:rtl/>
        </w:rPr>
      </w:pPr>
      <w:bookmarkStart w:id="3" w:name="_Toc433612126"/>
      <w:r>
        <w:rPr>
          <w:rFonts w:hint="cs"/>
          <w:rtl/>
        </w:rPr>
        <w:t>نوع اول</w:t>
      </w:r>
      <w:bookmarkEnd w:id="3"/>
    </w:p>
    <w:p w:rsidR="00B23B0E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عمل </w:t>
      </w:r>
      <w:r w:rsidR="00025EBB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مطابق با سیره عقلائیه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بماهم عقلاء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سیره جدیدی وجود نخواهد داشت و به دلیل سابق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متشرع بودن او در این مقام قید اضافه ایست و متشرع بودن و در انتخاب این سبک و روش دخالتی ندارد.</w:t>
      </w:r>
    </w:p>
    <w:p w:rsidR="00B23B0E" w:rsidRDefault="00B23B0E" w:rsidP="00DC4B05">
      <w:pPr>
        <w:pStyle w:val="Heading1"/>
        <w:rPr>
          <w:rtl/>
        </w:rPr>
      </w:pPr>
      <w:bookmarkStart w:id="4" w:name="_Toc433612127"/>
      <w:r>
        <w:rPr>
          <w:rFonts w:hint="cs"/>
          <w:rtl/>
        </w:rPr>
        <w:t>نوع دوم</w:t>
      </w:r>
      <w:bookmarkEnd w:id="4"/>
    </w:p>
    <w:p w:rsidR="00B23B0E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نوع دوم که معنای دقیق و حقیقی متشرع آن است که متشرعه از حیث متشرعه عملی را انجام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این در حالتی است که عقلاء یا آن را انجام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یا در بین </w:t>
      </w:r>
      <w:r w:rsidR="00025EBB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معقول نیست همانند ذبح.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25EBB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سیره متشرعه است که در این منهج خود با عقلاء یکسان نیستند و در این بحث،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عنوان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B23B0E" w:rsidRDefault="00025EBB" w:rsidP="00DC4B05">
      <w:pPr>
        <w:pStyle w:val="Heading1"/>
        <w:rPr>
          <w:rtl/>
        </w:rPr>
      </w:pPr>
      <w:bookmarkStart w:id="5" w:name="_Toc433612128"/>
      <w:r>
        <w:rPr>
          <w:rFonts w:hint="cs"/>
          <w:rtl/>
        </w:rPr>
        <w:t>درجات</w:t>
      </w:r>
      <w:r w:rsidR="00B23B0E">
        <w:rPr>
          <w:rFonts w:hint="cs"/>
          <w:rtl/>
        </w:rPr>
        <w:t xml:space="preserve"> در این نوع</w:t>
      </w:r>
      <w:bookmarkEnd w:id="5"/>
    </w:p>
    <w:p w:rsidR="00B23B0E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این سیره دارای درجاتی است که دو درجه آن،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درجه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مسلمین و گاهی سیره مؤمنین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معنای اول عام و شبه مجازی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انواع دیگری نیز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آن ذکر نمود.</w:t>
      </w:r>
    </w:p>
    <w:p w:rsidR="00B23B0E" w:rsidRDefault="00B23B0E" w:rsidP="00DC4B05">
      <w:pPr>
        <w:pStyle w:val="Heading2"/>
        <w:rPr>
          <w:rtl/>
        </w:rPr>
      </w:pPr>
      <w:bookmarkStart w:id="6" w:name="_Toc433612129"/>
      <w:r>
        <w:rPr>
          <w:rFonts w:hint="cs"/>
          <w:rtl/>
        </w:rPr>
        <w:lastRenderedPageBreak/>
        <w:t>آثار نوع اول از سیره فوق</w:t>
      </w:r>
      <w:bookmarkEnd w:id="6"/>
    </w:p>
    <w:p w:rsidR="00B23B0E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چند نکته وجود دارد؛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این است که آیا سیره اول متشرعه دارای ارزشی هست؟</w:t>
      </w:r>
    </w:p>
    <w:p w:rsidR="00610D06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پاسخ باید گفت که این سیره برشی از سیره عقلاء بوده و دارای ارزش مستقل ذاتی نیست،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روشنی است.</w:t>
      </w:r>
    </w:p>
    <w:p w:rsidR="00610D06" w:rsidRDefault="00610D06" w:rsidP="00DC4B05">
      <w:pPr>
        <w:pStyle w:val="Heading2"/>
        <w:rPr>
          <w:rtl/>
        </w:rPr>
      </w:pPr>
      <w:bookmarkStart w:id="7" w:name="_Toc433612130"/>
      <w:r>
        <w:rPr>
          <w:rFonts w:hint="cs"/>
          <w:rtl/>
        </w:rPr>
        <w:t>اثر اول</w:t>
      </w:r>
      <w:bookmarkEnd w:id="7"/>
    </w:p>
    <w:p w:rsidR="00B23B0E" w:rsidRDefault="00B23B0E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اگر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همین معنای اول از سیره متشرعه احراز شود،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اثر جانبی خواهد بود و آن،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اگر سیره متشرعه در عصر شارع ثابت شد،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اطم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 را به سیره عقلائیه تقویت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عدم ردع تقویت خواهد شد.</w:t>
      </w:r>
    </w:p>
    <w:p w:rsidR="00610D06" w:rsidRDefault="00610D06" w:rsidP="00DC4B05">
      <w:pPr>
        <w:pStyle w:val="Heading2"/>
        <w:rPr>
          <w:rtl/>
        </w:rPr>
      </w:pPr>
      <w:bookmarkStart w:id="8" w:name="_Toc433612131"/>
      <w:r>
        <w:rPr>
          <w:rFonts w:hint="cs"/>
          <w:rtl/>
        </w:rPr>
        <w:t>اثر دوم</w:t>
      </w:r>
      <w:bookmarkEnd w:id="8"/>
    </w:p>
    <w:p w:rsidR="00B23B0E" w:rsidRDefault="00610D06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دیگر فوائد بلکه بالاتر از فائده،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احیاناً ممکن است متشرعین با عنایت خاص و فراتر از عقلاء بماهم عقلاء بدان عمل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ی‌نمودند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احراز این قسم دشوار است،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احراز شود که متشرعین این عمل را انجام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ی‌دادند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حتی اگر عقلاء آن را انجام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10D06" w:rsidRDefault="00025EBB" w:rsidP="00DC4B05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155C4D" w:rsidRDefault="00025EBB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610D06">
        <w:rPr>
          <w:rFonts w:ascii="IRBadr" w:hAnsi="IRBadr" w:cs="IRBadr" w:hint="cs"/>
          <w:sz w:val="28"/>
          <w:szCs w:val="28"/>
          <w:rtl/>
          <w:lang w:bidi="fa-IR"/>
        </w:rPr>
        <w:t xml:space="preserve"> سیره متشرعه گاهی اثر </w:t>
      </w:r>
      <w:r>
        <w:rPr>
          <w:rFonts w:ascii="IRBadr" w:hAnsi="IRBadr" w:cs="IRBadr" w:hint="cs"/>
          <w:sz w:val="28"/>
          <w:szCs w:val="28"/>
          <w:rtl/>
          <w:lang w:bidi="fa-IR"/>
        </w:rPr>
        <w:t>تقویت‌کنندگی</w:t>
      </w:r>
      <w:r w:rsidR="00610D06">
        <w:rPr>
          <w:rFonts w:ascii="IRBadr" w:hAnsi="IRBadr" w:cs="IRBadr" w:hint="cs"/>
          <w:sz w:val="28"/>
          <w:szCs w:val="28"/>
          <w:rtl/>
          <w:lang w:bidi="fa-IR"/>
        </w:rPr>
        <w:t xml:space="preserve"> دارد و گاهی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به‌نوعی</w:t>
      </w:r>
      <w:r w:rsidR="00610D06">
        <w:rPr>
          <w:rFonts w:ascii="IRBadr" w:hAnsi="IRBadr" w:cs="IRBadr" w:hint="cs"/>
          <w:sz w:val="28"/>
          <w:szCs w:val="28"/>
          <w:rtl/>
          <w:lang w:bidi="fa-IR"/>
        </w:rPr>
        <w:t xml:space="preserve"> به معنای دوم </w:t>
      </w:r>
      <w:r>
        <w:rPr>
          <w:rFonts w:ascii="IRBadr" w:hAnsi="IRBadr" w:cs="IRBadr" w:hint="cs"/>
          <w:sz w:val="28"/>
          <w:szCs w:val="28"/>
          <w:rtl/>
          <w:lang w:bidi="fa-IR"/>
        </w:rPr>
        <w:t>بازمی‌گردد</w:t>
      </w:r>
      <w:r w:rsidR="00610D06">
        <w:rPr>
          <w:rFonts w:ascii="IRBadr" w:hAnsi="IRBadr" w:cs="IRBadr" w:hint="cs"/>
          <w:sz w:val="28"/>
          <w:szCs w:val="28"/>
          <w:rtl/>
          <w:lang w:bidi="fa-IR"/>
        </w:rPr>
        <w:t xml:space="preserve"> که احراز آن به صعوبت ممکن است.</w:t>
      </w:r>
      <w:r w:rsidR="00155C4D">
        <w:rPr>
          <w:rFonts w:ascii="IRBadr" w:hAnsi="IRBadr" w:cs="IRBadr" w:hint="cs"/>
          <w:sz w:val="28"/>
          <w:szCs w:val="28"/>
          <w:rtl/>
          <w:lang w:bidi="fa-IR"/>
        </w:rPr>
        <w:t xml:space="preserve"> اما طبق معنای دوم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155C4D">
        <w:rPr>
          <w:rFonts w:ascii="IRBadr" w:hAnsi="IRBadr" w:cs="IRBadr" w:hint="cs"/>
          <w:sz w:val="28"/>
          <w:szCs w:val="28"/>
          <w:rtl/>
          <w:lang w:bidi="fa-IR"/>
        </w:rPr>
        <w:t xml:space="preserve"> بود که عقلاء چنین سیره ندارند و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به‌راحتی</w:t>
      </w:r>
      <w:r w:rsidR="00155C4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155C4D">
        <w:rPr>
          <w:rFonts w:ascii="IRBadr" w:hAnsi="IRBadr" w:cs="IRBadr" w:hint="cs"/>
          <w:sz w:val="28"/>
          <w:szCs w:val="28"/>
          <w:rtl/>
          <w:lang w:bidi="fa-IR"/>
        </w:rPr>
        <w:t xml:space="preserve"> آن را احراز نمود.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55C4D">
        <w:rPr>
          <w:rFonts w:ascii="IRBadr" w:hAnsi="IRBadr" w:cs="IRBadr" w:hint="cs"/>
          <w:sz w:val="28"/>
          <w:szCs w:val="28"/>
          <w:rtl/>
          <w:lang w:bidi="fa-IR"/>
        </w:rPr>
        <w:t xml:space="preserve"> موضوع در اینجا موضوعی شرعی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="00155C4D">
        <w:rPr>
          <w:rFonts w:ascii="IRBadr" w:hAnsi="IRBadr" w:cs="IRBadr" w:hint="cs"/>
          <w:sz w:val="28"/>
          <w:szCs w:val="28"/>
          <w:rtl/>
          <w:lang w:bidi="fa-IR"/>
        </w:rPr>
        <w:t xml:space="preserve"> اینکه در عصر غیبت در اذان شهادت به ولایت بوده است.</w:t>
      </w:r>
    </w:p>
    <w:p w:rsidR="00155C4D" w:rsidRDefault="00155C4D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ان شاء الله در بحث سیره مباحث زیادی وجود دارد که لازم است تبیین شود.</w:t>
      </w:r>
    </w:p>
    <w:p w:rsidR="00CA7D54" w:rsidRDefault="00CA7D54" w:rsidP="00DC4B05">
      <w:pPr>
        <w:pStyle w:val="Heading2"/>
        <w:rPr>
          <w:rtl/>
        </w:rPr>
      </w:pPr>
      <w:bookmarkStart w:id="9" w:name="_Toc433612133"/>
      <w:r>
        <w:rPr>
          <w:rFonts w:hint="cs"/>
          <w:rtl/>
        </w:rPr>
        <w:t>تفصیل در سیره متشرعه</w:t>
      </w:r>
      <w:bookmarkEnd w:id="9"/>
    </w:p>
    <w:p w:rsidR="00CA7D54" w:rsidRDefault="00CA7D54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مطلب بعدی در قبال معنای دوم است که سیره متشرعه در معنای دوم دارای دو مقدمه است که جامعه متشرعین چنین عمل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ی‌نموده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کبرای قضیه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عمل آن مورد امضای شارع </w:t>
      </w:r>
      <w:r w:rsidR="00025EBB">
        <w:rPr>
          <w:rFonts w:ascii="IRBadr" w:hAnsi="IRBadr" w:cs="IRBadr"/>
          <w:sz w:val="28"/>
          <w:szCs w:val="28"/>
          <w:rtl/>
          <w:lang w:bidi="fa-IR"/>
        </w:rPr>
        <w:t>واقع‌شده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25EBB">
        <w:rPr>
          <w:rFonts w:ascii="IRBadr" w:hAnsi="IRBadr" w:cs="IRBadr"/>
          <w:sz w:val="28"/>
          <w:szCs w:val="28"/>
          <w:rtl/>
          <w:lang w:bidi="fa-IR"/>
        </w:rPr>
        <w:t>تخص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یص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طرقی وجود دارد که همانند سیره عقلاء است که در مرآی و منظر باشد،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عمل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شیوع داشته باشد و سایر خصوصیاتی که سابقاً بیان گشت.</w:t>
      </w:r>
    </w:p>
    <w:p w:rsidR="00CA7D54" w:rsidRDefault="00025EBB" w:rsidP="00DC4B05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CA7D54" w:rsidRDefault="00025EBB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نتیجه‌ای</w:t>
      </w:r>
      <w:r w:rsidR="00CA7D54">
        <w:rPr>
          <w:rFonts w:ascii="IRBadr" w:hAnsi="IRBadr" w:cs="IRBadr" w:hint="cs"/>
          <w:sz w:val="28"/>
          <w:szCs w:val="28"/>
          <w:rtl/>
          <w:lang w:bidi="fa-IR"/>
        </w:rPr>
        <w:t xml:space="preserve"> که از این مقدمات گرفته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A7D54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CA7D54">
        <w:rPr>
          <w:rFonts w:ascii="IRBadr" w:hAnsi="IRBadr" w:cs="IRBadr" w:hint="cs"/>
          <w:sz w:val="28"/>
          <w:szCs w:val="28"/>
          <w:rtl/>
          <w:lang w:bidi="fa-IR"/>
        </w:rPr>
        <w:t xml:space="preserve"> است که نزد اجتماع سیره عقلاء و متشرعه در یک موضوع،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نشان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منشأ</w:t>
      </w:r>
      <w:r w:rsidR="00CA7D54">
        <w:rPr>
          <w:rFonts w:ascii="IRBadr" w:hAnsi="IRBadr" w:cs="IRBadr" w:hint="cs"/>
          <w:sz w:val="28"/>
          <w:szCs w:val="28"/>
          <w:rtl/>
          <w:lang w:bidi="fa-IR"/>
        </w:rPr>
        <w:t>یت سیره متشرعه نیست.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A7D54"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موارد اصل این است که همان اصل عقلایی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A7D54">
        <w:rPr>
          <w:rFonts w:ascii="IRBadr" w:hAnsi="IRBadr" w:cs="IRBadr" w:hint="cs"/>
          <w:sz w:val="28"/>
          <w:szCs w:val="28"/>
          <w:rtl/>
          <w:lang w:bidi="fa-IR"/>
        </w:rPr>
        <w:t>را بدان واداشته داشته است.</w:t>
      </w:r>
    </w:p>
    <w:p w:rsidR="00CA7D54" w:rsidRDefault="00CA7D54" w:rsidP="00DC4B05">
      <w:pPr>
        <w:pStyle w:val="Heading2"/>
        <w:rPr>
          <w:rtl/>
        </w:rPr>
      </w:pPr>
      <w:bookmarkStart w:id="10" w:name="_Toc433612135"/>
      <w:r>
        <w:rPr>
          <w:rFonts w:hint="cs"/>
          <w:rtl/>
        </w:rPr>
        <w:t>کلام مرحوم شیخ در عده</w:t>
      </w:r>
      <w:bookmarkEnd w:id="10"/>
    </w:p>
    <w:p w:rsidR="00CA7D54" w:rsidRDefault="00CA7D54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شیخ در عده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سایر کتب نیز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من از عهد امیرالمؤمنین (ع) تا زمان خودمان مردم را یافتم که به علماءشان مراجعه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به دنبال فتوای </w:t>
      </w:r>
      <w:r w:rsidR="00025EBB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آن مسأله بودند و ما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نشن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یده‌ایم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کسی به مستفتی بگوید تو حق افتاء نداری و فقیهی نیز به آنان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ی‌گفته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من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می‌گویم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تو خودت باید به نتیجه برسی.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خلق عظیمی که معاصر ائمه بودند بدان عمل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ایشان </w:t>
      </w:r>
      <w:r w:rsidR="00025EBB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ی‌پذیرفتند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A7D54" w:rsidRDefault="00CA7D54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نفی رجوع جاهل به عالم انکار امر بدیهی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تصریح ایشان که در سنه 460 زندگی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اهمیت بالایی برخوردار است.</w:t>
      </w:r>
    </w:p>
    <w:p w:rsidR="00CA7D54" w:rsidRDefault="00CA7D54" w:rsidP="00DC4B05">
      <w:pPr>
        <w:pStyle w:val="Heading2"/>
        <w:rPr>
          <w:rtl/>
        </w:rPr>
      </w:pPr>
      <w:bookmarkStart w:id="11" w:name="_Toc433612136"/>
      <w:r>
        <w:rPr>
          <w:rFonts w:hint="cs"/>
          <w:rtl/>
        </w:rPr>
        <w:t>خدشه در سیره متشرعه</w:t>
      </w:r>
      <w:bookmarkEnd w:id="11"/>
    </w:p>
    <w:p w:rsidR="009B4655" w:rsidRDefault="00CA7D54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اشکالی که به این سیره وارد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نزد اجتماع این دو سیره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در اینجا مصداق پیدا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عقلایی بودن سیره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B4655">
        <w:rPr>
          <w:rFonts w:ascii="IRBadr" w:hAnsi="IRBadr" w:cs="IRBadr" w:hint="cs"/>
          <w:sz w:val="28"/>
          <w:szCs w:val="28"/>
          <w:rtl/>
          <w:lang w:bidi="fa-IR"/>
        </w:rPr>
        <w:t xml:space="preserve"> خاصیت سیره متشرعه در اینجا مترتب است که این سیره این اطمینان را اعطاء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9B4655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ردعی وجود ندارد. لذا وجود سیره متشرعه احتمالات مضر به حجیت سیره عقلایی را کنار خواهد زد.</w:t>
      </w:r>
    </w:p>
    <w:p w:rsidR="009B4655" w:rsidRDefault="00025EBB" w:rsidP="00DC4B05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CA7D54" w:rsidRDefault="00025EBB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9B4655">
        <w:rPr>
          <w:rFonts w:ascii="IRBadr" w:hAnsi="IRBadr" w:cs="IRBadr" w:hint="cs"/>
          <w:sz w:val="28"/>
          <w:szCs w:val="28"/>
          <w:rtl/>
          <w:lang w:bidi="fa-IR"/>
        </w:rPr>
        <w:t xml:space="preserve"> در حقیقت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9B4655">
        <w:rPr>
          <w:rFonts w:ascii="IRBadr" w:hAnsi="IRBadr" w:cs="IRBadr" w:hint="cs"/>
          <w:sz w:val="28"/>
          <w:szCs w:val="28"/>
          <w:rtl/>
          <w:lang w:bidi="fa-IR"/>
        </w:rPr>
        <w:t xml:space="preserve"> گفت که بر شهادت شیخ دو ثمره مترتب است؛</w:t>
      </w:r>
    </w:p>
    <w:p w:rsidR="009B4655" w:rsidRDefault="009B4655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اینکه قطعاً سیره عقلاء نیز در اینجا وجود داشته است و علاوه بر آن عدم ردع را تقویت و تأیید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احراز قسیمیت سیره متشرعه نسبت به عقلایی بعید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اصل مناقشه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مشاهده شد مقبول است.</w:t>
      </w:r>
    </w:p>
    <w:p w:rsidR="009B4655" w:rsidRDefault="009B4655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B4655" w:rsidRDefault="009B4655" w:rsidP="00DC4B05">
      <w:pPr>
        <w:pStyle w:val="Heading3"/>
        <w:rPr>
          <w:rtl/>
        </w:rPr>
      </w:pPr>
      <w:bookmarkStart w:id="12" w:name="_Toc433612138"/>
      <w:r>
        <w:rPr>
          <w:rFonts w:hint="cs"/>
          <w:rtl/>
        </w:rPr>
        <w:lastRenderedPageBreak/>
        <w:t>اشکال به اصل سیره در این مقام</w:t>
      </w:r>
      <w:bookmarkEnd w:id="12"/>
    </w:p>
    <w:p w:rsidR="009B4655" w:rsidRDefault="009B4655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دیگری که در اینجا وجود دارد،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سیره متشرعه توسط عامی که دارای درجاتی هستند نیز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م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احراز شود.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س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یره‌ها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اشکالی اساسی وجود دارد که جلوتر باید بررسی گردد و 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>اجمالان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نوع از مراجعه،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مراجعه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فقیه نبوده است بلکه صرفاً مراجعه به مخبر صادق و راوی و محدث بوده است.</w:t>
      </w:r>
    </w:p>
    <w:p w:rsidR="009B4655" w:rsidRDefault="009B4655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چراکه این امر مربوط به اثبات حجیت خبر واحد است و موضوع بحث در قبال رجوع فتوایی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 xml:space="preserve">ین اشکال هم به سیره عقلاء و هم سیره متشرعه وارد است و در نوع خود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شبهه‌ای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 xml:space="preserve"> جدی است.</w:t>
      </w:r>
      <w:r w:rsidR="00DC4B0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 xml:space="preserve"> باید حیث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مراجعه‌ای</w:t>
      </w:r>
      <w:r w:rsidR="00DC4B05">
        <w:rPr>
          <w:rFonts w:ascii="IRBadr" w:hAnsi="IRBadr" w:cs="IRBadr" w:hint="cs"/>
          <w:sz w:val="28"/>
          <w:szCs w:val="28"/>
          <w:rtl/>
          <w:lang w:bidi="fa-IR"/>
        </w:rPr>
        <w:t xml:space="preserve"> که ثابت است مشخص شود.</w:t>
      </w:r>
    </w:p>
    <w:p w:rsidR="00DC4B05" w:rsidRDefault="00DC4B05" w:rsidP="00DC4B05">
      <w:pPr>
        <w:pStyle w:val="Heading3"/>
        <w:rPr>
          <w:rtl/>
        </w:rPr>
      </w:pPr>
      <w:bookmarkStart w:id="13" w:name="_Toc433612139"/>
      <w:r>
        <w:rPr>
          <w:rFonts w:hint="cs"/>
          <w:rtl/>
        </w:rPr>
        <w:t>پاسخ از اشکال فوق</w:t>
      </w:r>
      <w:bookmarkEnd w:id="13"/>
    </w:p>
    <w:p w:rsidR="00DC4B05" w:rsidRDefault="00DC4B05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جوابی که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 از این مسأله داد،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ین است که مراجعه به محدثین همیشه از باب اخذ خبر نبوده و در آن زمان نیز در موارد بسیاری رجوع فقهی بوده است همانند مراجعه به زرارة و غیره و </w:t>
      </w:r>
      <w:r w:rsidR="00025EBB"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عصر متأخر از عصر حضور از زمان امام </w:t>
      </w:r>
      <w:r>
        <w:rPr>
          <w:rFonts w:ascii="IRBadr" w:hAnsi="IRBadr" w:cs="IRBadr"/>
          <w:sz w:val="28"/>
          <w:szCs w:val="28"/>
          <w:rtl/>
          <w:lang w:bidi="fa-IR"/>
        </w:rPr>
        <w:t>رضا (</w:t>
      </w:r>
      <w:r>
        <w:rPr>
          <w:rFonts w:ascii="IRBadr" w:hAnsi="IRBadr" w:cs="IRBadr" w:hint="cs"/>
          <w:sz w:val="28"/>
          <w:szCs w:val="28"/>
          <w:rtl/>
          <w:lang w:bidi="fa-IR"/>
        </w:rPr>
        <w:t>ع) از باب رجوع فقاهی بوده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الا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کسی ادعا نماید که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یچیدگی‌های فقهی امروزی مانند از تسری حکم سیره در امروزه باشد که بعید است.</w:t>
      </w:r>
    </w:p>
    <w:p w:rsidR="00DC4B05" w:rsidRDefault="00DC4B05" w:rsidP="00DC4B0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علاوه بر اینکه در اینجا ارتکازی نیز وجود دارد که این رجوع صرفاً از باب نقل روایت نبوده است که به این ارتکاز باید بعداً پرداخته شود.</w:t>
      </w:r>
    </w:p>
    <w:p w:rsidR="009B4655" w:rsidRPr="00485C6D" w:rsidRDefault="009B4655" w:rsidP="009B4655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sectPr w:rsidR="009B4655" w:rsidRPr="00485C6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F7" w:rsidRDefault="007027F7" w:rsidP="000D5800">
      <w:pPr>
        <w:spacing w:after="0" w:line="240" w:lineRule="auto"/>
      </w:pPr>
      <w:r>
        <w:separator/>
      </w:r>
    </w:p>
  </w:endnote>
  <w:endnote w:type="continuationSeparator" w:id="0">
    <w:p w:rsidR="007027F7" w:rsidRDefault="007027F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05" w:rsidRDefault="00DC4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05" w:rsidRDefault="00DC4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05" w:rsidRDefault="00DC4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F7" w:rsidRDefault="007027F7" w:rsidP="000D5800">
      <w:pPr>
        <w:spacing w:after="0" w:line="240" w:lineRule="auto"/>
      </w:pPr>
      <w:r>
        <w:separator/>
      </w:r>
    </w:p>
  </w:footnote>
  <w:footnote w:type="continuationSeparator" w:id="0">
    <w:p w:rsidR="007027F7" w:rsidRDefault="007027F7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05" w:rsidRDefault="00DC4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5B01F1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E20E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B01F1">
      <w:rPr>
        <w:rFonts w:ascii="IranNastaliq" w:hAnsi="IranNastaliq" w:cs="IranNastaliq" w:hint="cs"/>
        <w:sz w:val="40"/>
        <w:szCs w:val="40"/>
        <w:rtl/>
        <w:lang w:bidi="fa-IR"/>
      </w:rPr>
      <w:t>4649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05" w:rsidRDefault="00DC4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25EBB"/>
    <w:rsid w:val="000324F1"/>
    <w:rsid w:val="00052BA3"/>
    <w:rsid w:val="0006363E"/>
    <w:rsid w:val="00080DFF"/>
    <w:rsid w:val="00085ED5"/>
    <w:rsid w:val="00096608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C4D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45356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3F1D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85C6D"/>
    <w:rsid w:val="004B337F"/>
    <w:rsid w:val="004E7830"/>
    <w:rsid w:val="004F3596"/>
    <w:rsid w:val="00505A7B"/>
    <w:rsid w:val="00572680"/>
    <w:rsid w:val="00572E2D"/>
    <w:rsid w:val="00592103"/>
    <w:rsid w:val="005A545E"/>
    <w:rsid w:val="005A5862"/>
    <w:rsid w:val="005B01F1"/>
    <w:rsid w:val="005B0852"/>
    <w:rsid w:val="005C06AE"/>
    <w:rsid w:val="00610C18"/>
    <w:rsid w:val="00610D06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027F7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135D"/>
    <w:rsid w:val="008407A4"/>
    <w:rsid w:val="00845CC4"/>
    <w:rsid w:val="008644F4"/>
    <w:rsid w:val="00883733"/>
    <w:rsid w:val="008965D2"/>
    <w:rsid w:val="008A236D"/>
    <w:rsid w:val="008B565A"/>
    <w:rsid w:val="008C111E"/>
    <w:rsid w:val="008C3414"/>
    <w:rsid w:val="008C6390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4655"/>
    <w:rsid w:val="009B61C3"/>
    <w:rsid w:val="009C7B4F"/>
    <w:rsid w:val="009E20E6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163F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B31CE"/>
    <w:rsid w:val="00AD0304"/>
    <w:rsid w:val="00AD27BE"/>
    <w:rsid w:val="00AE2096"/>
    <w:rsid w:val="00AF0F1A"/>
    <w:rsid w:val="00B06BB8"/>
    <w:rsid w:val="00B15027"/>
    <w:rsid w:val="00B21096"/>
    <w:rsid w:val="00B21CF4"/>
    <w:rsid w:val="00B23B0E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3EB0"/>
    <w:rsid w:val="00C84FC0"/>
    <w:rsid w:val="00C9244A"/>
    <w:rsid w:val="00CA305B"/>
    <w:rsid w:val="00CA7D54"/>
    <w:rsid w:val="00CB5DA3"/>
    <w:rsid w:val="00CC603A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4B05"/>
    <w:rsid w:val="00DC5FB8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326C"/>
    <w:rsid w:val="00E276A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42A7"/>
    <w:rsid w:val="00EF138C"/>
    <w:rsid w:val="00F034CE"/>
    <w:rsid w:val="00F06E6E"/>
    <w:rsid w:val="00F10A0F"/>
    <w:rsid w:val="00F1398E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D1E1-083E-42A7-8054-9921FD3B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1473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70</cp:revision>
  <dcterms:created xsi:type="dcterms:W3CDTF">2014-11-18T06:47:00Z</dcterms:created>
  <dcterms:modified xsi:type="dcterms:W3CDTF">2015-10-27T17:29:00Z</dcterms:modified>
</cp:coreProperties>
</file>