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11" w:rsidRDefault="00A15F52" w:rsidP="00A65744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D1A8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BD1A81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544811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54481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44811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544811">
        <w:rPr>
          <w:rFonts w:ascii="IRBadr" w:hAnsi="IRBadr" w:cs="IRBadr" w:hint="cs"/>
          <w:sz w:val="28"/>
          <w:szCs w:val="28"/>
          <w:lang w:bidi="fa-IR"/>
        </w:rPr>
        <w:instrText>o "1-8" \h \z \u</w:instrText>
      </w:r>
      <w:r w:rsidR="0054481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44811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44811" w:rsidRPr="00544811" w:rsidRDefault="006B7534" w:rsidP="0054481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53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دلیل چهارم: آیه نفر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_Toc433665553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2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54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کاربرد آیه فوق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_Toc433665554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2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55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جایگاه این آیه شریفه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_Toc433665555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2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56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تنقیح بحث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_Toc433665556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2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57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نکات متخذ از آیه نفر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_Toc433665557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3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58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نکته اول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_Toc433665558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3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59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احتمال اول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_Toc433665559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3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0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احتمال دوم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_Toc433665560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3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1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نکته دوم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_Toc433665561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3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2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نکته سوم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_Toc433665562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3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3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نکته چهارم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_Toc433665563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4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4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اصل در اوامر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_Toc433665564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4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5" w:history="1">
        <w:r w:rsidR="00A15F52">
          <w:rPr>
            <w:rStyle w:val="Hyperlink"/>
            <w:rFonts w:ascii="IRBadr" w:hAnsi="IRBadr" w:cs="IRBadr"/>
            <w:noProof/>
            <w:rtl/>
          </w:rPr>
          <w:t>جمع‌بندی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_Toc433665565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4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6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تنقیح بحث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_Toc433665566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4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7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نکته پنجم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_Toc433665567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4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8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دلالت آیه در این مقام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_Toc433665568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5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69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نکته ششم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_Toc433665569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5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70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نکته هفتم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_Toc433665570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5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71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نکته هشتم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_Toc433665571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5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544811" w:rsidRPr="00544811" w:rsidRDefault="006B7534" w:rsidP="0054481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5572" w:history="1">
        <w:r w:rsidR="00544811" w:rsidRPr="00544811">
          <w:rPr>
            <w:rStyle w:val="Hyperlink"/>
            <w:rFonts w:ascii="IRBadr" w:hAnsi="IRBadr" w:cs="IRBadr"/>
            <w:noProof/>
            <w:rtl/>
          </w:rPr>
          <w:t>انواع مقدمات</w:t>
        </w:r>
        <w:r w:rsidR="00544811" w:rsidRPr="00544811">
          <w:rPr>
            <w:rFonts w:ascii="IRBadr" w:hAnsi="IRBadr" w:cs="IRBadr"/>
            <w:noProof/>
            <w:webHidden/>
          </w:rPr>
          <w:tab/>
        </w:r>
        <w:r w:rsidR="00544811" w:rsidRPr="00544811">
          <w:rPr>
            <w:rFonts w:ascii="IRBadr" w:hAnsi="IRBadr" w:cs="IRBadr"/>
            <w:noProof/>
            <w:webHidden/>
          </w:rPr>
          <w:fldChar w:fldCharType="begin"/>
        </w:r>
        <w:r w:rsidR="00544811" w:rsidRPr="00544811">
          <w:rPr>
            <w:rFonts w:ascii="IRBadr" w:hAnsi="IRBadr" w:cs="IRBadr"/>
            <w:noProof/>
            <w:webHidden/>
          </w:rPr>
          <w:instrText xml:space="preserve"> PAGEREF _Toc433665572 \h </w:instrText>
        </w:r>
        <w:r w:rsidR="00544811" w:rsidRPr="00544811">
          <w:rPr>
            <w:rFonts w:ascii="IRBadr" w:hAnsi="IRBadr" w:cs="IRBadr"/>
            <w:noProof/>
            <w:webHidden/>
          </w:rPr>
        </w:r>
        <w:r w:rsidR="00544811" w:rsidRPr="00544811">
          <w:rPr>
            <w:rFonts w:ascii="IRBadr" w:hAnsi="IRBadr" w:cs="IRBadr"/>
            <w:noProof/>
            <w:webHidden/>
          </w:rPr>
          <w:fldChar w:fldCharType="separate"/>
        </w:r>
        <w:r w:rsidR="00544811" w:rsidRPr="00544811">
          <w:rPr>
            <w:rFonts w:ascii="IRBadr" w:hAnsi="IRBadr" w:cs="IRBadr"/>
            <w:noProof/>
            <w:webHidden/>
          </w:rPr>
          <w:t>6</w:t>
        </w:r>
        <w:r w:rsidR="00544811" w:rsidRPr="00544811">
          <w:rPr>
            <w:rFonts w:ascii="IRBadr" w:hAnsi="IRBadr" w:cs="IRBadr"/>
            <w:noProof/>
            <w:webHidden/>
          </w:rPr>
          <w:fldChar w:fldCharType="end"/>
        </w:r>
      </w:hyperlink>
    </w:p>
    <w:p w:rsidR="00A65744" w:rsidRDefault="0054481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65744" w:rsidRDefault="00A65744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BD1A81" w:rsidRDefault="00BD1A81" w:rsidP="00A65744">
      <w:pPr>
        <w:pStyle w:val="Heading1"/>
        <w:rPr>
          <w:rtl/>
        </w:rPr>
      </w:pPr>
      <w:bookmarkStart w:id="1" w:name="_Toc433665553"/>
      <w:r>
        <w:rPr>
          <w:rFonts w:hint="cs"/>
          <w:rtl/>
        </w:rPr>
        <w:lastRenderedPageBreak/>
        <w:t>دلیل چهارم: آیه نفر</w:t>
      </w:r>
      <w:bookmarkEnd w:id="1"/>
    </w:p>
    <w:p w:rsidR="00BD1A81" w:rsidRDefault="00BD1A8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چهارم آیه نفر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دلیل به بعد ادله ایست که نیاز به اجتهاد دارد و دلیلی نیست که عامی بتواند به نحو مستقیم بدان مراجعه نماید.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ارزش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ادله برای عامی از باب ارشاد و مساعدت بر اطمینان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مرحله عامی بر اساس عقل یا سیره مراجعه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شرع این را فرموده است.</w:t>
      </w:r>
    </w:p>
    <w:p w:rsidR="00BD1A81" w:rsidRDefault="00BD1A81" w:rsidP="00A65744">
      <w:pPr>
        <w:pStyle w:val="Heading1"/>
        <w:rPr>
          <w:rtl/>
        </w:rPr>
      </w:pPr>
      <w:bookmarkStart w:id="2" w:name="_Toc433665554"/>
      <w:r>
        <w:rPr>
          <w:rFonts w:hint="cs"/>
          <w:rtl/>
        </w:rPr>
        <w:t>کاربرد آیه فوق</w:t>
      </w:r>
      <w:bookmarkEnd w:id="2"/>
    </w:p>
    <w:p w:rsidR="00BD1A81" w:rsidRDefault="00BD1A8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مورد از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قبیل مواردی نیست که شرع فرموده باشد و نیازی به دلیل نداشته باشد و دارای دلالت واضحه بدیهیه باشد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آ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خواهد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آمد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چهارم اولین دلیل از آیات قرآنی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آ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نفر در اصول و فقه در چند مورد استشهاد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اصول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باب خبر واحد است.</w:t>
      </w:r>
    </w:p>
    <w:p w:rsidR="00BD1A81" w:rsidRDefault="00BD1A81" w:rsidP="00A65744">
      <w:pPr>
        <w:pStyle w:val="Heading1"/>
        <w:rPr>
          <w:rtl/>
        </w:rPr>
      </w:pPr>
      <w:bookmarkStart w:id="3" w:name="_Toc433665555"/>
      <w:r>
        <w:rPr>
          <w:rFonts w:hint="cs"/>
          <w:rtl/>
        </w:rPr>
        <w:t>جایگاه این آیه شریفه</w:t>
      </w:r>
      <w:bookmarkEnd w:id="3"/>
    </w:p>
    <w:p w:rsidR="00BD1A81" w:rsidRDefault="00BD1A8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فقه نیز در مواردی همچون قاعده ارشاد و هدایت و تربیت مورد استدلال بود که ملاحظه گشت.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فروعات فقهی مانند وجوب جهاد نیز این آیه مورد استدلال خواهد بود،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آیه از غرر آیات محسوب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چنین سطح وسیعی مورد تمسک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BD1A81" w:rsidRDefault="00A15F52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 w:rsidR="00BD1A81">
        <w:rPr>
          <w:rFonts w:ascii="IRBadr" w:hAnsi="IRBadr" w:cs="IRBadr" w:hint="cs"/>
          <w:sz w:val="28"/>
          <w:szCs w:val="28"/>
          <w:rtl/>
          <w:lang w:bidi="fa-IR"/>
        </w:rPr>
        <w:t xml:space="preserve"> در حجیت فتوا نیز مورد استدلال </w:t>
      </w:r>
      <w:r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 w:rsidR="00BD1A81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BD1A81" w:rsidRDefault="00BD1A81" w:rsidP="00A65744">
      <w:pPr>
        <w:pStyle w:val="Heading2"/>
        <w:rPr>
          <w:rtl/>
        </w:rPr>
      </w:pPr>
      <w:bookmarkStart w:id="4" w:name="_Toc433665556"/>
      <w:r>
        <w:rPr>
          <w:rFonts w:hint="cs"/>
          <w:rtl/>
        </w:rPr>
        <w:t>تنقیح بحث</w:t>
      </w:r>
      <w:bookmarkEnd w:id="4"/>
    </w:p>
    <w:p w:rsidR="00BD1A81" w:rsidRDefault="00BD1A8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اجمال </w:t>
      </w:r>
      <w:r w:rsidR="00A15F52">
        <w:rPr>
          <w:rFonts w:ascii="IRBadr" w:hAnsi="IRBadr" w:cs="IRBadr"/>
          <w:sz w:val="28"/>
          <w:szCs w:val="28"/>
          <w:rtl/>
          <w:lang w:bidi="fa-IR"/>
        </w:rPr>
        <w:t>استشهاد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بدین آیه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لازم است کسانی برای تفقه در دین کوچ کنند تا احکام و مسائل را به قوم خود بیاموزند تا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حذر باشند.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لازمه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مفاد،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قول او برای دیگران به مدلول التزامی دارای حجیت باشد.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آیه در طول این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سال‌ها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به‌تناسب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شده است.</w:t>
      </w:r>
    </w:p>
    <w:p w:rsidR="001918F1" w:rsidRDefault="001918F1" w:rsidP="00A65744">
      <w:pPr>
        <w:pStyle w:val="Heading2"/>
        <w:rPr>
          <w:rtl/>
        </w:rPr>
      </w:pPr>
      <w:bookmarkStart w:id="5" w:name="_Toc433665557"/>
      <w:r>
        <w:rPr>
          <w:rFonts w:hint="cs"/>
          <w:rtl/>
        </w:rPr>
        <w:lastRenderedPageBreak/>
        <w:t>نکات متخذ از آیه نفر</w:t>
      </w:r>
      <w:bookmarkEnd w:id="5"/>
    </w:p>
    <w:p w:rsidR="001918F1" w:rsidRDefault="001918F1" w:rsidP="00A65744">
      <w:pPr>
        <w:pStyle w:val="Heading2"/>
        <w:rPr>
          <w:rtl/>
        </w:rPr>
      </w:pPr>
      <w:bookmarkStart w:id="6" w:name="_Toc433665558"/>
      <w:r>
        <w:rPr>
          <w:rFonts w:hint="cs"/>
          <w:rtl/>
        </w:rPr>
        <w:t>نکته اول</w:t>
      </w:r>
      <w:bookmarkEnd w:id="6"/>
    </w:p>
    <w:p w:rsidR="001918F1" w:rsidRDefault="001918F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اول در اینجا،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آیه شریفه فرموده است؛ لازم نیست مؤمنین همگی برای جهاد نفر کنند.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جمله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بفهماند که جهاد واجبی کفایی است.</w:t>
      </w:r>
    </w:p>
    <w:p w:rsidR="001918F1" w:rsidRDefault="001918F1" w:rsidP="00A65744">
      <w:pPr>
        <w:pStyle w:val="Heading2"/>
        <w:rPr>
          <w:rtl/>
        </w:rPr>
      </w:pPr>
      <w:bookmarkStart w:id="7" w:name="_Toc433665559"/>
      <w:r>
        <w:rPr>
          <w:rFonts w:hint="cs"/>
          <w:rtl/>
        </w:rPr>
        <w:t>احتمال اول</w:t>
      </w:r>
      <w:bookmarkEnd w:id="7"/>
    </w:p>
    <w:p w:rsidR="00BD1A81" w:rsidRDefault="001918F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بسیاری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جمله خبریه است که از در مقام انشاء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به‌کاررفته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مربوط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وجوب کفایی جهاد است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سیاق آیات سابق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مربوط به بحث جهاد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احتمال رفع وجوب عینی جهاد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918F1" w:rsidRDefault="001918F1" w:rsidP="00A65744">
      <w:pPr>
        <w:pStyle w:val="Heading2"/>
        <w:rPr>
          <w:rtl/>
        </w:rPr>
      </w:pPr>
      <w:bookmarkStart w:id="8" w:name="_Toc433665560"/>
      <w:r>
        <w:rPr>
          <w:rFonts w:hint="cs"/>
          <w:rtl/>
        </w:rPr>
        <w:t>احتمال دوم</w:t>
      </w:r>
      <w:bookmarkEnd w:id="8"/>
    </w:p>
    <w:p w:rsidR="00BD1A81" w:rsidRDefault="001918F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در اینجا احتمال دومی نیز وجود دارد که در اینجا بین جهاد و اجتهاد تزاحم وجود دارد و وجوب عینی رفع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شاید اظهر در اینجا همان رفع وجوب عینی و دلالت بر وجوب کفایی باشد.</w:t>
      </w:r>
    </w:p>
    <w:p w:rsidR="001918F1" w:rsidRDefault="001918F1" w:rsidP="00A65744">
      <w:pPr>
        <w:pStyle w:val="Heading2"/>
        <w:rPr>
          <w:rtl/>
        </w:rPr>
      </w:pPr>
      <w:bookmarkStart w:id="9" w:name="_Toc433665561"/>
      <w:r>
        <w:rPr>
          <w:rFonts w:hint="cs"/>
          <w:rtl/>
        </w:rPr>
        <w:t>نکته دوم</w:t>
      </w:r>
      <w:bookmarkEnd w:id="9"/>
    </w:p>
    <w:p w:rsidR="001918F1" w:rsidRDefault="001918F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دوم این است که بر اساس رفع وجوب عینی با حرف فاء تکلیف دیگری بر ذمه مکلفین گذاشته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فاء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دوم را تقویت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تکل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در اینجا همان وجوب تفقه اجتهاد در امر دین است.</w:t>
      </w:r>
    </w:p>
    <w:p w:rsidR="001918F1" w:rsidRDefault="001918F1" w:rsidP="00A65744">
      <w:pPr>
        <w:pStyle w:val="Heading2"/>
        <w:rPr>
          <w:rtl/>
        </w:rPr>
      </w:pPr>
      <w:bookmarkStart w:id="10" w:name="_Toc433665562"/>
      <w:r>
        <w:rPr>
          <w:rFonts w:hint="cs"/>
          <w:rtl/>
        </w:rPr>
        <w:t>نکته سوم</w:t>
      </w:r>
      <w:bookmarkEnd w:id="10"/>
    </w:p>
    <w:p w:rsidR="001918F1" w:rsidRDefault="001918F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سومی که واضح است و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لولا در اینجا حرف تحضیض است و ظهور در وجوب دارد.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برخی احتمال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قوت ظهور لولا در وجوب بیش از امر است چراکه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نوعی هشدار وجود دارد که شاید از امر فراتر باشد.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برخی احتمال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ضعیف‌تری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دادند که دلالت بر وجوب ندارد و تنها اشعار بر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داشت.</w:t>
      </w:r>
    </w:p>
    <w:p w:rsidR="001918F1" w:rsidRDefault="001918F1" w:rsidP="00A65744">
      <w:pPr>
        <w:pStyle w:val="Heading2"/>
        <w:rPr>
          <w:rtl/>
        </w:rPr>
      </w:pPr>
      <w:bookmarkStart w:id="11" w:name="_Toc433665563"/>
      <w:r>
        <w:rPr>
          <w:rFonts w:hint="cs"/>
          <w:rtl/>
        </w:rPr>
        <w:lastRenderedPageBreak/>
        <w:t>نکته چهارم</w:t>
      </w:r>
      <w:bookmarkEnd w:id="11"/>
    </w:p>
    <w:p w:rsidR="008C64D3" w:rsidRDefault="001918F1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دیگر این است که این آیه دلالت بر کفائیت این تکلیف دوم نیز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همانند آیات دیگری که چنین دلالتی را دارند.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کفایت در اینجا مدلول لفظ و عقل است.</w:t>
      </w:r>
    </w:p>
    <w:p w:rsidR="008C64D3" w:rsidRDefault="008C64D3" w:rsidP="00A65744">
      <w:pPr>
        <w:pStyle w:val="Heading2"/>
        <w:rPr>
          <w:rtl/>
        </w:rPr>
      </w:pPr>
      <w:bookmarkStart w:id="12" w:name="_Toc433665564"/>
      <w:r>
        <w:rPr>
          <w:rFonts w:hint="cs"/>
          <w:rtl/>
        </w:rPr>
        <w:t>اصل در اوامر</w:t>
      </w:r>
      <w:bookmarkEnd w:id="12"/>
    </w:p>
    <w:p w:rsidR="001918F1" w:rsidRDefault="008C64D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اصل در اوامر حمل بر وجوب عینی شدن است،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به قرائنی بر کفائیت حمل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قرینه گاهی حکم عقل است یا اینکه در خود لفظ اشعاری نسبت به این مطلب وجود دارد.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برخی موارد این دلالات با یکدیگر جمع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مواردی نیز از یکدیگر جدا هستند.</w:t>
      </w:r>
    </w:p>
    <w:p w:rsidR="008C64D3" w:rsidRDefault="00A15F52" w:rsidP="00A65744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8C64D3" w:rsidRDefault="008C64D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نحوی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کامل‌تر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گفت سه نوع قرینه در اینجا وجود دارد،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قرینه عقلیه،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لفظیه و گاهی نیز قرینه عقلائیه است که شاید در باب اجتهاد نیز بدین گونه باشد.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عقل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موردی است که حکم قاطع عقل است و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غ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معنا ندارد ولی عقلایی در مواردی است که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عرف عقلاء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بعید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C64D3" w:rsidRDefault="008C64D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همانند اینکه عقلاء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شارع به خاطر عسری که وجود دارد از همه مکلفین اجتهاد را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C64D3" w:rsidRDefault="008C64D3" w:rsidP="00A65744">
      <w:pPr>
        <w:pStyle w:val="Heading2"/>
        <w:rPr>
          <w:rtl/>
        </w:rPr>
      </w:pPr>
      <w:bookmarkStart w:id="13" w:name="_Toc433665566"/>
      <w:r>
        <w:rPr>
          <w:rFonts w:hint="cs"/>
          <w:rtl/>
        </w:rPr>
        <w:t>تنقیح بحث</w:t>
      </w:r>
      <w:bookmarkEnd w:id="13"/>
    </w:p>
    <w:p w:rsidR="008C64D3" w:rsidRDefault="008C64D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آ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شریفه به مدلول عقل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ی‌توانست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کفایت را تعین داد،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لفظی یا عرف عقلاست.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کفائیت در لفظ استفاده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هرچند که استفاده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سیره عقلائیه نیز امر بعیدی نیست.</w:t>
      </w:r>
    </w:p>
    <w:p w:rsidR="008C64D3" w:rsidRDefault="008C64D3" w:rsidP="00A65744">
      <w:pPr>
        <w:pStyle w:val="Heading2"/>
        <w:rPr>
          <w:rtl/>
        </w:rPr>
      </w:pPr>
      <w:bookmarkStart w:id="14" w:name="_Toc433665567"/>
      <w:r>
        <w:rPr>
          <w:rFonts w:hint="cs"/>
          <w:rtl/>
        </w:rPr>
        <w:t>نکته پنجم</w:t>
      </w:r>
      <w:bookmarkEnd w:id="14"/>
    </w:p>
    <w:p w:rsidR="008C64D3" w:rsidRDefault="008C64D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پنجم در اینجا این است که در کفایت در این مقام نکته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زائده‌ای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وجود دارد،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مراد از فرقة هر شهر است و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طایفه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گروهی از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آن‌هاست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کفائیت یک نفر یا یک گروه در کل مکلفین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به سبب شرایط مثل اینجا کفائیت متعدد وجود دارد.</w:t>
      </w:r>
    </w:p>
    <w:p w:rsidR="008C64D3" w:rsidRDefault="008C64D3" w:rsidP="00A65744">
      <w:pPr>
        <w:pStyle w:val="Heading2"/>
        <w:rPr>
          <w:rtl/>
        </w:rPr>
      </w:pPr>
      <w:bookmarkStart w:id="15" w:name="_Toc433665568"/>
      <w:r>
        <w:rPr>
          <w:rFonts w:hint="cs"/>
          <w:rtl/>
        </w:rPr>
        <w:lastRenderedPageBreak/>
        <w:t>دلالت آیه در این مقام</w:t>
      </w:r>
      <w:bookmarkEnd w:id="15"/>
    </w:p>
    <w:p w:rsidR="008C64D3" w:rsidRDefault="008C64D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ظاهر آیه شریفه این حالت دوم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نوع از کفائیت چندان موضوعیتی ندارد و ممکن است درگذر زمان در پی تحولات در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ش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یوه‌های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تفقه و انذار نیازی به مجتهد در همان منطقه نباشد بلکه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مثلاً از طریق رسانه صورت پذیرد.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روح کفائیت در اینجا نیز کفائیت در کل است ولو اینکه ظاهر متعددی دارد.</w:t>
      </w:r>
    </w:p>
    <w:p w:rsidR="008C64D3" w:rsidRDefault="008C64D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هرچند آیه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در قبال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قسم دوم تنوع نیاز را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="00FE6BE3">
        <w:rPr>
          <w:rFonts w:ascii="IRBadr" w:hAnsi="IRBadr" w:cs="IRBadr" w:hint="cs"/>
          <w:sz w:val="28"/>
          <w:szCs w:val="28"/>
          <w:rtl/>
          <w:lang w:bidi="fa-IR"/>
        </w:rPr>
        <w:t xml:space="preserve"> مرجعیت سیر تفرق از تجمع را پذیرفته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FE6BE3">
        <w:rPr>
          <w:rFonts w:ascii="IRBadr" w:hAnsi="IRBadr" w:cs="IRBadr" w:hint="cs"/>
          <w:sz w:val="28"/>
          <w:szCs w:val="28"/>
          <w:rtl/>
          <w:lang w:bidi="fa-IR"/>
        </w:rPr>
        <w:t xml:space="preserve"> با صعوبت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رفت‌وآمد</w:t>
      </w:r>
      <w:r w:rsidR="00FE6BE3">
        <w:rPr>
          <w:rFonts w:ascii="IRBadr" w:hAnsi="IRBadr" w:cs="IRBadr" w:hint="cs"/>
          <w:sz w:val="28"/>
          <w:szCs w:val="28"/>
          <w:rtl/>
          <w:lang w:bidi="fa-IR"/>
        </w:rPr>
        <w:t xml:space="preserve"> در بلاد نیاز به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مرجع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="00FE6BE3">
        <w:rPr>
          <w:rFonts w:ascii="IRBadr" w:hAnsi="IRBadr" w:cs="IRBadr" w:hint="cs"/>
          <w:sz w:val="28"/>
          <w:szCs w:val="28"/>
          <w:rtl/>
          <w:lang w:bidi="fa-IR"/>
        </w:rPr>
        <w:t xml:space="preserve"> متعددی بوده است.</w:t>
      </w:r>
    </w:p>
    <w:p w:rsidR="00FE6BE3" w:rsidRDefault="00FE6BE3" w:rsidP="00A65744">
      <w:pPr>
        <w:pStyle w:val="Heading2"/>
        <w:rPr>
          <w:rtl/>
        </w:rPr>
      </w:pPr>
      <w:bookmarkStart w:id="16" w:name="_Toc433665569"/>
      <w:r>
        <w:rPr>
          <w:rFonts w:hint="cs"/>
          <w:rtl/>
        </w:rPr>
        <w:t>نکته ششم</w:t>
      </w:r>
      <w:bookmarkEnd w:id="16"/>
    </w:p>
    <w:p w:rsidR="00FE6BE3" w:rsidRDefault="00FE6BE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بعد این است که تکلیف در اینجا روی نفر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واقع‌شده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/>
          <w:sz w:val="28"/>
          <w:szCs w:val="28"/>
          <w:rtl/>
          <w:lang w:bidi="fa-IR"/>
        </w:rPr>
        <w:t>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قرآن هم تعبیر نفر و هم تعبیر هجرت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روشن است که این مهاجرت نفسیت نداشته و دارای مقدمیت است.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ظهور امر در نفسیت بود،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قرینه بر مقدمیت وجود دارد که نفر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مقدمه برای تفقه مورد تأکید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FE6BE3" w:rsidRDefault="00FE6BE3" w:rsidP="00A65744">
      <w:pPr>
        <w:pStyle w:val="Heading2"/>
        <w:rPr>
          <w:rtl/>
        </w:rPr>
      </w:pPr>
      <w:bookmarkStart w:id="17" w:name="_Toc433665570"/>
      <w:r>
        <w:rPr>
          <w:rFonts w:hint="cs"/>
          <w:rtl/>
        </w:rPr>
        <w:t>نکته هفتم</w:t>
      </w:r>
      <w:bookmarkEnd w:id="17"/>
    </w:p>
    <w:p w:rsidR="00FE6BE3" w:rsidRDefault="00FE6BE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اینکه این نهی شرعی یا ارشادی است، چندان منوط به بحث وجوب مقدمه نیست چراکه در اینجا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درهرحال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ارشادی است.</w:t>
      </w:r>
    </w:p>
    <w:p w:rsidR="00FE6BE3" w:rsidRDefault="00FE6BE3" w:rsidP="00A65744">
      <w:pPr>
        <w:pStyle w:val="Heading2"/>
        <w:rPr>
          <w:rtl/>
        </w:rPr>
      </w:pPr>
      <w:bookmarkStart w:id="18" w:name="_Toc433665571"/>
      <w:r>
        <w:rPr>
          <w:rFonts w:hint="cs"/>
          <w:rtl/>
        </w:rPr>
        <w:t>نکته هشتم</w:t>
      </w:r>
      <w:bookmarkEnd w:id="18"/>
    </w:p>
    <w:p w:rsidR="00FE6BE3" w:rsidRDefault="00FE6BE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همین‌جا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معلوم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نفر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مادامی‌که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مقدمه است دارای ارزش است اما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درگذر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به تفاوت احوال ممکن است از این حالت ساقط شود مانند کسی که در قم </w:t>
      </w:r>
      <w:r w:rsidR="00A15F52">
        <w:rPr>
          <w:rFonts w:ascii="IRBadr" w:hAnsi="IRBadr" w:cs="IRBadr" w:hint="cs"/>
          <w:sz w:val="28"/>
          <w:szCs w:val="28"/>
          <w:rtl/>
          <w:lang w:bidi="fa-IR"/>
        </w:rPr>
        <w:t>متولدشده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درس خود را در اینجا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ی‌گذراند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قطعاً مفهوم نفر در این مورد صادق نیست.</w:t>
      </w:r>
    </w:p>
    <w:p w:rsidR="00FE6BE3" w:rsidRDefault="00FE6BE3" w:rsidP="00A65744">
      <w:pPr>
        <w:pStyle w:val="Heading2"/>
        <w:rPr>
          <w:rtl/>
        </w:rPr>
      </w:pPr>
      <w:bookmarkStart w:id="19" w:name="_Toc433665572"/>
      <w:r>
        <w:rPr>
          <w:rFonts w:hint="cs"/>
          <w:rtl/>
        </w:rPr>
        <w:lastRenderedPageBreak/>
        <w:t>انواع مقدمات</w:t>
      </w:r>
      <w:bookmarkEnd w:id="19"/>
    </w:p>
    <w:p w:rsidR="00FE6BE3" w:rsidRDefault="00FE6BE3" w:rsidP="00A657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مقدمات بر سه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قسم‌اند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مقدمات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عقلیه دائمیه،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مقدمات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شرعیه دائمیه و مقدماتی که بر اساس شرایط و احوال و اقتضاءات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دستخوش تغییرات 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>م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A65744">
        <w:rPr>
          <w:rFonts w:ascii="IRBadr" w:hAnsi="IRBadr" w:cs="IRBadr" w:hint="cs"/>
          <w:sz w:val="28"/>
          <w:szCs w:val="28"/>
          <w:rtl/>
          <w:lang w:bidi="fa-IR"/>
        </w:rPr>
        <w:t xml:space="preserve"> اگر در شهر خود بتواند مثلاً بتواند با مرکزی مجازی به اجتهاد برسد،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544811">
        <w:rPr>
          <w:rFonts w:ascii="IRBadr" w:hAnsi="IRBadr" w:cs="IRBadr" w:hint="cs"/>
          <w:sz w:val="28"/>
          <w:szCs w:val="28"/>
          <w:rtl/>
          <w:lang w:bidi="fa-IR"/>
        </w:rPr>
        <w:t>یگر</w:t>
      </w:r>
      <w:r w:rsidR="00A65744">
        <w:rPr>
          <w:rFonts w:ascii="IRBadr" w:hAnsi="IRBadr" w:cs="IRBadr" w:hint="cs"/>
          <w:sz w:val="28"/>
          <w:szCs w:val="28"/>
          <w:rtl/>
          <w:lang w:bidi="fa-IR"/>
        </w:rPr>
        <w:t xml:space="preserve"> نفری لازم نیست.</w:t>
      </w:r>
      <w:r w:rsidR="005448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5F52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A65744">
        <w:rPr>
          <w:rFonts w:ascii="IRBadr" w:hAnsi="IRBadr" w:cs="IRBadr" w:hint="cs"/>
          <w:sz w:val="28"/>
          <w:szCs w:val="28"/>
          <w:rtl/>
          <w:lang w:bidi="fa-IR"/>
        </w:rPr>
        <w:t xml:space="preserve"> نفر از قسم سوم خواهد بود.</w:t>
      </w:r>
    </w:p>
    <w:p w:rsidR="008C64D3" w:rsidRPr="00BD1A81" w:rsidRDefault="008C64D3" w:rsidP="008C64D3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8C64D3" w:rsidRPr="00BD1A81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7A" w:rsidRDefault="004C367A" w:rsidP="000D5800">
      <w:pPr>
        <w:spacing w:after="0" w:line="240" w:lineRule="auto"/>
      </w:pPr>
      <w:r>
        <w:separator/>
      </w:r>
    </w:p>
  </w:endnote>
  <w:endnote w:type="continuationSeparator" w:id="0">
    <w:p w:rsidR="004C367A" w:rsidRDefault="004C367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11" w:rsidRDefault="00544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11" w:rsidRDefault="00544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11" w:rsidRDefault="00544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7A" w:rsidRDefault="004C367A" w:rsidP="000D5800">
      <w:pPr>
        <w:spacing w:after="0" w:line="240" w:lineRule="auto"/>
      </w:pPr>
      <w:r>
        <w:separator/>
      </w:r>
    </w:p>
  </w:footnote>
  <w:footnote w:type="continuationSeparator" w:id="0">
    <w:p w:rsidR="004C367A" w:rsidRDefault="004C367A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11" w:rsidRDefault="00544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D1A81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AE57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D1A81">
      <w:rPr>
        <w:rFonts w:ascii="IranNastaliq" w:hAnsi="IranNastaliq" w:cs="IranNastaliq" w:hint="cs"/>
        <w:sz w:val="40"/>
        <w:szCs w:val="40"/>
        <w:rtl/>
        <w:lang w:bidi="fa-IR"/>
      </w:rPr>
      <w:t>4652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11" w:rsidRDefault="0054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B2195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18F1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2F131C"/>
    <w:rsid w:val="003027A8"/>
    <w:rsid w:val="00303DB6"/>
    <w:rsid w:val="00340BA3"/>
    <w:rsid w:val="00366400"/>
    <w:rsid w:val="00392E9A"/>
    <w:rsid w:val="00396F28"/>
    <w:rsid w:val="0039750A"/>
    <w:rsid w:val="00397E47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C367A"/>
    <w:rsid w:val="004E7830"/>
    <w:rsid w:val="004F3596"/>
    <w:rsid w:val="00544811"/>
    <w:rsid w:val="00572680"/>
    <w:rsid w:val="00572E2D"/>
    <w:rsid w:val="00577CB0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43C04"/>
    <w:rsid w:val="00752745"/>
    <w:rsid w:val="0076665E"/>
    <w:rsid w:val="0077367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C64D3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196C"/>
    <w:rsid w:val="009B61C3"/>
    <w:rsid w:val="009C7B4F"/>
    <w:rsid w:val="009E4228"/>
    <w:rsid w:val="009E577C"/>
    <w:rsid w:val="009E588F"/>
    <w:rsid w:val="009F4EB3"/>
    <w:rsid w:val="00A04E98"/>
    <w:rsid w:val="00A06D48"/>
    <w:rsid w:val="00A15F52"/>
    <w:rsid w:val="00A21834"/>
    <w:rsid w:val="00A31C17"/>
    <w:rsid w:val="00A31FDE"/>
    <w:rsid w:val="00A35AC2"/>
    <w:rsid w:val="00A37C77"/>
    <w:rsid w:val="00A5418D"/>
    <w:rsid w:val="00A65744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1A81"/>
    <w:rsid w:val="00BD3122"/>
    <w:rsid w:val="00BD40DA"/>
    <w:rsid w:val="00BD4AF6"/>
    <w:rsid w:val="00C05FBC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70A2-0B10-4DAE-B7B6-90E20AE5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809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55</cp:revision>
  <dcterms:created xsi:type="dcterms:W3CDTF">2014-11-18T06:47:00Z</dcterms:created>
  <dcterms:modified xsi:type="dcterms:W3CDTF">2015-10-27T17:31:00Z</dcterms:modified>
</cp:coreProperties>
</file>