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CB" w:rsidRPr="00B56FCB" w:rsidRDefault="0082238F" w:rsidP="00B56FCB">
      <w:pPr>
        <w:bidi/>
        <w:spacing w:line="360" w:lineRule="auto"/>
        <w:jc w:val="both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BC1C6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B56FCB" w:rsidRPr="00B56FCB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B56FCB" w:rsidRPr="00B56FC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B56FCB" w:rsidRPr="00B56FCB">
        <w:rPr>
          <w:rFonts w:ascii="IRBadr" w:hAnsi="IRBadr" w:cs="IRBadr"/>
          <w:sz w:val="28"/>
          <w:szCs w:val="28"/>
          <w:lang w:bidi="fa-IR"/>
        </w:rPr>
        <w:instrText>TOC</w:instrText>
      </w:r>
      <w:r w:rsidR="00B56FCB" w:rsidRPr="00B56FCB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B56FCB" w:rsidRPr="00B56FCB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B56FCB" w:rsidRPr="00B56FCB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B56FCB" w:rsidRPr="00B56FCB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B56FCB" w:rsidRPr="00B56FCB" w:rsidRDefault="00B56FCB" w:rsidP="00B56FC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79" w:history="1">
        <w:r w:rsidRPr="00B56FCB">
          <w:rPr>
            <w:rStyle w:val="Hyperlink"/>
            <w:rFonts w:ascii="IRBadr" w:hAnsi="IRBadr" w:cs="IRBadr"/>
            <w:noProof/>
            <w:rtl/>
          </w:rPr>
          <w:t>استدلال به آیه نفر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_Toc433904079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2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0" w:history="1">
        <w:r w:rsidRPr="00B56FCB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_Toc433904080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2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1" w:history="1">
        <w:r w:rsidRPr="00B56FCB">
          <w:rPr>
            <w:rStyle w:val="Hyperlink"/>
            <w:rFonts w:ascii="IRBadr" w:hAnsi="IRBadr" w:cs="IRBadr"/>
            <w:noProof/>
            <w:rtl/>
          </w:rPr>
          <w:t>احتمالات در مراد از تفقه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_Toc433904081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2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2" w:history="1">
        <w:r w:rsidRPr="00B56FCB">
          <w:rPr>
            <w:rStyle w:val="Hyperlink"/>
            <w:rFonts w:ascii="IRBadr" w:hAnsi="IRBadr" w:cs="IRBadr"/>
            <w:noProof/>
            <w:rtl/>
          </w:rPr>
          <w:t>نظریه مشهور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_Toc433904082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2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3" w:history="1">
        <w:r w:rsidRPr="00B56FCB">
          <w:rPr>
            <w:rStyle w:val="Hyperlink"/>
            <w:rFonts w:ascii="IRBadr" w:hAnsi="IRBadr" w:cs="IRBadr"/>
            <w:noProof/>
            <w:rtl/>
          </w:rPr>
          <w:t>احتمال تعمیم در معنای فقه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_Toc433904083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2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4" w:history="1">
        <w:r w:rsidRPr="00B56FCB">
          <w:rPr>
            <w:rStyle w:val="Hyperlink"/>
            <w:rFonts w:ascii="IRBadr" w:hAnsi="IRBadr" w:cs="IRBadr"/>
            <w:noProof/>
            <w:rtl/>
          </w:rPr>
          <w:t>معنی انذار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_Toc433904084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2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5" w:history="1">
        <w:r w:rsidRPr="00B56FCB">
          <w:rPr>
            <w:rStyle w:val="Hyperlink"/>
            <w:rFonts w:ascii="IRBadr" w:hAnsi="IRBadr" w:cs="IRBadr"/>
            <w:noProof/>
            <w:rtl/>
          </w:rPr>
          <w:t>استدراک از بحث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_Toc433904085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3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6" w:history="1">
        <w:r w:rsidRPr="00B56FCB">
          <w:rPr>
            <w:rStyle w:val="Hyperlink"/>
            <w:rFonts w:ascii="IRBadr" w:hAnsi="IRBadr" w:cs="IRBadr"/>
            <w:noProof/>
            <w:rtl/>
          </w:rPr>
          <w:t>تعمیم معنی در انذار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_Toc433904086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3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7" w:history="1">
        <w:r w:rsidRPr="00B56FCB">
          <w:rPr>
            <w:rStyle w:val="Hyperlink"/>
            <w:rFonts w:ascii="IRBadr" w:hAnsi="IRBadr" w:cs="IRBadr"/>
            <w:noProof/>
            <w:rtl/>
          </w:rPr>
          <w:t>علیت بحث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_Toc433904087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3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8" w:history="1">
        <w:r w:rsidRPr="00B56FCB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_Toc433904088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3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89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_Toc433904089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3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90" w:history="1">
        <w:r w:rsidRPr="00B56FCB">
          <w:rPr>
            <w:rStyle w:val="Hyperlink"/>
            <w:rFonts w:ascii="IRBadr" w:hAnsi="IRBadr" w:cs="IRBadr"/>
            <w:noProof/>
            <w:rtl/>
          </w:rPr>
          <w:t>فرض عدم استفاده مخاطب در قبال مدلول عقلی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_Toc433904090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4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91" w:history="1">
        <w:r w:rsidRPr="00B56FCB">
          <w:rPr>
            <w:rStyle w:val="Hyperlink"/>
            <w:rFonts w:ascii="IRBadr" w:hAnsi="IRBadr" w:cs="IRBadr"/>
            <w:noProof/>
            <w:rtl/>
          </w:rPr>
          <w:t>احتمال چهارم در بحث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_Toc433904091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4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92" w:history="1">
        <w:r w:rsidRPr="00B56FCB">
          <w:rPr>
            <w:rStyle w:val="Hyperlink"/>
            <w:rFonts w:ascii="IRBadr" w:hAnsi="IRBadr" w:cs="IRBadr"/>
            <w:noProof/>
            <w:rtl/>
          </w:rPr>
          <w:t>متعلق انذار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_Toc433904092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4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93" w:history="1">
        <w:r>
          <w:rPr>
            <w:rStyle w:val="Hyperlink"/>
            <w:rFonts w:ascii="IRBadr" w:hAnsi="IRBadr" w:cs="IRBadr"/>
            <w:noProof/>
            <w:rtl/>
          </w:rPr>
          <w:t>شبهه‌ای</w:t>
        </w:r>
        <w:r w:rsidRPr="00B56FCB">
          <w:rPr>
            <w:rStyle w:val="Hyperlink"/>
            <w:rFonts w:ascii="IRBadr" w:hAnsi="IRBadr" w:cs="IRBadr"/>
            <w:noProof/>
            <w:rtl/>
          </w:rPr>
          <w:t xml:space="preserve"> در این مقام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_Toc433904093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4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94" w:history="1">
        <w:r w:rsidRPr="00B56FCB">
          <w:rPr>
            <w:rStyle w:val="Hyperlink"/>
            <w:rFonts w:ascii="IRBadr" w:hAnsi="IRBadr" w:cs="IRBadr"/>
            <w:noProof/>
            <w:rtl/>
          </w:rPr>
          <w:t>پاسخ از شبهه فوق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_Toc433904094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4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95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_Toc433904095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5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Pr="00B56FCB" w:rsidRDefault="00B56FCB" w:rsidP="00B56FCB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096" w:history="1">
        <w:r w:rsidRPr="00B56FCB">
          <w:rPr>
            <w:rStyle w:val="Hyperlink"/>
            <w:rFonts w:ascii="IRBadr" w:hAnsi="IRBadr" w:cs="IRBadr"/>
            <w:noProof/>
            <w:rtl/>
          </w:rPr>
          <w:t>استدراک از بحث</w:t>
        </w:r>
        <w:r w:rsidRPr="00B56FCB">
          <w:rPr>
            <w:rFonts w:ascii="IRBadr" w:hAnsi="IRBadr" w:cs="IRBadr"/>
            <w:noProof/>
            <w:webHidden/>
          </w:rPr>
          <w:tab/>
        </w:r>
        <w:r w:rsidRPr="00B56FCB">
          <w:rPr>
            <w:rFonts w:ascii="IRBadr" w:hAnsi="IRBadr" w:cs="IRBadr"/>
            <w:noProof/>
            <w:webHidden/>
          </w:rPr>
          <w:fldChar w:fldCharType="begin"/>
        </w:r>
        <w:r w:rsidRPr="00B56FCB">
          <w:rPr>
            <w:rFonts w:ascii="IRBadr" w:hAnsi="IRBadr" w:cs="IRBadr"/>
            <w:noProof/>
            <w:webHidden/>
          </w:rPr>
          <w:instrText xml:space="preserve"> PAGEREF _Toc433904096 \h </w:instrText>
        </w:r>
        <w:r w:rsidRPr="00B56FCB">
          <w:rPr>
            <w:rFonts w:ascii="IRBadr" w:hAnsi="IRBadr" w:cs="IRBadr"/>
            <w:noProof/>
            <w:webHidden/>
          </w:rPr>
        </w:r>
        <w:r w:rsidRPr="00B56FCB">
          <w:rPr>
            <w:rFonts w:ascii="IRBadr" w:hAnsi="IRBadr" w:cs="IRBadr"/>
            <w:noProof/>
            <w:webHidden/>
          </w:rPr>
          <w:fldChar w:fldCharType="separate"/>
        </w:r>
        <w:r w:rsidRPr="00B56FCB">
          <w:rPr>
            <w:rFonts w:ascii="IRBadr" w:hAnsi="IRBadr" w:cs="IRBadr"/>
            <w:noProof/>
            <w:webHidden/>
          </w:rPr>
          <w:t>5</w:t>
        </w:r>
        <w:r w:rsidRPr="00B56FCB">
          <w:rPr>
            <w:rFonts w:ascii="IRBadr" w:hAnsi="IRBadr" w:cs="IRBadr"/>
            <w:noProof/>
            <w:webHidden/>
          </w:rPr>
          <w:fldChar w:fldCharType="end"/>
        </w:r>
      </w:hyperlink>
    </w:p>
    <w:p w:rsidR="00B56FCB" w:rsidRDefault="00B56FCB" w:rsidP="00B56FC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56FCB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B56FCB" w:rsidRDefault="00B56FCB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77600" w:rsidRDefault="00477600" w:rsidP="00477600">
      <w:pPr>
        <w:pStyle w:val="Heading1"/>
        <w:rPr>
          <w:rFonts w:hint="cs"/>
          <w:rtl/>
        </w:rPr>
      </w:pPr>
      <w:bookmarkStart w:id="1" w:name="_Toc433904079"/>
      <w:r>
        <w:rPr>
          <w:rFonts w:hint="cs"/>
          <w:rtl/>
        </w:rPr>
        <w:lastRenderedPageBreak/>
        <w:t>استدلال به آیه نفر</w:t>
      </w:r>
      <w:bookmarkEnd w:id="1"/>
    </w:p>
    <w:p w:rsidR="00477600" w:rsidRDefault="00477600" w:rsidP="00477600">
      <w:pPr>
        <w:pStyle w:val="Heading1"/>
        <w:rPr>
          <w:rtl/>
        </w:rPr>
      </w:pPr>
      <w:bookmarkStart w:id="2" w:name="_Toc433904080"/>
      <w:r>
        <w:rPr>
          <w:rFonts w:hint="cs"/>
          <w:rtl/>
        </w:rPr>
        <w:t>مرور بحث گذشته</w:t>
      </w:r>
      <w:bookmarkEnd w:id="2"/>
    </w:p>
    <w:p w:rsidR="00BE469E" w:rsidRDefault="008E72E9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 ادله جواز تقلید بود،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 یک از فروع آینده تعیین تکلیف حدود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متوقف بر این امور است.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ابتدا دلیل عقلایی،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س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عقلاء و متشرعه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 تا اینکه به آیات رسیدیم و اولین آیه در این میان آیه نفر بود.</w:t>
      </w:r>
    </w:p>
    <w:p w:rsidR="00477600" w:rsidRDefault="00477600" w:rsidP="00477600">
      <w:pPr>
        <w:pStyle w:val="Heading2"/>
        <w:rPr>
          <w:rFonts w:hint="cs"/>
          <w:rtl/>
        </w:rPr>
      </w:pPr>
      <w:bookmarkStart w:id="3" w:name="_Toc433904081"/>
      <w:r>
        <w:rPr>
          <w:rFonts w:hint="cs"/>
          <w:rtl/>
        </w:rPr>
        <w:t>احتمالات در مراد از تفقه</w:t>
      </w:r>
      <w:bookmarkEnd w:id="3"/>
    </w:p>
    <w:p w:rsidR="00477600" w:rsidRDefault="00477600" w:rsidP="00477600">
      <w:pPr>
        <w:pStyle w:val="Heading2"/>
        <w:rPr>
          <w:rtl/>
        </w:rPr>
      </w:pPr>
      <w:bookmarkStart w:id="4" w:name="_Toc433904082"/>
      <w:r>
        <w:rPr>
          <w:rFonts w:hint="cs"/>
          <w:rtl/>
        </w:rPr>
        <w:t>نظریه مشهور</w:t>
      </w:r>
      <w:bookmarkEnd w:id="4"/>
    </w:p>
    <w:p w:rsidR="008E72E9" w:rsidRDefault="008E72E9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آخرین نکته این بود که در اینجا طبق نظر مشهور مقصود از تفقه همان اجتهاد است،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پس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داده شد،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مراد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فهم صحیح از احکام است،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فهم مجتهدانه مراد نبود بلکه مراد فهمی بود که بتواند دیگران را انذار دهد.</w:t>
      </w:r>
    </w:p>
    <w:p w:rsidR="00477600" w:rsidRDefault="00477600" w:rsidP="00477600">
      <w:pPr>
        <w:pStyle w:val="Heading2"/>
        <w:rPr>
          <w:rtl/>
        </w:rPr>
      </w:pPr>
      <w:bookmarkStart w:id="5" w:name="_Toc433904083"/>
      <w:r>
        <w:rPr>
          <w:rFonts w:hint="cs"/>
          <w:rtl/>
        </w:rPr>
        <w:t>احتمال تعمیم در معنای فقه</w:t>
      </w:r>
      <w:bookmarkEnd w:id="5"/>
    </w:p>
    <w:p w:rsidR="008E72E9" w:rsidRDefault="008E72E9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سابقاً ما احتمال دوم را ترجیح دادیم.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سومی وجود دارد که همه مدارج را دربر گیرد و همه را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به‌تناسب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کفایی واجب کند.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بد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معنی که وجوب تفقه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کفایی محفوظ است اما در مواردی که انذار بر اجتهاد متوقف است،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اجتهاد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واجب است.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سایر موارد فهم عمومی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پیدا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77600" w:rsidRDefault="008E72E9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نکته مهمی بود که در جلسه قبل ذکر شد.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بعض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ادله‌ای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حال بررسی اس</w:t>
      </w:r>
      <w:r w:rsidR="00477600">
        <w:rPr>
          <w:rFonts w:ascii="IRBadr" w:hAnsi="IRBadr" w:cs="IRBadr" w:hint="cs"/>
          <w:sz w:val="28"/>
          <w:szCs w:val="28"/>
          <w:rtl/>
          <w:lang w:bidi="fa-IR"/>
        </w:rPr>
        <w:t xml:space="preserve">ت تنها جواز را افاده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477600">
        <w:rPr>
          <w:rFonts w:ascii="IRBadr" w:hAnsi="IRBadr" w:cs="IRBadr" w:hint="cs"/>
          <w:sz w:val="28"/>
          <w:szCs w:val="28"/>
          <w:rtl/>
          <w:lang w:bidi="fa-IR"/>
        </w:rPr>
        <w:t xml:space="preserve"> و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جوب را به انضمام علم اجمالی استفاده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وجوب را به نحو مستقیم ارائه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77600" w:rsidRDefault="00477600" w:rsidP="00477600">
      <w:pPr>
        <w:pStyle w:val="Heading2"/>
        <w:rPr>
          <w:rtl/>
        </w:rPr>
      </w:pPr>
      <w:bookmarkStart w:id="6" w:name="_Toc433904084"/>
      <w:r>
        <w:rPr>
          <w:rFonts w:hint="cs"/>
          <w:rtl/>
        </w:rPr>
        <w:t>معنی انذار</w:t>
      </w:r>
      <w:bookmarkEnd w:id="6"/>
    </w:p>
    <w:p w:rsidR="00BE469E" w:rsidRDefault="008E72E9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نکات دیگر این است که انذار در آیه شریفه است،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لغت در باب انذار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به معنی خبر موجد اخواف و تخویف است.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اخبار به جنگ و امثال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F17F3">
        <w:rPr>
          <w:rFonts w:ascii="IRBadr" w:hAnsi="IRBadr" w:cs="IRBadr" w:hint="cs"/>
          <w:sz w:val="28"/>
          <w:szCs w:val="28"/>
          <w:rtl/>
          <w:lang w:bidi="fa-IR"/>
        </w:rPr>
        <w:t xml:space="preserve"> اینجا در قبال انذار در آیه شریفه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 w:rsidR="00FF17F3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اعم از تخویف به نحو مطابقی است که غالب آیات قرآن در مقام بیان یک حکم الهی در اطراف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FF17F3">
        <w:rPr>
          <w:rFonts w:ascii="IRBadr" w:hAnsi="IRBadr" w:cs="IRBadr" w:hint="cs"/>
          <w:sz w:val="28"/>
          <w:szCs w:val="28"/>
          <w:rtl/>
          <w:lang w:bidi="fa-IR"/>
        </w:rPr>
        <w:t xml:space="preserve"> در مقام بیان آثار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FF17F3">
        <w:rPr>
          <w:rFonts w:ascii="IRBadr" w:hAnsi="IRBadr" w:cs="IRBadr" w:hint="cs"/>
          <w:sz w:val="28"/>
          <w:szCs w:val="28"/>
          <w:rtl/>
          <w:lang w:bidi="fa-IR"/>
        </w:rPr>
        <w:t xml:space="preserve"> است و اعم از حالت التزامی است.</w:t>
      </w:r>
    </w:p>
    <w:p w:rsidR="00477600" w:rsidRDefault="00477600" w:rsidP="00477600">
      <w:pPr>
        <w:pStyle w:val="Heading2"/>
        <w:rPr>
          <w:rtl/>
        </w:rPr>
      </w:pPr>
      <w:bookmarkStart w:id="7" w:name="_Toc433904085"/>
      <w:r>
        <w:rPr>
          <w:rFonts w:hint="cs"/>
          <w:rtl/>
        </w:rPr>
        <w:lastRenderedPageBreak/>
        <w:t>استدراک از بحث</w:t>
      </w:r>
      <w:bookmarkEnd w:id="7"/>
    </w:p>
    <w:p w:rsidR="00FF17F3" w:rsidRDefault="00FF17F3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در اینجا بعید نیست که انذار هر دو را دربر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 دو صورت در آیات شریفه وجود دارد و حالت بیان به نحو لزوم بین باز به انذار نامیده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77600" w:rsidRDefault="00477600" w:rsidP="00477600">
      <w:pPr>
        <w:pStyle w:val="Heading2"/>
        <w:rPr>
          <w:rtl/>
        </w:rPr>
      </w:pPr>
      <w:bookmarkStart w:id="8" w:name="_Toc433904086"/>
      <w:r>
        <w:rPr>
          <w:rFonts w:hint="cs"/>
          <w:rtl/>
        </w:rPr>
        <w:t>تعمیم معنی در انذار</w:t>
      </w:r>
      <w:bookmarkEnd w:id="8"/>
    </w:p>
    <w:p w:rsidR="00BE469E" w:rsidRDefault="00FF17F3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بلکه به نحو مدلول عقلی را دربر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ممکن است حکم به نحو بین اعم یا اخص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تخویفی استفاده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مجتهد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بهره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انذار در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آ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شریفه اعم از سه حالت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BE469E" w:rsidRDefault="00FF17F3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ثانیاً اگر کسی قائل شود که واژه انذار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صادق است که تخویف به نحو مدلول مطابقی یا لفظی است که عقلی را شامل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 در این حالت وجه دوم برای شمول تنقیح مناط است</w:t>
      </w:r>
      <w:r w:rsidR="00BE469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77600" w:rsidRDefault="00477600" w:rsidP="00477600">
      <w:pPr>
        <w:pStyle w:val="Heading2"/>
        <w:rPr>
          <w:rFonts w:hint="cs"/>
          <w:rtl/>
        </w:rPr>
      </w:pPr>
      <w:bookmarkStart w:id="9" w:name="_Toc433904087"/>
      <w:r>
        <w:rPr>
          <w:rFonts w:hint="cs"/>
          <w:rtl/>
        </w:rPr>
        <w:t>علیت بحث</w:t>
      </w:r>
      <w:bookmarkEnd w:id="9"/>
    </w:p>
    <w:p w:rsidR="00FF17F3" w:rsidRDefault="00FF17F3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چراکه سیاق آیه اقتضاء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نکته اصلی انتقال حکم الهی است.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لزومی ندارد مدلول به نحو مدلول مطابقی یا حتی التزامی باشد و به نظر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همین مقدار کافی است.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نیز ادعا نکرده است که لسان انذاری باید به نحو تصریحی باشد.</w:t>
      </w:r>
    </w:p>
    <w:p w:rsidR="00477600" w:rsidRDefault="00477600" w:rsidP="00477600">
      <w:pPr>
        <w:pStyle w:val="Heading2"/>
        <w:rPr>
          <w:rtl/>
        </w:rPr>
      </w:pPr>
      <w:bookmarkStart w:id="10" w:name="_Toc433904088"/>
      <w:r>
        <w:rPr>
          <w:rFonts w:hint="cs"/>
          <w:rtl/>
        </w:rPr>
        <w:t>تشریح مسأله</w:t>
      </w:r>
      <w:bookmarkEnd w:id="10"/>
    </w:p>
    <w:p w:rsidR="00477600" w:rsidRDefault="00B56FCB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به‌عبارت‌دیگر</w:t>
      </w:r>
      <w:r w:rsidR="00BE469E">
        <w:rPr>
          <w:rFonts w:ascii="IRBadr" w:hAnsi="IRBadr" w:cs="IRBadr" w:hint="cs"/>
          <w:sz w:val="28"/>
          <w:szCs w:val="28"/>
          <w:rtl/>
          <w:lang w:bidi="fa-IR"/>
        </w:rPr>
        <w:t xml:space="preserve"> در لغت </w:t>
      </w:r>
      <w:r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 w:rsidR="00BE469E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انذار یعنی اخبار به همراه تخویف که </w:t>
      </w:r>
      <w:r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 w:rsidR="00BE469E">
        <w:rPr>
          <w:rFonts w:ascii="IRBadr" w:hAnsi="IRBadr" w:cs="IRBadr" w:hint="cs"/>
          <w:sz w:val="28"/>
          <w:szCs w:val="28"/>
          <w:rtl/>
          <w:lang w:bidi="fa-IR"/>
        </w:rPr>
        <w:t xml:space="preserve"> نوع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BE469E">
        <w:rPr>
          <w:rFonts w:ascii="IRBadr" w:hAnsi="IRBadr" w:cs="IRBadr" w:hint="cs"/>
          <w:sz w:val="28"/>
          <w:szCs w:val="28"/>
          <w:rtl/>
          <w:lang w:bidi="fa-IR"/>
        </w:rPr>
        <w:t xml:space="preserve"> سه احتمال وجود دارد؛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مصرح</w:t>
      </w:r>
      <w:r w:rsidR="00BE469E">
        <w:rPr>
          <w:rFonts w:ascii="IRBadr" w:hAnsi="IRBadr" w:cs="IRBadr" w:hint="cs"/>
          <w:sz w:val="28"/>
          <w:szCs w:val="28"/>
          <w:rtl/>
          <w:lang w:bidi="fa-IR"/>
        </w:rPr>
        <w:t xml:space="preserve"> به به نحو مطابقی یا اعم از مطابقی و التزامی و یا اعم از دلالت عقلیه که ما در اینجا احتمال سوم را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ی‌پذیریم</w:t>
      </w:r>
      <w:r w:rsidR="00BE469E">
        <w:rPr>
          <w:rFonts w:ascii="IRBadr" w:hAnsi="IRBadr" w:cs="IRBadr" w:hint="cs"/>
          <w:sz w:val="28"/>
          <w:szCs w:val="28"/>
          <w:rtl/>
          <w:lang w:bidi="fa-IR"/>
        </w:rPr>
        <w:t xml:space="preserve"> و وجهی برای حمل بر حالات اول و دوم وجود ندارد.</w:t>
      </w:r>
    </w:p>
    <w:p w:rsidR="00477600" w:rsidRDefault="00B56FCB" w:rsidP="00477600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BE469E" w:rsidRDefault="00BE469E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با قرائنی که به دست داریم احتمال سوم تعین پیدا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77600" w:rsidRDefault="00477600" w:rsidP="00477600">
      <w:pPr>
        <w:pStyle w:val="Heading2"/>
        <w:rPr>
          <w:rFonts w:hint="cs"/>
          <w:rtl/>
        </w:rPr>
      </w:pPr>
      <w:bookmarkStart w:id="11" w:name="_Toc433904090"/>
      <w:r>
        <w:rPr>
          <w:rFonts w:hint="cs"/>
          <w:rtl/>
        </w:rPr>
        <w:lastRenderedPageBreak/>
        <w:t>فرض عدم استفاده مخاطب در قبال مدلول عقلی</w:t>
      </w:r>
      <w:bookmarkEnd w:id="11"/>
    </w:p>
    <w:p w:rsidR="00BE469E" w:rsidRDefault="00BE469E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مورد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مخاطب تبلیغ،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مدلول عقلی را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استفاده کند،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باید طبق شرایطی که او متوجه هشدار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پ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رفت.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به‌عبارتی‌دیگر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ظرفیت وجود این هشدار در اینجا وجود داشته باشد و بتواند به هشدار توجه کند.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دیگری در انذار است که حتماً باید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موردتوجه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گیرد.</w:t>
      </w:r>
    </w:p>
    <w:p w:rsidR="00477600" w:rsidRDefault="00477600" w:rsidP="00477600">
      <w:pPr>
        <w:pStyle w:val="Heading2"/>
        <w:rPr>
          <w:rFonts w:hint="cs"/>
          <w:rtl/>
        </w:rPr>
      </w:pPr>
      <w:bookmarkStart w:id="12" w:name="_Toc433904091"/>
      <w:r>
        <w:rPr>
          <w:rFonts w:hint="cs"/>
          <w:rtl/>
        </w:rPr>
        <w:t>احتمال چهارم در بحث</w:t>
      </w:r>
      <w:bookmarkEnd w:id="12"/>
    </w:p>
    <w:p w:rsidR="00BE469E" w:rsidRDefault="00BE469E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در اینجا احتمال چهارمی وجود دارد که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نیست که اخبار از امری باشد که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هشداردهنده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احتمال بعیدی است.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احکام مشترک بین عالم و جاهل،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مسلم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غیرمسلم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477600" w:rsidRDefault="00477600" w:rsidP="00477600">
      <w:pPr>
        <w:pStyle w:val="Heading2"/>
        <w:rPr>
          <w:rtl/>
        </w:rPr>
      </w:pPr>
      <w:bookmarkStart w:id="13" w:name="_Toc433904092"/>
      <w:r>
        <w:rPr>
          <w:rFonts w:hint="cs"/>
          <w:rtl/>
        </w:rPr>
        <w:t>متعلق انذار</w:t>
      </w:r>
      <w:bookmarkEnd w:id="13"/>
    </w:p>
    <w:p w:rsidR="00477600" w:rsidRDefault="00BE469E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دیگری که مربوط به امر متعلق انذار بوده،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انذار اعم از بیان فتوا و یا اخبار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یا آیه و روایتی است که از ضروریاتی بوده و نیازی به افتاء ندارد.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F90B1B">
        <w:rPr>
          <w:rFonts w:ascii="IRBadr" w:hAnsi="IRBadr" w:cs="IRBadr" w:hint="cs"/>
          <w:sz w:val="28"/>
          <w:szCs w:val="28"/>
          <w:rtl/>
          <w:lang w:bidi="fa-IR"/>
        </w:rPr>
        <w:t xml:space="preserve"> همه انحاء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 w:rsidR="00F90B1B">
        <w:rPr>
          <w:rFonts w:ascii="IRBadr" w:hAnsi="IRBadr" w:cs="IRBadr" w:hint="cs"/>
          <w:sz w:val="28"/>
          <w:szCs w:val="28"/>
          <w:rtl/>
          <w:lang w:bidi="fa-IR"/>
        </w:rPr>
        <w:t xml:space="preserve"> از اخبار را دربرمی گیرد.</w:t>
      </w:r>
    </w:p>
    <w:p w:rsidR="00477600" w:rsidRDefault="00B56FCB" w:rsidP="00477600">
      <w:pPr>
        <w:pStyle w:val="Heading2"/>
        <w:rPr>
          <w:rtl/>
        </w:rPr>
      </w:pPr>
      <w:bookmarkStart w:id="14" w:name="_Toc433904093"/>
      <w:r>
        <w:rPr>
          <w:rFonts w:hint="cs"/>
          <w:rtl/>
        </w:rPr>
        <w:t>شبهه‌ای</w:t>
      </w:r>
      <w:r w:rsidR="00477600">
        <w:rPr>
          <w:rFonts w:hint="cs"/>
          <w:rtl/>
        </w:rPr>
        <w:t xml:space="preserve"> در این مقام</w:t>
      </w:r>
      <w:bookmarkEnd w:id="14"/>
    </w:p>
    <w:p w:rsidR="00F90B1B" w:rsidRDefault="00477600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F90B1B">
        <w:rPr>
          <w:rFonts w:ascii="IRBadr" w:hAnsi="IRBadr" w:cs="IRBadr" w:hint="cs"/>
          <w:sz w:val="28"/>
          <w:szCs w:val="28"/>
          <w:rtl/>
          <w:lang w:bidi="fa-IR"/>
        </w:rPr>
        <w:t xml:space="preserve">مکن است کسی بگوید در حالت افتاء چون فرد نظر کارشناسی خود را بیان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F90B1B">
        <w:rPr>
          <w:rFonts w:ascii="IRBadr" w:hAnsi="IRBadr" w:cs="IRBadr" w:hint="cs"/>
          <w:sz w:val="28"/>
          <w:szCs w:val="28"/>
          <w:rtl/>
          <w:lang w:bidi="fa-IR"/>
        </w:rPr>
        <w:t xml:space="preserve"> در فرض اخبار قرار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نم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F90B1B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477600" w:rsidRDefault="00477600" w:rsidP="00477600">
      <w:pPr>
        <w:pStyle w:val="Heading2"/>
        <w:rPr>
          <w:rtl/>
        </w:rPr>
      </w:pPr>
      <w:bookmarkStart w:id="15" w:name="_Toc433904094"/>
      <w:r>
        <w:rPr>
          <w:rFonts w:hint="cs"/>
          <w:rtl/>
        </w:rPr>
        <w:t>پاسخ از شبهه فوق</w:t>
      </w:r>
      <w:bookmarkEnd w:id="15"/>
    </w:p>
    <w:p w:rsidR="00F90B1B" w:rsidRDefault="00F90B1B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پاسخ داد که این افتاء یا ذیل اخبار قرار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فرد در این حالت از حکم خداوند اخبار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کسی ادعا کند که چون در اینجا تفقه وجود دارد،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تقویت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90B1B" w:rsidRDefault="00B56FCB" w:rsidP="00477600">
      <w:pPr>
        <w:pStyle w:val="Heading2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F90B1B" w:rsidRDefault="00F90B1B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نتیجه این خواهد شد،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درصورتی‌که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شمول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گیرد؛ مجتهد باید اخبار کند و نظر کارشناسی خود را به دیگران منتقل کند،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تکلیف الزامی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بر عهده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اوست.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تکلیف دیگری وجود دارد که در موارد توقف انذار بر تفقه،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افراد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اجتهاد را به دست آورند.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شمولی است که در اخبار وجود دارد.</w:t>
      </w:r>
    </w:p>
    <w:p w:rsidR="00477600" w:rsidRDefault="00477600" w:rsidP="00477600">
      <w:pPr>
        <w:pStyle w:val="Heading2"/>
        <w:rPr>
          <w:rtl/>
        </w:rPr>
      </w:pPr>
      <w:bookmarkStart w:id="16" w:name="_Toc433904096"/>
      <w:r>
        <w:rPr>
          <w:rFonts w:hint="cs"/>
          <w:rtl/>
        </w:rPr>
        <w:t>استدراک از بحث</w:t>
      </w:r>
      <w:bookmarkEnd w:id="16"/>
    </w:p>
    <w:p w:rsidR="00F90B1B" w:rsidRDefault="00F90B1B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البته در اینجا شمول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وسیع‌تری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ادعاشده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این اخبار</w:t>
      </w:r>
      <w:r w:rsidR="00477600">
        <w:rPr>
          <w:rFonts w:ascii="IRBadr" w:hAnsi="IRBadr" w:cs="IRBadr" w:hint="cs"/>
          <w:sz w:val="28"/>
          <w:szCs w:val="28"/>
          <w:rtl/>
          <w:lang w:bidi="fa-IR"/>
        </w:rPr>
        <w:t xml:space="preserve"> (چون از آیه نفر در بحث خبر واحد نیز استدلال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77600">
        <w:rPr>
          <w:rFonts w:ascii="IRBadr" w:hAnsi="IRBadr" w:cs="IRBadr" w:hint="cs"/>
          <w:sz w:val="28"/>
          <w:szCs w:val="28"/>
          <w:rtl/>
          <w:lang w:bidi="fa-IR"/>
        </w:rPr>
        <w:t>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بحث خبر واحد،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 xml:space="preserve"> شامل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نقل اخبار برای مجتهد جهت کارشناسی نیز </w:t>
      </w:r>
      <w:r w:rsidR="00B56FCB">
        <w:rPr>
          <w:rFonts w:ascii="IRBadr" w:hAnsi="IRBadr" w:cs="IRBadr"/>
          <w:sz w:val="28"/>
          <w:szCs w:val="28"/>
          <w:rtl/>
          <w:lang w:bidi="fa-IR"/>
        </w:rPr>
        <w:t>م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باید در جای خود این دیدگاه </w:t>
      </w:r>
      <w:r w:rsidR="00B56FCB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گیرد.</w:t>
      </w:r>
    </w:p>
    <w:p w:rsidR="00AA5D49" w:rsidRPr="00BC1C66" w:rsidRDefault="00AA5D49" w:rsidP="0047760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AA5D49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A33" w:rsidRDefault="00357A33" w:rsidP="000D5800">
      <w:pPr>
        <w:spacing w:after="0" w:line="240" w:lineRule="auto"/>
      </w:pPr>
      <w:r>
        <w:separator/>
      </w:r>
    </w:p>
  </w:endnote>
  <w:endnote w:type="continuationSeparator" w:id="0">
    <w:p w:rsidR="00357A33" w:rsidRDefault="00357A33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CB" w:rsidRDefault="00B56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CB" w:rsidRDefault="00B56F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CB" w:rsidRDefault="00B56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A33" w:rsidRDefault="00357A33" w:rsidP="000D5800">
      <w:pPr>
        <w:spacing w:after="0" w:line="240" w:lineRule="auto"/>
      </w:pPr>
      <w:r>
        <w:separator/>
      </w:r>
    </w:p>
  </w:footnote>
  <w:footnote w:type="continuationSeparator" w:id="0">
    <w:p w:rsidR="00357A33" w:rsidRDefault="00357A33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CB" w:rsidRDefault="00B56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73499F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D68CA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7" w:name="OLE_LINK1"/>
    <w:bookmarkStart w:id="18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7"/>
    <w:bookmarkEnd w:id="18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4660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CB" w:rsidRDefault="00B56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57A3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77600"/>
    <w:rsid w:val="004B337F"/>
    <w:rsid w:val="004C367A"/>
    <w:rsid w:val="004E7830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0AD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2DF1"/>
    <w:rsid w:val="00B24300"/>
    <w:rsid w:val="00B31426"/>
    <w:rsid w:val="00B56FCB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BE469E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90B1B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83C5-AF75-4A03-A3C4-EF84D5E8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831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45</cp:revision>
  <dcterms:created xsi:type="dcterms:W3CDTF">2014-11-18T06:47:00Z</dcterms:created>
  <dcterms:modified xsi:type="dcterms:W3CDTF">2015-10-30T00:47:00Z</dcterms:modified>
</cp:coreProperties>
</file>