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36" w:rsidRDefault="0082238F" w:rsidP="00415537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EC183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EC183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C1836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EC1836">
        <w:rPr>
          <w:rFonts w:ascii="IRBadr" w:hAnsi="IRBadr" w:cs="IRBadr" w:hint="cs"/>
          <w:sz w:val="28"/>
          <w:szCs w:val="28"/>
          <w:lang w:bidi="fa-IR"/>
        </w:rPr>
        <w:instrText>o "1-6" \h \z \u</w:instrText>
      </w:r>
      <w:r w:rsidR="00EC183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C183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EC1836" w:rsidRPr="00EC1836" w:rsidRDefault="00EC1836" w:rsidP="00EC183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895" w:history="1">
        <w:r w:rsidRPr="00EC1836">
          <w:rPr>
            <w:rStyle w:val="Hyperlink"/>
            <w:rFonts w:ascii="IRBadr" w:hAnsi="IRBadr" w:cs="IRBadr"/>
            <w:noProof/>
            <w:rtl/>
          </w:rPr>
          <w:t>استدلال به آیه نفر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_Toc433904895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2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896" w:history="1">
        <w:r w:rsidRPr="00EC1836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_Toc433904896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2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897" w:history="1">
        <w:r w:rsidRPr="00EC1836">
          <w:rPr>
            <w:rStyle w:val="Hyperlink"/>
            <w:rFonts w:ascii="IRBadr" w:hAnsi="IRBadr" w:cs="IRBadr"/>
            <w:noProof/>
            <w:rtl/>
          </w:rPr>
          <w:t>تشریح بحث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_Toc433904897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2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898" w:history="1">
        <w:r w:rsidRPr="00EC1836">
          <w:rPr>
            <w:rStyle w:val="Hyperlink"/>
            <w:rFonts w:ascii="IRBadr" w:hAnsi="IRBadr" w:cs="IRBadr"/>
            <w:noProof/>
            <w:rtl/>
          </w:rPr>
          <w:t>معنی حذر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_Toc433904898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2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899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_Toc433904899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2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900" w:history="1">
        <w:r w:rsidRPr="00EC1836">
          <w:rPr>
            <w:rStyle w:val="Hyperlink"/>
            <w:rFonts w:ascii="IRBadr" w:hAnsi="IRBadr" w:cs="IRBadr"/>
            <w:noProof/>
            <w:rtl/>
          </w:rPr>
          <w:t>معنی لعل در این آیه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_Toc433904900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3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901" w:history="1">
        <w:r w:rsidRPr="00EC1836">
          <w:rPr>
            <w:rStyle w:val="Hyperlink"/>
            <w:rFonts w:ascii="IRBadr" w:hAnsi="IRBadr" w:cs="IRBadr"/>
            <w:noProof/>
            <w:rtl/>
          </w:rPr>
          <w:t>ترجی در قبال خداوند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_Toc433904901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3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902" w:history="1">
        <w:r w:rsidRPr="00EC1836">
          <w:rPr>
            <w:rStyle w:val="Hyperlink"/>
            <w:rFonts w:ascii="IRBadr" w:hAnsi="IRBadr" w:cs="IRBadr"/>
            <w:noProof/>
            <w:rtl/>
          </w:rPr>
          <w:t>مجازیت یا حقیقیت استعمال لعل در این باب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_Toc433904902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4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903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_Toc433904903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4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904" w:history="1">
        <w:r w:rsidRPr="00EC1836">
          <w:rPr>
            <w:rStyle w:val="Hyperlink"/>
            <w:rFonts w:ascii="IRBadr" w:hAnsi="IRBadr" w:cs="IRBadr"/>
            <w:noProof/>
            <w:rtl/>
          </w:rPr>
          <w:t>اتخاذ مبنا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_Toc433904904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4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904905" w:history="1">
        <w:r w:rsidRPr="00EC1836">
          <w:rPr>
            <w:rStyle w:val="Hyperlink"/>
            <w:rFonts w:ascii="IRBadr" w:hAnsi="IRBadr" w:cs="IRBadr"/>
            <w:noProof/>
            <w:rtl/>
          </w:rPr>
          <w:t>مناشئ تردد در لعل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_Toc433904905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4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904906" w:history="1">
        <w:r w:rsidRPr="00EC1836">
          <w:rPr>
            <w:rStyle w:val="Hyperlink"/>
            <w:rFonts w:ascii="IRBadr" w:hAnsi="IRBadr" w:cs="IRBadr"/>
            <w:noProof/>
            <w:rtl/>
          </w:rPr>
          <w:t>احتمال اول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_Toc433904906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4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904907" w:history="1">
        <w:r w:rsidRPr="00EC1836">
          <w:rPr>
            <w:rStyle w:val="Hyperlink"/>
            <w:rFonts w:ascii="IRBadr" w:hAnsi="IRBadr" w:cs="IRBadr"/>
            <w:noProof/>
            <w:rtl/>
          </w:rPr>
          <w:t>احتمال دوم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_Toc433904907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5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904908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_Toc433904908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5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Pr="00EC1836" w:rsidRDefault="00EC1836" w:rsidP="00EC1836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  <w:lang w:bidi="ar-SA"/>
        </w:rPr>
      </w:pPr>
      <w:hyperlink w:anchor="_Toc433904909" w:history="1">
        <w:r w:rsidRPr="00EC1836">
          <w:rPr>
            <w:rStyle w:val="Hyperlink"/>
            <w:rFonts w:ascii="IRBadr" w:hAnsi="IRBadr" w:cs="IRBadr"/>
            <w:noProof/>
            <w:rtl/>
          </w:rPr>
          <w:t>اتخاذ مبنا</w:t>
        </w:r>
        <w:r w:rsidRPr="00EC1836">
          <w:rPr>
            <w:rFonts w:ascii="IRBadr" w:hAnsi="IRBadr" w:cs="IRBadr"/>
            <w:noProof/>
            <w:webHidden/>
          </w:rPr>
          <w:tab/>
        </w:r>
        <w:r w:rsidRPr="00EC1836">
          <w:rPr>
            <w:rFonts w:ascii="IRBadr" w:hAnsi="IRBadr" w:cs="IRBadr"/>
            <w:noProof/>
            <w:webHidden/>
          </w:rPr>
          <w:fldChar w:fldCharType="begin"/>
        </w:r>
        <w:r w:rsidRPr="00EC1836">
          <w:rPr>
            <w:rFonts w:ascii="IRBadr" w:hAnsi="IRBadr" w:cs="IRBadr"/>
            <w:noProof/>
            <w:webHidden/>
          </w:rPr>
          <w:instrText xml:space="preserve"> PAGEREF _Toc433904909 \h </w:instrText>
        </w:r>
        <w:r w:rsidRPr="00EC1836">
          <w:rPr>
            <w:rFonts w:ascii="IRBadr" w:hAnsi="IRBadr" w:cs="IRBadr"/>
            <w:noProof/>
            <w:webHidden/>
          </w:rPr>
        </w:r>
        <w:r w:rsidRPr="00EC1836">
          <w:rPr>
            <w:rFonts w:ascii="IRBadr" w:hAnsi="IRBadr" w:cs="IRBadr"/>
            <w:noProof/>
            <w:webHidden/>
          </w:rPr>
          <w:fldChar w:fldCharType="separate"/>
        </w:r>
        <w:r w:rsidRPr="00EC1836">
          <w:rPr>
            <w:rFonts w:ascii="IRBadr" w:hAnsi="IRBadr" w:cs="IRBadr"/>
            <w:noProof/>
            <w:webHidden/>
          </w:rPr>
          <w:t>5</w:t>
        </w:r>
        <w:r w:rsidRPr="00EC1836">
          <w:rPr>
            <w:rFonts w:ascii="IRBadr" w:hAnsi="IRBadr" w:cs="IRBadr"/>
            <w:noProof/>
            <w:webHidden/>
          </w:rPr>
          <w:fldChar w:fldCharType="end"/>
        </w:r>
      </w:hyperlink>
    </w:p>
    <w:p w:rsidR="00EC1836" w:rsidRDefault="00EC1836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C1836" w:rsidRDefault="00EC1836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415537" w:rsidRDefault="00415537" w:rsidP="00415537">
      <w:pPr>
        <w:pStyle w:val="Heading1"/>
        <w:rPr>
          <w:rtl/>
        </w:rPr>
      </w:pPr>
      <w:bookmarkStart w:id="0" w:name="_Toc433904895"/>
      <w:r>
        <w:rPr>
          <w:rFonts w:hint="cs"/>
          <w:rtl/>
        </w:rPr>
        <w:lastRenderedPageBreak/>
        <w:t>استدلال به آیه نفر</w:t>
      </w:r>
      <w:bookmarkEnd w:id="0"/>
    </w:p>
    <w:p w:rsidR="00415537" w:rsidRDefault="00415537" w:rsidP="00415537">
      <w:pPr>
        <w:pStyle w:val="Heading1"/>
        <w:rPr>
          <w:rtl/>
        </w:rPr>
      </w:pPr>
      <w:bookmarkStart w:id="1" w:name="_Toc433904896"/>
      <w:r>
        <w:rPr>
          <w:rFonts w:hint="cs"/>
          <w:rtl/>
        </w:rPr>
        <w:t>مرور بحث گذشته</w:t>
      </w:r>
      <w:bookmarkEnd w:id="1"/>
    </w:p>
    <w:p w:rsidR="009D5759" w:rsidRDefault="009D5759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ادله جواز تقلید و حجیت قول مفتی برای مقلد بود،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آیه شریفه نفر رسیدیم.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مطالب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دراین‌باره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ترتیب نقل شد تا رسیدیم به نکاتی که در باب انذار بود.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نکته‌ای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محل استدلال است،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شاید بر حذر باشند.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آیه دو تکلیف محل بحث قرار گرفت؛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تفقه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انذار.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بعدازاینکه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وجوب کفایی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صاحب‌نظر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شدند،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انذار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کنند.</w:t>
      </w:r>
    </w:p>
    <w:p w:rsidR="00415537" w:rsidRDefault="009D5759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تفقه برای انذار بود و انذار و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درنتیجه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 دو برای این است که کسانی حذر کنند،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متنبه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شوند و بدان عمل کنند.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نهایی و غایت این روند،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حذر شدن است.</w:t>
      </w:r>
    </w:p>
    <w:p w:rsidR="00415537" w:rsidRDefault="00415537" w:rsidP="00415537">
      <w:pPr>
        <w:pStyle w:val="Heading2"/>
        <w:rPr>
          <w:rtl/>
        </w:rPr>
      </w:pPr>
      <w:bookmarkStart w:id="2" w:name="_Toc433904897"/>
      <w:r>
        <w:rPr>
          <w:rFonts w:hint="cs"/>
          <w:rtl/>
        </w:rPr>
        <w:t>تشریح بحث</w:t>
      </w:r>
      <w:bookmarkEnd w:id="2"/>
    </w:p>
    <w:p w:rsidR="009D5759" w:rsidRDefault="009D5759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چند نکته وجود دارد که سرنوشت استدلال به این آیه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بدان‌ها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گره‌خورده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همانند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خویی بتوان به این آیه استدلال نمود و یا مانند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حائری قائل به عدم امکان استدلال به این آیه برای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شد.</w:t>
      </w:r>
    </w:p>
    <w:p w:rsidR="009D5759" w:rsidRDefault="009D5759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نقطه نهایی آیه چند مطلب وجود دارد؛</w:t>
      </w:r>
    </w:p>
    <w:p w:rsidR="00415537" w:rsidRDefault="00415537" w:rsidP="00415537">
      <w:pPr>
        <w:pStyle w:val="Heading2"/>
        <w:rPr>
          <w:rtl/>
        </w:rPr>
      </w:pPr>
      <w:bookmarkStart w:id="3" w:name="_Toc433904898"/>
      <w:r>
        <w:rPr>
          <w:rFonts w:hint="cs"/>
          <w:rtl/>
        </w:rPr>
        <w:t>معنی حذر</w:t>
      </w:r>
      <w:bookmarkEnd w:id="3"/>
    </w:p>
    <w:p w:rsidR="00415537" w:rsidRDefault="009D5759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 نکته در قبال حذر است،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واژه به معنی خوف است،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کاربرد دارد؛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منظور از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نفسی است که به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خوف و رعب اطلاق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معنی دوم که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خوف عملی است چراکه در مسائلی که دین برای بشر اتیان نموده است،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تخلف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او خوف نفسی را رقم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می‌زند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حذر عملی او کشیده خواهد شد.</w:t>
      </w:r>
    </w:p>
    <w:p w:rsidR="009D5759" w:rsidRPr="00415537" w:rsidRDefault="00EC1836" w:rsidP="00415537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EC1836" w:rsidRDefault="009D5759" w:rsidP="00EC1836">
      <w:pPr>
        <w:pStyle w:val="NormalWeb"/>
        <w:bidi/>
        <w:spacing w:line="360" w:lineRule="auto"/>
        <w:rPr>
          <w:rFonts w:ascii="Aldhabi" w:hAnsi="Aldhabi" w:cs="Aldhabi"/>
          <w:color w:val="000000"/>
          <w:sz w:val="30"/>
          <w:szCs w:val="30"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آ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C1836">
        <w:rPr>
          <w:rFonts w:ascii="IRBadr" w:hAnsi="IRBadr" w:cs="IRBadr" w:hint="eastAsia"/>
          <w:sz w:val="28"/>
          <w:szCs w:val="28"/>
          <w:rtl/>
          <w:lang w:bidi="fa-IR"/>
        </w:rPr>
        <w:t>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شریفه</w:t>
      </w:r>
      <w:r w:rsidR="00EC1836">
        <w:rPr>
          <w:rFonts w:ascii="IRBadr" w:hAnsi="IRBadr" w:cs="IRBadr"/>
          <w:sz w:val="28"/>
          <w:szCs w:val="28"/>
          <w:lang w:bidi="fa-IR"/>
        </w:rPr>
        <w:t xml:space="preserve"> </w:t>
      </w:r>
      <w:r w:rsidR="00EC1836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فَلْ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حْذَرِ الَّذ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نَ 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خالِفُونَ عَنْ أَمْرِهِ 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آن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تُص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بَهُمْ فِتْنَةٌ أَوْ 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ص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بَهُمْ عَذابٌ 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أَل</w:t>
      </w:r>
      <w:r w:rsidR="00EC183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C1836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C1836" w:rsidRPr="00EC1836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</w:p>
    <w:p w:rsidR="009D5759" w:rsidRPr="00EC1836" w:rsidRDefault="009D5759" w:rsidP="00EC1836">
      <w:pPr>
        <w:pStyle w:val="NormalWeb"/>
        <w:bidi/>
        <w:spacing w:line="360" w:lineRule="auto"/>
        <w:rPr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مراد همین است.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بسیاری از موارد حذر در مورد عملی به کار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EC1836">
        <w:rPr>
          <w:rFonts w:ascii="IRBadr" w:hAnsi="IRBadr" w:cs="IRBadr" w:hint="eastAsia"/>
          <w:sz w:val="28"/>
          <w:szCs w:val="28"/>
          <w:rtl/>
          <w:lang w:bidi="fa-IR"/>
        </w:rPr>
        <w:t>رود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مناسبات در آیه همین امر را نشان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EC1836">
        <w:rPr>
          <w:rFonts w:ascii="IRBadr" w:hAnsi="IRBadr" w:cs="IRBadr" w:hint="eastAsia"/>
          <w:sz w:val="28"/>
          <w:szCs w:val="28"/>
          <w:rtl/>
          <w:lang w:bidi="fa-IR"/>
        </w:rPr>
        <w:t>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وجوبات مطرح در آیه برای ترس محض نیست بلکه برای پایبند شدن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تعلیمات عملی است.</w:t>
      </w:r>
    </w:p>
    <w:p w:rsidR="00415537" w:rsidRDefault="00415537" w:rsidP="00415537">
      <w:pPr>
        <w:pStyle w:val="Heading2"/>
        <w:rPr>
          <w:rtl/>
        </w:rPr>
      </w:pPr>
      <w:bookmarkStart w:id="4" w:name="_Toc433904900"/>
      <w:r>
        <w:rPr>
          <w:rFonts w:hint="cs"/>
          <w:rtl/>
        </w:rPr>
        <w:t>معنی لعل در این آیه</w:t>
      </w:r>
      <w:bookmarkEnd w:id="4"/>
    </w:p>
    <w:p w:rsidR="00415537" w:rsidRDefault="009D5759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نکته دوم در این بخش این است که لعل در اینجا به چه معناست.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لعل از ادات تمنی و ترجی است.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تمن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انفعالی است که در شخص حاصل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از مقوله احسا</w:t>
      </w:r>
      <w:r w:rsidR="00430244">
        <w:rPr>
          <w:rFonts w:ascii="IRBadr" w:hAnsi="IRBadr" w:cs="IRBadr" w:hint="cs"/>
          <w:sz w:val="28"/>
          <w:szCs w:val="28"/>
          <w:rtl/>
          <w:lang w:bidi="fa-IR"/>
        </w:rPr>
        <w:t>سات و هیجانات است و با نوعی از تأثر بیرونی و تقلب حال همراه است.</w:t>
      </w:r>
    </w:p>
    <w:p w:rsidR="009D5759" w:rsidRDefault="00430244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مطلب دیگر این است که ترجی همراه با نوعی عدم علم است و در آنجا حالت احتمال،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تردد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ر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وشن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باب خداوند این ادات به معنی حقیقی خود به کار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15537" w:rsidRDefault="00415537" w:rsidP="00415537">
      <w:pPr>
        <w:pStyle w:val="Heading2"/>
        <w:rPr>
          <w:rtl/>
        </w:rPr>
      </w:pPr>
      <w:bookmarkStart w:id="5" w:name="_Toc433904901"/>
      <w:r>
        <w:rPr>
          <w:rFonts w:hint="cs"/>
          <w:rtl/>
        </w:rPr>
        <w:t>ترجی در قبال خداوند</w:t>
      </w:r>
      <w:bookmarkEnd w:id="5"/>
    </w:p>
    <w:p w:rsidR="00430244" w:rsidRDefault="00430244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دوم نیز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به‌طریق‌اولی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او</w:t>
      </w:r>
      <w:r w:rsidR="00415537">
        <w:rPr>
          <w:rFonts w:ascii="IRBadr" w:hAnsi="IRBadr" w:cs="IRBadr" w:hint="cs"/>
          <w:sz w:val="28"/>
          <w:szCs w:val="28"/>
          <w:rtl/>
          <w:lang w:bidi="fa-IR"/>
        </w:rPr>
        <w:t>ضح معقول نخواهد بود.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415537">
        <w:rPr>
          <w:rFonts w:ascii="IRBadr" w:hAnsi="IRBadr" w:cs="IRBadr" w:hint="cs"/>
          <w:sz w:val="28"/>
          <w:szCs w:val="28"/>
          <w:rtl/>
          <w:lang w:bidi="fa-IR"/>
        </w:rPr>
        <w:t xml:space="preserve"> ح</w:t>
      </w:r>
      <w:r>
        <w:rPr>
          <w:rFonts w:ascii="IRBadr" w:hAnsi="IRBadr" w:cs="IRBadr" w:hint="cs"/>
          <w:sz w:val="28"/>
          <w:szCs w:val="28"/>
          <w:rtl/>
          <w:lang w:bidi="fa-IR"/>
        </w:rPr>
        <w:t>قایق لفظی که مشتمل بر نوعی انفعال نفسانی و عدم علم است از ساحت خداوند به دور است.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این مفاهیم به معنی مطلوبیت مدخول برای خداوند متعال است.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مطلوب نیز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که همیشه واقع شود از این نظر که معلوم نیست این شخص به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پایبند باشد که محقق شود یا خیر؟ لذا به معنی عدم علم در قبال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حق‌تعالی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</w:p>
    <w:p w:rsidR="00415537" w:rsidRDefault="00415537" w:rsidP="00415537">
      <w:pPr>
        <w:pStyle w:val="Heading2"/>
        <w:rPr>
          <w:rtl/>
        </w:rPr>
      </w:pPr>
      <w:bookmarkStart w:id="6" w:name="_Toc433904902"/>
      <w:r>
        <w:rPr>
          <w:rFonts w:hint="cs"/>
          <w:rtl/>
        </w:rPr>
        <w:lastRenderedPageBreak/>
        <w:t>مجازیت یا حقیقیت استعمال لعل در این باب</w:t>
      </w:r>
      <w:bookmarkEnd w:id="6"/>
    </w:p>
    <w:p w:rsidR="00EC1836" w:rsidRDefault="00430244" w:rsidP="00EC1836">
      <w:pPr>
        <w:pStyle w:val="NormalWeb"/>
        <w:bidi/>
        <w:spacing w:line="360" w:lineRule="auto"/>
        <w:rPr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سؤال جدی در اینجا این است که این استعمال در قبال خداوند مجاز است یا حقیقت بوده اما به اختلاف داعی است که ابداع ایشان نیست و علماء بلاغت نیز سابقاً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شبیه همان بعث و زجر در امر است که گاهی برای تعجیز به کار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EC1836">
        <w:rPr>
          <w:rFonts w:ascii="IRBadr" w:hAnsi="IRBadr" w:cs="IRBadr" w:hint="eastAsia"/>
          <w:sz w:val="28"/>
          <w:szCs w:val="28"/>
          <w:rtl/>
          <w:lang w:bidi="fa-IR"/>
        </w:rPr>
        <w:t>رود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همانند آیه شریفه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C1836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آن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نْتُمْ 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EC183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رَ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بٍ مِمَّا نَزَّلْنا 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عَل</w:t>
      </w:r>
      <w:r w:rsidR="00EC1836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C1836" w:rsidRP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عَبْدِنا فَأْتُوا بِسُورَةٍ مِنْ مِثْلِهِ</w:t>
      </w:r>
      <w:r w:rsidR="00EC1836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EC1836" w:rsidRPr="00EC1836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2"/>
      </w:r>
    </w:p>
    <w:p w:rsidR="00430244" w:rsidRDefault="00430244" w:rsidP="00EC183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بعث است ولی داعی متفاوت خواهد بود.</w:t>
      </w:r>
    </w:p>
    <w:p w:rsidR="00415537" w:rsidRDefault="00EC1836" w:rsidP="00415537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430244" w:rsidRDefault="006E3953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مطلب مورد تأیید ارتکاز بوده و از مجازیت خارج است.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حمل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داعی حقیقی از موضع له استفاده نگشته بلکه از قرائن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استفاده‌شده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چند ملاحظه است که یکی از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بوده که همیشه لازم نیست بدین شکل باشد بلکه امکان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و گاهی نیز حالت اول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پیداکرده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معنای بعث انشائی به ذهن خطور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15537" w:rsidRDefault="00415537" w:rsidP="00415537">
      <w:pPr>
        <w:pStyle w:val="Heading2"/>
        <w:rPr>
          <w:rtl/>
        </w:rPr>
      </w:pPr>
      <w:bookmarkStart w:id="7" w:name="_Toc433904904"/>
      <w:r>
        <w:rPr>
          <w:rFonts w:hint="cs"/>
          <w:rtl/>
        </w:rPr>
        <w:t>اتخاذ مبنا</w:t>
      </w:r>
      <w:bookmarkEnd w:id="7"/>
    </w:p>
    <w:p w:rsidR="006E3953" w:rsidRDefault="006E3953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نیز بدین شکل است چراکه گاهی گفته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ترجی خداوند دیگر ترجی نیست،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طبیعی استعمال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داعی نیز ترجی است ولی در قبال خداوند باید گفت که ترجی انشائی است ولی در اینجا این دو ویژگی در قبال خداوند صادق نیست.</w:t>
      </w:r>
    </w:p>
    <w:p w:rsidR="00415537" w:rsidRDefault="00415537" w:rsidP="00415537">
      <w:pPr>
        <w:pStyle w:val="Heading3"/>
        <w:rPr>
          <w:rtl/>
        </w:rPr>
      </w:pPr>
      <w:bookmarkStart w:id="8" w:name="_Toc433904905"/>
      <w:r>
        <w:rPr>
          <w:rFonts w:hint="cs"/>
          <w:rtl/>
        </w:rPr>
        <w:t>مناشئ تردد در لعل</w:t>
      </w:r>
      <w:bookmarkEnd w:id="8"/>
    </w:p>
    <w:p w:rsidR="00415537" w:rsidRDefault="00415537" w:rsidP="00415537">
      <w:pPr>
        <w:pStyle w:val="Heading3"/>
        <w:rPr>
          <w:rtl/>
        </w:rPr>
      </w:pPr>
      <w:bookmarkStart w:id="9" w:name="_Toc433904906"/>
      <w:r>
        <w:rPr>
          <w:rFonts w:hint="cs"/>
          <w:rtl/>
        </w:rPr>
        <w:t>احتمال اول</w:t>
      </w:r>
      <w:bookmarkEnd w:id="9"/>
    </w:p>
    <w:p w:rsidR="006E3953" w:rsidRDefault="006E3953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مطلب سومی که در اینجا وجود دارد،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معلوم شد که ترددی در ترتب حذر بر انذار در آیه شریفه وجود دارد،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همواره حذر متر</w:t>
      </w:r>
      <w:r w:rsidR="00415537">
        <w:rPr>
          <w:rFonts w:ascii="IRBadr" w:hAnsi="IRBadr" w:cs="IRBadr" w:hint="cs"/>
          <w:sz w:val="28"/>
          <w:szCs w:val="28"/>
          <w:rtl/>
          <w:lang w:bidi="fa-IR"/>
        </w:rPr>
        <w:t>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 بر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بود،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امکان، در لعل موجود است.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شاید، یا به خاطر این است که او مختار است و ممکن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شیطان مانعی را برای او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به 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آورد،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این‌یک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است که طبق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حذر مطلوب است و فقیه باید وظیفه خود را انجام دهد.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 استدلال به آیه بسیار قوی خواهد شد.</w:t>
      </w:r>
    </w:p>
    <w:p w:rsidR="00415537" w:rsidRDefault="00415537" w:rsidP="00415537">
      <w:pPr>
        <w:pStyle w:val="Heading3"/>
        <w:rPr>
          <w:rtl/>
        </w:rPr>
      </w:pPr>
      <w:bookmarkStart w:id="10" w:name="_Toc433904907"/>
      <w:r>
        <w:rPr>
          <w:rFonts w:hint="cs"/>
          <w:rtl/>
        </w:rPr>
        <w:t>احتمال دوم</w:t>
      </w:r>
      <w:bookmarkEnd w:id="10"/>
    </w:p>
    <w:p w:rsidR="006E3953" w:rsidRDefault="006E3953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شبیه آیات بسیاری که از این قبیل است،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دوم این است که تردد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ح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یث‌های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دیگر نیز ناشی شود مانند اینکه برای ن فرد اطمینانی حاصل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و برای فرد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شبهه‌ای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برای او تمامیت و حجیت پیدا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صورت،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استدلال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گذشته کاملاً فرو خواهد ریخت.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استلزام عمل از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استخراج نخواهد شد.</w:t>
      </w:r>
    </w:p>
    <w:p w:rsidR="00675ADB" w:rsidRDefault="00EC1836" w:rsidP="00415537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675ADB" w:rsidRDefault="00EC1836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سؤال این است که منشأ این تردد حاصل در آیه در اینجا چه امری بوده است؟ آیا از سوء سریره فرد و وسوسه شیطان است یا اینکه حجیت بر فرد حاصل نشده است یا راه احتیاط بر او بسته نشده است؟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 w:rsidR="00675ADB">
        <w:rPr>
          <w:rFonts w:ascii="IRBadr" w:hAnsi="IRBadr" w:cs="IRBadr" w:hint="cs"/>
          <w:sz w:val="28"/>
          <w:szCs w:val="28"/>
          <w:rtl/>
          <w:lang w:bidi="fa-IR"/>
        </w:rPr>
        <w:t xml:space="preserve"> باید در حذر الزام وجود داشته باشد تا استدلال تمام شود.</w:t>
      </w:r>
    </w:p>
    <w:p w:rsidR="00675ADB" w:rsidRDefault="00675ADB" w:rsidP="00415537">
      <w:pPr>
        <w:pStyle w:val="Heading3"/>
        <w:rPr>
          <w:rtl/>
        </w:rPr>
      </w:pPr>
      <w:bookmarkStart w:id="11" w:name="_Toc433904909"/>
      <w:r>
        <w:rPr>
          <w:rFonts w:hint="cs"/>
          <w:rtl/>
        </w:rPr>
        <w:t>اتخاذ مبنا</w:t>
      </w:r>
      <w:bookmarkEnd w:id="11"/>
    </w:p>
    <w:p w:rsidR="00415537" w:rsidRDefault="00675ADB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به نظر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می‌آید که پذیرش احتمال اول نیازمند مئ</w:t>
      </w:r>
      <w:r>
        <w:rPr>
          <w:rFonts w:ascii="IRBadr" w:hAnsi="IRBadr" w:cs="IRBadr" w:hint="cs"/>
          <w:sz w:val="28"/>
          <w:szCs w:val="28"/>
          <w:rtl/>
          <w:lang w:bidi="fa-IR"/>
        </w:rPr>
        <w:t>ونه دارد و به اطمینان زیادی نیاز دارد.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اشعار آیه بدین حالت بوده و حالت ترجیحی دارد.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آیه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بفرماید گروهی فقیه شوند تا بستری بر حذر دیگران فراهم شود.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قاطعیت کلام برخی مانند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آقای</w:t>
      </w:r>
      <w:r w:rsidR="00415537">
        <w:rPr>
          <w:rFonts w:ascii="IRBadr" w:hAnsi="IRBadr" w:cs="IRBadr" w:hint="cs"/>
          <w:sz w:val="28"/>
          <w:szCs w:val="28"/>
          <w:rtl/>
          <w:lang w:bidi="fa-IR"/>
        </w:rPr>
        <w:t xml:space="preserve"> حائری مطلبی را بیان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="00415537">
        <w:rPr>
          <w:rFonts w:ascii="IRBadr" w:hAnsi="IRBadr" w:cs="IRBadr" w:hint="cs"/>
          <w:sz w:val="28"/>
          <w:szCs w:val="28"/>
          <w:rtl/>
          <w:lang w:bidi="fa-IR"/>
        </w:rPr>
        <w:t xml:space="preserve"> و تردید مانع از استدلال </w:t>
      </w:r>
      <w:r w:rsidR="00EC1836">
        <w:rPr>
          <w:rFonts w:ascii="IRBadr" w:hAnsi="IRBadr" w:cs="IRBadr"/>
          <w:sz w:val="28"/>
          <w:szCs w:val="28"/>
          <w:rtl/>
          <w:lang w:bidi="fa-IR"/>
        </w:rPr>
        <w:t>م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415537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75ADB" w:rsidRDefault="00415537" w:rsidP="0041553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دیگری نیز در این رابطه وجود دارد که </w:t>
      </w:r>
      <w:r w:rsidR="00EC1836">
        <w:rPr>
          <w:rFonts w:ascii="IRBadr" w:hAnsi="IRBadr" w:cs="IRBadr" w:hint="cs"/>
          <w:sz w:val="28"/>
          <w:szCs w:val="28"/>
          <w:rtl/>
          <w:lang w:bidi="fa-IR"/>
        </w:rPr>
        <w:t>ا</w:t>
      </w:r>
      <w:bookmarkStart w:id="12" w:name="_GoBack"/>
      <w:bookmarkEnd w:id="12"/>
      <w:r w:rsidR="00EC1836"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شاء الله فردا بیان خواهد شد.</w:t>
      </w:r>
    </w:p>
    <w:p w:rsidR="006E3953" w:rsidRDefault="006E3953" w:rsidP="006E395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A5D49" w:rsidRPr="00BC1C66" w:rsidRDefault="00AA5D49" w:rsidP="00AA5D49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AA5D49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0C" w:rsidRDefault="00367D0C" w:rsidP="000D5800">
      <w:pPr>
        <w:spacing w:after="0" w:line="240" w:lineRule="auto"/>
      </w:pPr>
      <w:r>
        <w:separator/>
      </w:r>
    </w:p>
  </w:endnote>
  <w:endnote w:type="continuationSeparator" w:id="0">
    <w:p w:rsidR="00367D0C" w:rsidRDefault="00367D0C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36" w:rsidRDefault="00EC1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36" w:rsidRDefault="00EC1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36" w:rsidRDefault="00EC1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0C" w:rsidRDefault="00367D0C" w:rsidP="00EC1836">
      <w:pPr>
        <w:spacing w:after="0" w:line="240" w:lineRule="auto"/>
        <w:jc w:val="right"/>
      </w:pPr>
      <w:r>
        <w:separator/>
      </w:r>
    </w:p>
  </w:footnote>
  <w:footnote w:type="continuationSeparator" w:id="0">
    <w:p w:rsidR="00367D0C" w:rsidRDefault="00367D0C" w:rsidP="000D5800">
      <w:pPr>
        <w:spacing w:after="0" w:line="240" w:lineRule="auto"/>
      </w:pPr>
      <w:r>
        <w:continuationSeparator/>
      </w:r>
    </w:p>
  </w:footnote>
  <w:footnote w:id="1">
    <w:p w:rsidR="00EC1836" w:rsidRDefault="00EC183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C1836">
        <w:rPr>
          <w:rFonts w:ascii="IRBadr" w:hAnsi="IRBadr" w:cs="IRBadr"/>
          <w:color w:val="000000"/>
          <w:rtl/>
        </w:rPr>
        <w:t xml:space="preserve">النور </w:t>
      </w:r>
      <w:r w:rsidRPr="00EC1836">
        <w:rPr>
          <w:rFonts w:ascii="IRBadr" w:hAnsi="IRBadr" w:cs="IRBadr"/>
          <w:color w:val="000000"/>
        </w:rPr>
        <w:t>/</w:t>
      </w:r>
      <w:r w:rsidRPr="00EC1836">
        <w:rPr>
          <w:rFonts w:ascii="IRBadr" w:hAnsi="IRBadr" w:cs="IRBadr"/>
          <w:color w:val="000000"/>
          <w:rtl/>
        </w:rPr>
        <w:t xml:space="preserve"> 63</w:t>
      </w:r>
    </w:p>
  </w:footnote>
  <w:footnote w:id="2">
    <w:p w:rsidR="00EC1836" w:rsidRDefault="00EC183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C1836">
        <w:rPr>
          <w:rFonts w:ascii="IRBadr" w:hAnsi="IRBadr" w:cs="IRBadr"/>
          <w:color w:val="000000"/>
          <w:rtl/>
        </w:rPr>
        <w:t xml:space="preserve">البقرة </w:t>
      </w:r>
      <w:r w:rsidRPr="00EC1836">
        <w:rPr>
          <w:rFonts w:ascii="IRBadr" w:hAnsi="IRBadr" w:cs="IRBadr"/>
          <w:color w:val="000000"/>
        </w:rPr>
        <w:t>/</w:t>
      </w:r>
      <w:r w:rsidRPr="00EC1836">
        <w:rPr>
          <w:rFonts w:ascii="IRBadr" w:hAnsi="IRBadr" w:cs="IRBadr"/>
          <w:color w:val="000000"/>
          <w:rtl/>
        </w:rPr>
        <w:t xml:space="preserve">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36" w:rsidRDefault="00EC1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9D5759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BEA1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D5759">
      <w:rPr>
        <w:rFonts w:ascii="IranNastaliq" w:hAnsi="IranNastaliq" w:cs="IranNastaliq" w:hint="cs"/>
        <w:sz w:val="40"/>
        <w:szCs w:val="40"/>
        <w:rtl/>
        <w:lang w:bidi="fa-IR"/>
      </w:rPr>
      <w:t>4662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36" w:rsidRDefault="00EC1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67D0C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15537"/>
    <w:rsid w:val="00430244"/>
    <w:rsid w:val="0044591E"/>
    <w:rsid w:val="004651D2"/>
    <w:rsid w:val="00465D26"/>
    <w:rsid w:val="004679F8"/>
    <w:rsid w:val="004B337F"/>
    <w:rsid w:val="004C367A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75ADB"/>
    <w:rsid w:val="0069696C"/>
    <w:rsid w:val="006A085A"/>
    <w:rsid w:val="006B0BCE"/>
    <w:rsid w:val="006D3A87"/>
    <w:rsid w:val="006E3953"/>
    <w:rsid w:val="006F01B4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42695"/>
    <w:rsid w:val="009613AC"/>
    <w:rsid w:val="00961C98"/>
    <w:rsid w:val="00963AA3"/>
    <w:rsid w:val="00980643"/>
    <w:rsid w:val="00992D2C"/>
    <w:rsid w:val="009B61C3"/>
    <w:rsid w:val="009C7B4F"/>
    <w:rsid w:val="009D5759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1836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96D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E714-B4F9-464F-8287-E2A29821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816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38</cp:revision>
  <dcterms:created xsi:type="dcterms:W3CDTF">2014-11-18T06:47:00Z</dcterms:created>
  <dcterms:modified xsi:type="dcterms:W3CDTF">2015-10-30T01:02:00Z</dcterms:modified>
</cp:coreProperties>
</file>