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A1" w:rsidRDefault="0082238F" w:rsidP="008A1B60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BC1C66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8D75A1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8D75A1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8D75A1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8D75A1"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 w:rsidR="008D75A1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8D75A1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8D75A1" w:rsidRPr="008D75A1" w:rsidRDefault="008D75A1" w:rsidP="008D75A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08" w:history="1">
        <w:r w:rsidRPr="008D75A1">
          <w:rPr>
            <w:rStyle w:val="Hyperlink"/>
            <w:rFonts w:ascii="IRBadr" w:hAnsi="IRBadr" w:cs="IRBadr"/>
            <w:noProof/>
            <w:rtl/>
          </w:rPr>
          <w:t>استشهاد به آیه نفر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_Toc433905108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2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09" w:history="1">
        <w:r w:rsidRPr="008D75A1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_Toc433905109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2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10" w:history="1">
        <w:r w:rsidRPr="008D75A1">
          <w:rPr>
            <w:rStyle w:val="Hyperlink"/>
            <w:rFonts w:ascii="IRBadr" w:hAnsi="IRBadr" w:cs="IRBadr"/>
            <w:noProof/>
            <w:rtl/>
          </w:rPr>
          <w:t>لزوم افاده وجوب در این باب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_Toc433905110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2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11" w:history="1">
        <w:r>
          <w:rPr>
            <w:rStyle w:val="Hyperlink"/>
            <w:rFonts w:ascii="IRBadr" w:hAnsi="IRBadr" w:cs="IRBadr"/>
            <w:noProof/>
            <w:rtl/>
          </w:rPr>
          <w:t>جمع‌بندی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_Toc433905111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2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12" w:history="1">
        <w:r w:rsidRPr="008D75A1">
          <w:rPr>
            <w:rStyle w:val="Hyperlink"/>
            <w:rFonts w:ascii="IRBadr" w:hAnsi="IRBadr" w:cs="IRBadr"/>
            <w:noProof/>
            <w:rtl/>
          </w:rPr>
          <w:t>ادله وجوب حذر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_Toc433905112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2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13" w:history="1">
        <w:r w:rsidRPr="008D75A1">
          <w:rPr>
            <w:rStyle w:val="Hyperlink"/>
            <w:rFonts w:ascii="IRBadr" w:hAnsi="IRBadr" w:cs="IRBadr"/>
            <w:noProof/>
            <w:rtl/>
          </w:rPr>
          <w:t>دلیل اول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_Toc433905113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3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14" w:history="1">
        <w:r w:rsidRPr="008D75A1">
          <w:rPr>
            <w:rStyle w:val="Hyperlink"/>
            <w:rFonts w:ascii="IRBadr" w:hAnsi="IRBadr" w:cs="IRBadr"/>
            <w:noProof/>
            <w:rtl/>
          </w:rPr>
          <w:t>دلیل دوم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_Toc433905114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3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15" w:history="1">
        <w:r w:rsidRPr="008D75A1">
          <w:rPr>
            <w:rStyle w:val="Hyperlink"/>
            <w:rFonts w:ascii="IRBadr" w:hAnsi="IRBadr" w:cs="IRBadr"/>
            <w:noProof/>
            <w:rtl/>
          </w:rPr>
          <w:t>دلیل سوم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_Toc433905115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3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16" w:history="1">
        <w:r w:rsidRPr="008D75A1">
          <w:rPr>
            <w:rStyle w:val="Hyperlink"/>
            <w:rFonts w:ascii="IRBadr" w:hAnsi="IRBadr" w:cs="IRBadr"/>
            <w:noProof/>
            <w:rtl/>
          </w:rPr>
          <w:t>لزوم اطلاق حذر در این مقام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_Toc433905116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3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17" w:history="1">
        <w:r w:rsidRPr="008D75A1">
          <w:rPr>
            <w:rStyle w:val="Hyperlink"/>
            <w:rFonts w:ascii="IRBadr" w:hAnsi="IRBadr" w:cs="IRBadr"/>
            <w:noProof/>
            <w:rtl/>
          </w:rPr>
          <w:t>علیت بحث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_Toc433905117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3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18" w:history="1">
        <w:r w:rsidRPr="008D75A1">
          <w:rPr>
            <w:rStyle w:val="Hyperlink"/>
            <w:rFonts w:ascii="IRBadr" w:hAnsi="IRBadr" w:cs="IRBadr"/>
            <w:noProof/>
            <w:rtl/>
          </w:rPr>
          <w:t>حالات فتوای مجتهد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_Toc433905118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3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19" w:history="1">
        <w:r w:rsidRPr="008D75A1">
          <w:rPr>
            <w:rStyle w:val="Hyperlink"/>
            <w:rFonts w:ascii="IRBadr" w:hAnsi="IRBadr" w:cs="IRBadr"/>
            <w:noProof/>
            <w:rtl/>
          </w:rPr>
          <w:t>حالت اول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_Toc433905119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4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20" w:history="1">
        <w:r w:rsidRPr="008D75A1">
          <w:rPr>
            <w:rStyle w:val="Hyperlink"/>
            <w:rFonts w:ascii="IRBadr" w:hAnsi="IRBadr" w:cs="IRBadr"/>
            <w:noProof/>
            <w:rtl/>
          </w:rPr>
          <w:t>حالت دوم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_Toc433905120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4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21" w:history="1">
        <w:r w:rsidRPr="008D75A1">
          <w:rPr>
            <w:rStyle w:val="Hyperlink"/>
            <w:rFonts w:ascii="IRBadr" w:hAnsi="IRBadr" w:cs="IRBadr"/>
            <w:noProof/>
            <w:rtl/>
          </w:rPr>
          <w:t>تمثیل بحث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_Toc433905121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4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22" w:history="1">
        <w:r w:rsidRPr="008D75A1">
          <w:rPr>
            <w:rStyle w:val="Hyperlink"/>
            <w:rFonts w:ascii="IRBadr" w:hAnsi="IRBadr" w:cs="IRBadr"/>
            <w:noProof/>
            <w:rtl/>
          </w:rPr>
          <w:t>خدشه در مقدمه فوق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_Toc433905122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4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23" w:history="1">
        <w:r w:rsidRPr="008D75A1">
          <w:rPr>
            <w:rStyle w:val="Hyperlink"/>
            <w:rFonts w:ascii="IRBadr" w:hAnsi="IRBadr" w:cs="IRBadr"/>
            <w:noProof/>
            <w:rtl/>
          </w:rPr>
          <w:t>طریق اثبات مقدمه اخیر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_Toc433905123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4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24" w:history="1">
        <w:r w:rsidRPr="008D75A1">
          <w:rPr>
            <w:rStyle w:val="Hyperlink"/>
            <w:rFonts w:ascii="IRBadr" w:hAnsi="IRBadr" w:cs="IRBadr"/>
            <w:noProof/>
            <w:rtl/>
          </w:rPr>
          <w:t>شواهد بحث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_Toc433905124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5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25" w:history="1">
        <w:r w:rsidRPr="008D75A1">
          <w:rPr>
            <w:rStyle w:val="Hyperlink"/>
            <w:rFonts w:ascii="IRBadr" w:hAnsi="IRBadr" w:cs="IRBadr"/>
            <w:noProof/>
            <w:rtl/>
          </w:rPr>
          <w:t>شاهد اول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_Toc433905125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5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26" w:history="1">
        <w:r w:rsidRPr="008D75A1">
          <w:rPr>
            <w:rStyle w:val="Hyperlink"/>
            <w:rFonts w:ascii="IRBadr" w:hAnsi="IRBadr" w:cs="IRBadr"/>
            <w:noProof/>
            <w:rtl/>
          </w:rPr>
          <w:t>مناقشه در استدلال فوق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_Toc433905126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5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27" w:history="1">
        <w:r w:rsidRPr="008D75A1">
          <w:rPr>
            <w:rStyle w:val="Hyperlink"/>
            <w:rFonts w:ascii="IRBadr" w:hAnsi="IRBadr" w:cs="IRBadr"/>
            <w:noProof/>
            <w:rtl/>
          </w:rPr>
          <w:t>شاهد دوم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_Toc433905127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5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Pr="008D75A1" w:rsidRDefault="008D75A1" w:rsidP="008D75A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5128" w:history="1">
        <w:r w:rsidRPr="008D75A1">
          <w:rPr>
            <w:rStyle w:val="Hyperlink"/>
            <w:rFonts w:ascii="IRBadr" w:hAnsi="IRBadr" w:cs="IRBadr"/>
            <w:noProof/>
            <w:rtl/>
          </w:rPr>
          <w:t>اتخاذ مبنا</w:t>
        </w:r>
        <w:r w:rsidRPr="008D75A1">
          <w:rPr>
            <w:rFonts w:ascii="IRBadr" w:hAnsi="IRBadr" w:cs="IRBadr"/>
            <w:noProof/>
            <w:webHidden/>
          </w:rPr>
          <w:tab/>
        </w:r>
        <w:r w:rsidRPr="008D75A1">
          <w:rPr>
            <w:rFonts w:ascii="IRBadr" w:hAnsi="IRBadr" w:cs="IRBadr"/>
            <w:noProof/>
            <w:webHidden/>
          </w:rPr>
          <w:fldChar w:fldCharType="begin"/>
        </w:r>
        <w:r w:rsidRPr="008D75A1">
          <w:rPr>
            <w:rFonts w:ascii="IRBadr" w:hAnsi="IRBadr" w:cs="IRBadr"/>
            <w:noProof/>
            <w:webHidden/>
          </w:rPr>
          <w:instrText xml:space="preserve"> PAGEREF _Toc433905128 \h </w:instrText>
        </w:r>
        <w:r w:rsidRPr="008D75A1">
          <w:rPr>
            <w:rFonts w:ascii="IRBadr" w:hAnsi="IRBadr" w:cs="IRBadr"/>
            <w:noProof/>
            <w:webHidden/>
          </w:rPr>
        </w:r>
        <w:r w:rsidRPr="008D75A1">
          <w:rPr>
            <w:rFonts w:ascii="IRBadr" w:hAnsi="IRBadr" w:cs="IRBadr"/>
            <w:noProof/>
            <w:webHidden/>
          </w:rPr>
          <w:fldChar w:fldCharType="separate"/>
        </w:r>
        <w:r w:rsidRPr="008D75A1">
          <w:rPr>
            <w:rFonts w:ascii="IRBadr" w:hAnsi="IRBadr" w:cs="IRBadr"/>
            <w:noProof/>
            <w:webHidden/>
          </w:rPr>
          <w:t>5</w:t>
        </w:r>
        <w:r w:rsidRPr="008D75A1">
          <w:rPr>
            <w:rFonts w:ascii="IRBadr" w:hAnsi="IRBadr" w:cs="IRBadr"/>
            <w:noProof/>
            <w:webHidden/>
          </w:rPr>
          <w:fldChar w:fldCharType="end"/>
        </w:r>
      </w:hyperlink>
    </w:p>
    <w:p w:rsidR="008D75A1" w:rsidRDefault="008D75A1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D75A1" w:rsidRDefault="008D75A1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8A1B60" w:rsidRDefault="008A1B60" w:rsidP="008A1B60">
      <w:pPr>
        <w:pStyle w:val="Heading1"/>
        <w:rPr>
          <w:rtl/>
        </w:rPr>
      </w:pPr>
      <w:bookmarkStart w:id="1" w:name="_Toc433905108"/>
      <w:r>
        <w:rPr>
          <w:rFonts w:hint="cs"/>
          <w:rtl/>
        </w:rPr>
        <w:lastRenderedPageBreak/>
        <w:t>استشهاد به آیه نفر</w:t>
      </w:r>
      <w:bookmarkEnd w:id="1"/>
    </w:p>
    <w:p w:rsidR="008A1B60" w:rsidRDefault="008A1B60" w:rsidP="008A1B60">
      <w:pPr>
        <w:pStyle w:val="Heading1"/>
        <w:rPr>
          <w:rtl/>
        </w:rPr>
      </w:pPr>
      <w:bookmarkStart w:id="2" w:name="_Toc433905109"/>
      <w:r>
        <w:rPr>
          <w:rFonts w:hint="cs"/>
          <w:rtl/>
        </w:rPr>
        <w:t>مرور بحث گذشته</w:t>
      </w:r>
      <w:bookmarkEnd w:id="2"/>
    </w:p>
    <w:p w:rsidR="00AA5D49" w:rsidRDefault="00826CE1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در آیه شریفه نفر بود و در این آیه بر حجیت فتوا در قبال عامی استشهاد شده بود.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رس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یدیم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بخش نهایی آیه که فراز شریفه شاید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بر حذر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شوند،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بود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استدلال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این آیه متوقف بر چند نکته است؛</w:t>
      </w:r>
    </w:p>
    <w:p w:rsidR="00826CE1" w:rsidRDefault="00826CE1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یک نکته این بود که مقصود از این حذر،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حذر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عملی است که صرف حذر نفسانی مقصود نیست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تردیدی نیست ظاهر آیه همین است.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حذر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عملی در عقائد ایجاد باور است،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اخلاق زدودن رذیله از خود است و در احکام به معنی انطباق فعل خود با حکم است.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مقامات مختلف مصادیق گوناگونی پیدا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م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A1B60" w:rsidRDefault="008A1B60" w:rsidP="008A1B60">
      <w:pPr>
        <w:pStyle w:val="Heading2"/>
        <w:rPr>
          <w:rtl/>
        </w:rPr>
      </w:pPr>
      <w:bookmarkStart w:id="3" w:name="_Toc433905110"/>
      <w:r>
        <w:rPr>
          <w:rFonts w:hint="cs"/>
          <w:rtl/>
        </w:rPr>
        <w:t>لزوم افاده وجوب در این باب</w:t>
      </w:r>
      <w:bookmarkEnd w:id="3"/>
    </w:p>
    <w:p w:rsidR="00826CE1" w:rsidRDefault="00826CE1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مقدمه دیگر این است که این فراز مفید وجوب حذر است،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افاده محبوبیت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شکی وجود ندارد.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صرف احتمال محبوبیت مطلقه یا رجحان و استحباب،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استدلال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تمام نخواهد کرد و حجیت را اتیان نخواهد نمود.</w:t>
      </w:r>
    </w:p>
    <w:p w:rsidR="00826CE1" w:rsidRDefault="008D75A1" w:rsidP="008A1B60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97075C" w:rsidRDefault="00826CE1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باید حذر عملی باشد و ثانیاً حکم وجوب داشته باشد که مخاطب به مفاد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لازم است</w:t>
      </w:r>
      <w:r w:rsidR="0097075C">
        <w:rPr>
          <w:rFonts w:ascii="IRBadr" w:hAnsi="IRBadr" w:cs="IRBadr" w:hint="cs"/>
          <w:sz w:val="28"/>
          <w:szCs w:val="28"/>
          <w:rtl/>
          <w:lang w:bidi="fa-IR"/>
        </w:rPr>
        <w:t xml:space="preserve"> توجه کند تا حجیت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97075C">
        <w:rPr>
          <w:rFonts w:ascii="IRBadr" w:hAnsi="IRBadr" w:cs="IRBadr" w:hint="cs"/>
          <w:sz w:val="28"/>
          <w:szCs w:val="28"/>
          <w:rtl/>
          <w:lang w:bidi="fa-IR"/>
        </w:rPr>
        <w:t xml:space="preserve"> قطعی گردد.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97075C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به دنبال حجیت تمام هستیم که شارع این فتوا را طریق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به‌واقع</w:t>
      </w:r>
      <w:r w:rsidR="0097075C">
        <w:rPr>
          <w:rFonts w:ascii="IRBadr" w:hAnsi="IRBadr" w:cs="IRBadr" w:hint="cs"/>
          <w:sz w:val="28"/>
          <w:szCs w:val="28"/>
          <w:rtl/>
          <w:lang w:bidi="fa-IR"/>
        </w:rPr>
        <w:t xml:space="preserve"> قرار داده است.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97075C">
        <w:rPr>
          <w:rFonts w:ascii="IRBadr" w:hAnsi="IRBadr" w:cs="IRBadr" w:hint="cs"/>
          <w:sz w:val="28"/>
          <w:szCs w:val="28"/>
          <w:rtl/>
          <w:lang w:bidi="fa-IR"/>
        </w:rPr>
        <w:t xml:space="preserve"> محبوبیت در اینجا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به‌تنهایی</w:t>
      </w:r>
      <w:r w:rsidR="0097075C">
        <w:rPr>
          <w:rFonts w:ascii="IRBadr" w:hAnsi="IRBadr" w:cs="IRBadr" w:hint="cs"/>
          <w:sz w:val="28"/>
          <w:szCs w:val="28"/>
          <w:rtl/>
          <w:lang w:bidi="fa-IR"/>
        </w:rPr>
        <w:t xml:space="preserve"> کافی نخواهد بود.</w:t>
      </w:r>
    </w:p>
    <w:p w:rsidR="008A1B60" w:rsidRDefault="008A1B60" w:rsidP="008A1B60">
      <w:pPr>
        <w:pStyle w:val="Heading2"/>
        <w:rPr>
          <w:rtl/>
        </w:rPr>
      </w:pPr>
      <w:bookmarkStart w:id="4" w:name="_Toc433905112"/>
      <w:r>
        <w:rPr>
          <w:rFonts w:hint="cs"/>
          <w:rtl/>
        </w:rPr>
        <w:t>ادله وجوب حذر</w:t>
      </w:r>
      <w:bookmarkEnd w:id="4"/>
    </w:p>
    <w:p w:rsidR="008A1B60" w:rsidRDefault="0097075C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چه دلیلی بر این وجوب حذر وجود دارد؟ چراکه در اینجا در این زمینه صیغه امری وجود ندارد.</w:t>
      </w:r>
    </w:p>
    <w:p w:rsidR="008A1B60" w:rsidRDefault="008A1B60" w:rsidP="008A1B60">
      <w:pPr>
        <w:pStyle w:val="Heading2"/>
        <w:rPr>
          <w:rtl/>
        </w:rPr>
      </w:pPr>
      <w:bookmarkStart w:id="5" w:name="_Toc433905113"/>
      <w:r>
        <w:rPr>
          <w:rFonts w:hint="cs"/>
          <w:rtl/>
        </w:rPr>
        <w:lastRenderedPageBreak/>
        <w:t>دلیل اول</w:t>
      </w:r>
      <w:bookmarkEnd w:id="5"/>
    </w:p>
    <w:p w:rsidR="0097075C" w:rsidRDefault="0097075C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استدلال بر این مطلب این است که در آیه انذاری وجود دارد که مستلزم عقاب است، و انذار با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رجحان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هم‌خوانی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ندارد.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طرفی دیگر در مقدمات وجوب بود و غایت وجوب نیز واجب خواهد شد.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غایت واجب واجب است.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سیاق آیه اقتضاء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م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حذر وجوب را افاده دهد.</w:t>
      </w:r>
    </w:p>
    <w:p w:rsidR="008A1B60" w:rsidRDefault="008A1B60" w:rsidP="008A1B60">
      <w:pPr>
        <w:pStyle w:val="Heading2"/>
        <w:rPr>
          <w:rtl/>
        </w:rPr>
      </w:pPr>
      <w:bookmarkStart w:id="6" w:name="_Toc433905114"/>
      <w:r>
        <w:rPr>
          <w:rFonts w:hint="cs"/>
          <w:rtl/>
        </w:rPr>
        <w:t>دلیل دوم</w:t>
      </w:r>
      <w:bookmarkEnd w:id="6"/>
    </w:p>
    <w:p w:rsidR="0097075C" w:rsidRDefault="0097075C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علاوه بر اینکه خود ماده حذر مستلزم رهایی از امر دارای خطر است.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مجموع و تأکیداتی که در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آ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بع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نبوده که دلالت بر وجوب کند،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گفته شد دلالت لولا آکد از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امربر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وجوب است.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E126BF">
        <w:rPr>
          <w:rFonts w:ascii="IRBadr" w:hAnsi="IRBadr" w:cs="IRBadr" w:hint="cs"/>
          <w:sz w:val="28"/>
          <w:szCs w:val="28"/>
          <w:rtl/>
          <w:lang w:bidi="fa-IR"/>
        </w:rPr>
        <w:t xml:space="preserve"> نیز مقدمه دومی است که آیه بر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E126BF">
        <w:rPr>
          <w:rFonts w:ascii="IRBadr" w:hAnsi="IRBadr" w:cs="IRBadr" w:hint="cs"/>
          <w:sz w:val="28"/>
          <w:szCs w:val="28"/>
          <w:rtl/>
          <w:lang w:bidi="fa-IR"/>
        </w:rPr>
        <w:t xml:space="preserve"> توقف دارد.</w:t>
      </w:r>
    </w:p>
    <w:p w:rsidR="008A1B60" w:rsidRDefault="008A1B60" w:rsidP="008A1B60">
      <w:pPr>
        <w:pStyle w:val="Heading2"/>
        <w:rPr>
          <w:rtl/>
        </w:rPr>
      </w:pPr>
      <w:bookmarkStart w:id="7" w:name="_Toc433905115"/>
      <w:r>
        <w:rPr>
          <w:rFonts w:hint="cs"/>
          <w:rtl/>
        </w:rPr>
        <w:t>دلیل سوم</w:t>
      </w:r>
      <w:bookmarkEnd w:id="7"/>
    </w:p>
    <w:p w:rsidR="008A1B60" w:rsidRDefault="00E126BF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گاهی بیان دیگری در اینجا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اگر بر حذر شدن وجوب نداش</w:t>
      </w:r>
      <w:r w:rsidR="008A1B60">
        <w:rPr>
          <w:rFonts w:ascii="IRBadr" w:hAnsi="IRBadr" w:cs="IRBadr" w:hint="cs"/>
          <w:sz w:val="28"/>
          <w:szCs w:val="28"/>
          <w:rtl/>
          <w:lang w:bidi="fa-IR"/>
        </w:rPr>
        <w:t>ت</w:t>
      </w:r>
      <w:r>
        <w:rPr>
          <w:rFonts w:ascii="IRBadr" w:hAnsi="IRBadr" w:cs="IRBadr" w:hint="cs"/>
          <w:sz w:val="28"/>
          <w:szCs w:val="28"/>
          <w:rtl/>
          <w:lang w:bidi="fa-IR"/>
        </w:rPr>
        <w:t>ه باشد،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فرازهای دیگر وارد در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آ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لغویتی لازم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م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A1B60" w:rsidRDefault="008A1B60" w:rsidP="008A1B60">
      <w:pPr>
        <w:pStyle w:val="Heading2"/>
        <w:rPr>
          <w:rtl/>
        </w:rPr>
      </w:pPr>
      <w:bookmarkStart w:id="8" w:name="_Toc433905116"/>
      <w:r>
        <w:rPr>
          <w:rFonts w:hint="cs"/>
          <w:rtl/>
        </w:rPr>
        <w:t>لزوم اطلاق حذر در این مقام</w:t>
      </w:r>
      <w:bookmarkEnd w:id="8"/>
    </w:p>
    <w:p w:rsidR="00E126BF" w:rsidRDefault="00E126BF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مقدمه سومی که در ذیل آیه باید بدان توجه نمود،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حذر در آیه شریفه مطلق است و این بر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متوقف بوده که آیه از جمیع جهات در مقام بیان است.</w:t>
      </w:r>
    </w:p>
    <w:p w:rsidR="008A1B60" w:rsidRDefault="008A1B60" w:rsidP="008A1B60">
      <w:pPr>
        <w:pStyle w:val="Heading2"/>
        <w:rPr>
          <w:rtl/>
        </w:rPr>
      </w:pPr>
      <w:bookmarkStart w:id="9" w:name="_Toc433905117"/>
      <w:r>
        <w:rPr>
          <w:rFonts w:hint="cs"/>
          <w:rtl/>
        </w:rPr>
        <w:t>علیت بحث</w:t>
      </w:r>
      <w:bookmarkEnd w:id="9"/>
    </w:p>
    <w:p w:rsidR="008A1B60" w:rsidRDefault="008A1B60" w:rsidP="008A1B60">
      <w:pPr>
        <w:pStyle w:val="Heading2"/>
        <w:rPr>
          <w:rtl/>
        </w:rPr>
      </w:pPr>
      <w:bookmarkStart w:id="10" w:name="_Toc433905118"/>
      <w:r>
        <w:rPr>
          <w:rFonts w:hint="cs"/>
          <w:rtl/>
        </w:rPr>
        <w:t>حالات فتوای مجتهد</w:t>
      </w:r>
      <w:bookmarkEnd w:id="10"/>
    </w:p>
    <w:p w:rsidR="008A1B60" w:rsidRDefault="008A1B60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چراکه فتوای مجتهد دو حالت دارد؛</w:t>
      </w:r>
    </w:p>
    <w:p w:rsidR="008A1B60" w:rsidRDefault="008A1B60" w:rsidP="008A1B60">
      <w:pPr>
        <w:pStyle w:val="Heading2"/>
        <w:rPr>
          <w:rtl/>
        </w:rPr>
      </w:pPr>
      <w:bookmarkStart w:id="11" w:name="_Toc433905119"/>
      <w:r>
        <w:rPr>
          <w:rFonts w:hint="cs"/>
          <w:rtl/>
        </w:rPr>
        <w:lastRenderedPageBreak/>
        <w:t>حالت اول</w:t>
      </w:r>
      <w:bookmarkEnd w:id="11"/>
    </w:p>
    <w:p w:rsidR="00E126BF" w:rsidRDefault="00E126BF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گاهی با صدور فتوا فرد را به اطمینانی عرفی یا یقینی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م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ی‌رساند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در این حالت </w:t>
      </w:r>
      <w:r w:rsidR="008E3B82">
        <w:rPr>
          <w:rFonts w:ascii="IRBadr" w:hAnsi="IRBadr" w:cs="IRBadr" w:hint="cs"/>
          <w:sz w:val="28"/>
          <w:szCs w:val="28"/>
          <w:rtl/>
          <w:lang w:bidi="fa-IR"/>
        </w:rPr>
        <w:t xml:space="preserve">فتوا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و انذار</w:t>
      </w:r>
      <w:r w:rsidR="008E3B82">
        <w:rPr>
          <w:rFonts w:ascii="IRBadr" w:hAnsi="IRBadr" w:cs="IRBadr" w:hint="cs"/>
          <w:sz w:val="28"/>
          <w:szCs w:val="28"/>
          <w:rtl/>
          <w:lang w:bidi="fa-IR"/>
        </w:rPr>
        <w:t xml:space="preserve"> دارای اثر در عمل مکلف بوده از حیث اینکه برای او تولید قطع و اطمینان کرده است.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8E3B82"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افتاء و انذار او بماهوهو حجیت ندارد.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8E3B82">
        <w:rPr>
          <w:rFonts w:ascii="IRBadr" w:hAnsi="IRBadr" w:cs="IRBadr" w:hint="cs"/>
          <w:sz w:val="28"/>
          <w:szCs w:val="28"/>
          <w:rtl/>
          <w:lang w:bidi="fa-IR"/>
        </w:rPr>
        <w:t xml:space="preserve"> صورت را همه قبول دارند و در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8E3B82">
        <w:rPr>
          <w:rFonts w:ascii="IRBadr" w:hAnsi="IRBadr" w:cs="IRBadr" w:hint="cs"/>
          <w:sz w:val="28"/>
          <w:szCs w:val="28"/>
          <w:rtl/>
          <w:lang w:bidi="fa-IR"/>
        </w:rPr>
        <w:t xml:space="preserve"> شکی نیست.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8E3B82">
        <w:rPr>
          <w:rFonts w:ascii="IRBadr" w:hAnsi="IRBadr" w:cs="IRBadr" w:hint="cs"/>
          <w:sz w:val="28"/>
          <w:szCs w:val="28"/>
          <w:rtl/>
          <w:lang w:bidi="fa-IR"/>
        </w:rPr>
        <w:t xml:space="preserve"> در حالتی که گفته شود اطمینان عرفی از باب قطع است.</w:t>
      </w:r>
    </w:p>
    <w:p w:rsidR="008A1B60" w:rsidRDefault="008A1B60" w:rsidP="008A1B60">
      <w:pPr>
        <w:pStyle w:val="Heading2"/>
        <w:rPr>
          <w:rtl/>
        </w:rPr>
      </w:pPr>
      <w:bookmarkStart w:id="12" w:name="_Toc433905120"/>
      <w:r>
        <w:rPr>
          <w:rFonts w:hint="cs"/>
          <w:rtl/>
        </w:rPr>
        <w:t>حالت دوم</w:t>
      </w:r>
      <w:bookmarkEnd w:id="12"/>
    </w:p>
    <w:p w:rsidR="008E3B82" w:rsidRDefault="008E3B82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صورت دوم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شخص به اطمینان و حتی به ظن شخصی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 صورت نیز گفته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م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برای او حجت است،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صورت مهمی است.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در صورتی ثابت خواهد شد که مطلقاً هر دو صورت را دربر گیرد.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والا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گفته شود حذر در اینجا به نحو قضایای مهمله است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و تنها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صورت اولی را دربر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م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حج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لازم از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استفاده نخواهد شد.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اول حجیت تنها از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قطع است نه اینکه فتوا دارای اثر بوده است.</w:t>
      </w:r>
    </w:p>
    <w:p w:rsidR="008A1B60" w:rsidRDefault="008A1B60" w:rsidP="008A1B60">
      <w:pPr>
        <w:pStyle w:val="Heading2"/>
        <w:rPr>
          <w:rtl/>
        </w:rPr>
      </w:pPr>
      <w:bookmarkStart w:id="13" w:name="_Toc433905121"/>
      <w:r>
        <w:rPr>
          <w:rFonts w:hint="cs"/>
          <w:rtl/>
        </w:rPr>
        <w:t>تمثیل بحث</w:t>
      </w:r>
      <w:bookmarkEnd w:id="13"/>
    </w:p>
    <w:p w:rsidR="00E605F5" w:rsidRDefault="00E605F5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بحث همانند خبر واحد است که اگر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اطمینان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آور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دارای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ح</w:t>
      </w:r>
      <w:r>
        <w:rPr>
          <w:rFonts w:ascii="IRBadr" w:hAnsi="IRBadr" w:cs="IRBadr" w:hint="cs"/>
          <w:sz w:val="28"/>
          <w:szCs w:val="28"/>
          <w:rtl/>
          <w:lang w:bidi="fa-IR"/>
        </w:rPr>
        <w:t>جیت بوده اطمینان است.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گفته شود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باوجود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ظن نوعی نیز باید به خبر عمل کرد،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معلوم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م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نفس خبر دارای حجیت بوده است.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استدلال بر آیه بر این مقدمه سوم نیز توقف دارد.</w:t>
      </w:r>
    </w:p>
    <w:p w:rsidR="008A1B60" w:rsidRDefault="008A1B60" w:rsidP="008A1B60">
      <w:pPr>
        <w:pStyle w:val="Heading2"/>
        <w:rPr>
          <w:rtl/>
        </w:rPr>
      </w:pPr>
      <w:bookmarkStart w:id="14" w:name="_Toc433905122"/>
      <w:r>
        <w:rPr>
          <w:rFonts w:hint="cs"/>
          <w:rtl/>
        </w:rPr>
        <w:t>خدشه در مقدمه فوق</w:t>
      </w:r>
      <w:bookmarkEnd w:id="14"/>
    </w:p>
    <w:p w:rsidR="00E605F5" w:rsidRDefault="00E605F5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مقدمه محل کلام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و مرحوم آقای حائری با صراحت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م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مقام بیان نیست،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مقابل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نظریه مشهور و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آقای خویی قرار دارد که ایشان از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مصباح الاصول بحث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A1B60" w:rsidRDefault="008A1B60" w:rsidP="008A1B60">
      <w:pPr>
        <w:pStyle w:val="Heading2"/>
        <w:rPr>
          <w:rtl/>
        </w:rPr>
      </w:pPr>
      <w:bookmarkStart w:id="15" w:name="_Toc433905123"/>
      <w:r>
        <w:rPr>
          <w:rFonts w:hint="cs"/>
          <w:rtl/>
        </w:rPr>
        <w:t>طریق اثبات مقدمه اخیر</w:t>
      </w:r>
      <w:bookmarkEnd w:id="15"/>
    </w:p>
    <w:p w:rsidR="00E605F5" w:rsidRDefault="00E605F5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طریق اثبات این مقدمه چیست؟</w:t>
      </w:r>
    </w:p>
    <w:p w:rsidR="00E605F5" w:rsidRDefault="00E605F5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 مانعی که در اینجا وجود دارد این است که حذر در اینجا دارای امری نیست،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مقداری شمول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مقام بیان مورد مناقشه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درحالی‌که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فاحذروا،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این مطلب به نحو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آسان‌تری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قابل‌اثبات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نافین استدلال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م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آیه متمرکز بر این است که وظیفه گروهی است که به اجتهاد برسند و منذر قوم شوند،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همیشه باید بدان عمل کنند،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چن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چیزی از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استخراج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 آقای حائری است.</w:t>
      </w:r>
    </w:p>
    <w:p w:rsidR="008A1B60" w:rsidRDefault="008A1B60" w:rsidP="008A1B60">
      <w:pPr>
        <w:pStyle w:val="Heading2"/>
        <w:rPr>
          <w:rtl/>
        </w:rPr>
      </w:pPr>
      <w:bookmarkStart w:id="16" w:name="_Toc433905124"/>
      <w:r>
        <w:rPr>
          <w:rFonts w:hint="cs"/>
          <w:rtl/>
        </w:rPr>
        <w:t>شواهد بحث</w:t>
      </w:r>
      <w:bookmarkEnd w:id="16"/>
    </w:p>
    <w:p w:rsidR="00E605F5" w:rsidRDefault="00E605F5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در نظریه مقابل که شاید به مشهور نسبت داد،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دارا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C2217">
        <w:rPr>
          <w:rFonts w:ascii="IRBadr" w:hAnsi="IRBadr" w:cs="IRBadr" w:hint="cs"/>
          <w:sz w:val="28"/>
          <w:szCs w:val="28"/>
          <w:rtl/>
          <w:lang w:bidi="fa-IR"/>
        </w:rPr>
        <w:t xml:space="preserve"> شواهدی است مانند اینکه؛</w:t>
      </w:r>
    </w:p>
    <w:p w:rsidR="00BC2217" w:rsidRDefault="00BC2217" w:rsidP="008A1B60">
      <w:pPr>
        <w:pStyle w:val="Heading2"/>
        <w:rPr>
          <w:rtl/>
        </w:rPr>
      </w:pPr>
      <w:bookmarkStart w:id="17" w:name="_Toc433905125"/>
      <w:r>
        <w:rPr>
          <w:rFonts w:hint="cs"/>
          <w:rtl/>
        </w:rPr>
        <w:t>شاهد اول</w:t>
      </w:r>
      <w:bookmarkEnd w:id="17"/>
    </w:p>
    <w:p w:rsidR="00BC2217" w:rsidRDefault="008D75A1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قانون‌گذار</w:t>
      </w:r>
      <w:r w:rsidR="00BC2217">
        <w:rPr>
          <w:rFonts w:ascii="IRBadr" w:hAnsi="IRBadr" w:cs="IRBadr" w:hint="cs"/>
          <w:sz w:val="28"/>
          <w:szCs w:val="28"/>
          <w:rtl/>
          <w:lang w:bidi="fa-IR"/>
        </w:rPr>
        <w:t xml:space="preserve"> در مقام تشریع،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="00BC2217">
        <w:rPr>
          <w:rFonts w:ascii="IRBadr" w:hAnsi="IRBadr" w:cs="IRBadr" w:hint="cs"/>
          <w:sz w:val="28"/>
          <w:szCs w:val="28"/>
          <w:rtl/>
          <w:lang w:bidi="fa-IR"/>
        </w:rPr>
        <w:t xml:space="preserve"> بر این است که در مقام بیان باشد و همه اطراف </w:t>
      </w:r>
      <w:r>
        <w:rPr>
          <w:rFonts w:ascii="IRBadr" w:hAnsi="IRBadr" w:cs="IRBadr"/>
          <w:sz w:val="28"/>
          <w:szCs w:val="28"/>
          <w:rtl/>
          <w:lang w:bidi="fa-IR"/>
        </w:rPr>
        <w:t>آ</w:t>
      </w:r>
      <w:r>
        <w:rPr>
          <w:rFonts w:ascii="IRBadr" w:hAnsi="IRBadr" w:cs="IRBadr" w:hint="cs"/>
          <w:sz w:val="28"/>
          <w:szCs w:val="28"/>
          <w:rtl/>
          <w:lang w:bidi="fa-IR"/>
        </w:rPr>
        <w:t>یه</w:t>
      </w:r>
      <w:r w:rsidR="00BC2217">
        <w:rPr>
          <w:rFonts w:ascii="IRBadr" w:hAnsi="IRBadr" w:cs="IRBadr" w:hint="cs"/>
          <w:sz w:val="28"/>
          <w:szCs w:val="28"/>
          <w:rtl/>
          <w:lang w:bidi="fa-IR"/>
        </w:rPr>
        <w:t xml:space="preserve"> را لحاظ کرده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BC2217">
        <w:rPr>
          <w:rFonts w:ascii="IRBadr" w:hAnsi="IRBadr" w:cs="IRBadr" w:hint="cs"/>
          <w:sz w:val="28"/>
          <w:szCs w:val="28"/>
          <w:rtl/>
          <w:lang w:bidi="fa-IR"/>
        </w:rPr>
        <w:t xml:space="preserve"> حیثی که اگر حیثی را </w:t>
      </w:r>
      <w:r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 w:rsidR="00BC2217">
        <w:rPr>
          <w:rFonts w:ascii="IRBadr" w:hAnsi="IRBadr" w:cs="IRBadr" w:hint="cs"/>
          <w:sz w:val="28"/>
          <w:szCs w:val="28"/>
          <w:rtl/>
          <w:lang w:bidi="fa-IR"/>
        </w:rPr>
        <w:t xml:space="preserve"> داشته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BC2217">
        <w:rPr>
          <w:rFonts w:ascii="IRBadr" w:hAnsi="IRBadr" w:cs="IRBadr" w:hint="cs"/>
          <w:sz w:val="28"/>
          <w:szCs w:val="28"/>
          <w:rtl/>
          <w:lang w:bidi="fa-IR"/>
        </w:rPr>
        <w:t xml:space="preserve"> بدان اشاره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ی‌نمود</w:t>
      </w:r>
      <w:r w:rsidR="00BC2217">
        <w:rPr>
          <w:rFonts w:ascii="IRBadr" w:hAnsi="IRBadr" w:cs="IRBadr" w:hint="cs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BC2217">
        <w:rPr>
          <w:rFonts w:ascii="IRBadr" w:hAnsi="IRBadr" w:cs="IRBadr" w:hint="cs"/>
          <w:sz w:val="28"/>
          <w:szCs w:val="28"/>
          <w:rtl/>
          <w:lang w:bidi="fa-IR"/>
        </w:rPr>
        <w:t xml:space="preserve"> مولای حکیم در اینجا متوجه همه جوانب داستان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BC2217">
        <w:rPr>
          <w:rFonts w:ascii="IRBadr" w:hAnsi="IRBadr" w:cs="IRBadr" w:hint="cs"/>
          <w:sz w:val="28"/>
          <w:szCs w:val="28"/>
          <w:rtl/>
          <w:lang w:bidi="fa-IR"/>
        </w:rPr>
        <w:t xml:space="preserve"> اینجا نیز حذر </w:t>
      </w:r>
      <w:r>
        <w:rPr>
          <w:rFonts w:ascii="IRBadr" w:hAnsi="IRBadr" w:cs="IRBadr" w:hint="cs"/>
          <w:sz w:val="28"/>
          <w:szCs w:val="28"/>
          <w:rtl/>
          <w:lang w:bidi="fa-IR"/>
        </w:rPr>
        <w:t>باوجوداینکه</w:t>
      </w:r>
      <w:r w:rsidR="00BC2217">
        <w:rPr>
          <w:rFonts w:ascii="IRBadr" w:hAnsi="IRBadr" w:cs="IRBadr" w:hint="cs"/>
          <w:sz w:val="28"/>
          <w:szCs w:val="28"/>
          <w:rtl/>
          <w:lang w:bidi="fa-IR"/>
        </w:rPr>
        <w:t xml:space="preserve"> غایت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BC2217">
        <w:rPr>
          <w:rFonts w:ascii="IRBadr" w:hAnsi="IRBadr" w:cs="IRBadr" w:hint="cs"/>
          <w:sz w:val="28"/>
          <w:szCs w:val="28"/>
          <w:rtl/>
          <w:lang w:bidi="fa-IR"/>
        </w:rPr>
        <w:t xml:space="preserve"> جمله ایست که در مقام تشریع و بیان یک حکم است.</w:t>
      </w:r>
    </w:p>
    <w:p w:rsidR="00BC2217" w:rsidRDefault="00BC2217" w:rsidP="008A1B60">
      <w:pPr>
        <w:pStyle w:val="Heading2"/>
        <w:rPr>
          <w:rtl/>
        </w:rPr>
      </w:pPr>
      <w:bookmarkStart w:id="18" w:name="_Toc433905126"/>
      <w:r>
        <w:rPr>
          <w:rFonts w:hint="cs"/>
          <w:rtl/>
        </w:rPr>
        <w:t>مناقشه در استدلال فوق</w:t>
      </w:r>
      <w:bookmarkEnd w:id="18"/>
    </w:p>
    <w:p w:rsidR="008E3B82" w:rsidRDefault="00BC2217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استدلال تا همین مقدار باش</w:t>
      </w:r>
      <w:r w:rsidR="008A1B60">
        <w:rPr>
          <w:rFonts w:ascii="IRBadr" w:hAnsi="IRBadr" w:cs="IRBadr" w:hint="cs"/>
          <w:sz w:val="28"/>
          <w:szCs w:val="28"/>
          <w:rtl/>
          <w:lang w:bidi="fa-IR"/>
        </w:rPr>
        <w:t>د،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="008A1B60">
        <w:rPr>
          <w:rFonts w:ascii="IRBadr" w:hAnsi="IRBadr" w:cs="IRBadr" w:hint="cs"/>
          <w:sz w:val="28"/>
          <w:szCs w:val="28"/>
          <w:rtl/>
          <w:lang w:bidi="fa-IR"/>
        </w:rPr>
        <w:t xml:space="preserve"> است گفته شود که در اینجا این اصل و قاعده عامه با مانعی مواجه است.</w:t>
      </w:r>
    </w:p>
    <w:p w:rsidR="008A1B60" w:rsidRDefault="008A1B60" w:rsidP="008A1B60">
      <w:pPr>
        <w:pStyle w:val="Heading2"/>
        <w:rPr>
          <w:rtl/>
        </w:rPr>
      </w:pPr>
      <w:bookmarkStart w:id="19" w:name="_Toc433905127"/>
      <w:r>
        <w:rPr>
          <w:rFonts w:hint="cs"/>
          <w:rtl/>
        </w:rPr>
        <w:t>شاهد دوم</w:t>
      </w:r>
      <w:bookmarkEnd w:id="19"/>
    </w:p>
    <w:p w:rsidR="008A1B60" w:rsidRDefault="008A1B60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شاهد در کلمات آقای خویی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نیز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آمده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و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اینکه؛ ظاهر آیه تکلیف همه مکلفین را معلوم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م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یعنی آحاد جامعه اسلامی در این بیانی قرار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م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ی‌گیرند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آ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فرموده شده است،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شاهد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فراز اول است که همه مکلفین به جهاد نروند،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گروه شوند.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برخ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مجتهد شوند تا بخش دیگر به کلام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 کنند.</w:t>
      </w:r>
    </w:p>
    <w:p w:rsidR="008A1B60" w:rsidRDefault="008A1B60" w:rsidP="008A1B60">
      <w:pPr>
        <w:pStyle w:val="Heading2"/>
        <w:rPr>
          <w:rtl/>
        </w:rPr>
      </w:pPr>
      <w:bookmarkStart w:id="20" w:name="_Toc433905128"/>
      <w:r>
        <w:rPr>
          <w:rFonts w:hint="cs"/>
          <w:rtl/>
        </w:rPr>
        <w:t>اتخاذ مبنا</w:t>
      </w:r>
      <w:bookmarkEnd w:id="20"/>
    </w:p>
    <w:p w:rsidR="008A1B60" w:rsidRDefault="008A1B60" w:rsidP="008A1B6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دلایل ممکن است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جدا محل خدشه قرار گیرد،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زمانی که در کنار یکدیگر قرار </w:t>
      </w:r>
      <w:r w:rsidR="008D75A1">
        <w:rPr>
          <w:rFonts w:ascii="IRBadr" w:hAnsi="IRBadr" w:cs="IRBadr"/>
          <w:sz w:val="28"/>
          <w:szCs w:val="28"/>
          <w:rtl/>
          <w:lang w:bidi="fa-IR"/>
        </w:rPr>
        <w:t>م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ی‌گیرند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بعید نیست که بتوان بر مدعی به </w:t>
      </w:r>
      <w:r w:rsidR="008D75A1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استدلال نمود.</w:t>
      </w:r>
    </w:p>
    <w:p w:rsidR="0097075C" w:rsidRDefault="0097075C" w:rsidP="0097075C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826CE1" w:rsidRPr="00BC1C66" w:rsidRDefault="00826CE1" w:rsidP="00826CE1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826CE1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C5" w:rsidRDefault="00C14CC5" w:rsidP="000D5800">
      <w:pPr>
        <w:spacing w:after="0" w:line="240" w:lineRule="auto"/>
      </w:pPr>
      <w:r>
        <w:separator/>
      </w:r>
    </w:p>
  </w:endnote>
  <w:endnote w:type="continuationSeparator" w:id="0">
    <w:p w:rsidR="00C14CC5" w:rsidRDefault="00C14CC5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A1" w:rsidRDefault="008D7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A1" w:rsidRDefault="008D7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A1" w:rsidRDefault="008D7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C5" w:rsidRDefault="00C14CC5" w:rsidP="000D5800">
      <w:pPr>
        <w:spacing w:after="0" w:line="240" w:lineRule="auto"/>
      </w:pPr>
      <w:r>
        <w:separator/>
      </w:r>
    </w:p>
  </w:footnote>
  <w:footnote w:type="continuationSeparator" w:id="0">
    <w:p w:rsidR="00C14CC5" w:rsidRDefault="00C14CC5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A1" w:rsidRDefault="008D7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4866E1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7A86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1" w:name="OLE_LINK1"/>
    <w:bookmarkStart w:id="22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1"/>
    <w:bookmarkEnd w:id="22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3499F">
      <w:rPr>
        <w:rFonts w:ascii="IranNastaliq" w:hAnsi="IranNastaliq" w:cs="IranNastaliq" w:hint="cs"/>
        <w:sz w:val="40"/>
        <w:szCs w:val="40"/>
        <w:rtl/>
        <w:lang w:bidi="fa-IR"/>
      </w:rPr>
      <w:t>466</w:t>
    </w:r>
    <w:r w:rsidR="004866E1">
      <w:rPr>
        <w:rFonts w:ascii="IranNastaliq" w:hAnsi="IranNastaliq" w:cs="IranNastaliq" w:hint="cs"/>
        <w:sz w:val="40"/>
        <w:szCs w:val="40"/>
        <w:rtl/>
        <w:lang w:bidi="fa-I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A1" w:rsidRDefault="008D7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C06B8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173B1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866E1"/>
    <w:rsid w:val="004B337F"/>
    <w:rsid w:val="004C367A"/>
    <w:rsid w:val="004E7830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26CE1"/>
    <w:rsid w:val="008407A4"/>
    <w:rsid w:val="00845CC4"/>
    <w:rsid w:val="008644F4"/>
    <w:rsid w:val="00883733"/>
    <w:rsid w:val="008965D2"/>
    <w:rsid w:val="008A1B60"/>
    <w:rsid w:val="008A236D"/>
    <w:rsid w:val="008B565A"/>
    <w:rsid w:val="008C3414"/>
    <w:rsid w:val="008D36D5"/>
    <w:rsid w:val="008D75A1"/>
    <w:rsid w:val="008E3B82"/>
    <w:rsid w:val="008E72E9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7075C"/>
    <w:rsid w:val="00980643"/>
    <w:rsid w:val="00992D2C"/>
    <w:rsid w:val="009B61C3"/>
    <w:rsid w:val="009C7B4F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A600A"/>
    <w:rsid w:val="00AD0304"/>
    <w:rsid w:val="00AD27BE"/>
    <w:rsid w:val="00AE2096"/>
    <w:rsid w:val="00AF0F1A"/>
    <w:rsid w:val="00B06BB8"/>
    <w:rsid w:val="00B15027"/>
    <w:rsid w:val="00B21CF4"/>
    <w:rsid w:val="00B22DF1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217"/>
    <w:rsid w:val="00BC26F6"/>
    <w:rsid w:val="00BD3122"/>
    <w:rsid w:val="00BD40DA"/>
    <w:rsid w:val="00BD6021"/>
    <w:rsid w:val="00C14CC5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26BF"/>
    <w:rsid w:val="00E143B0"/>
    <w:rsid w:val="00E55891"/>
    <w:rsid w:val="00E605F5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5432-49A8-4B11-B97A-C126F746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1640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54</cp:revision>
  <dcterms:created xsi:type="dcterms:W3CDTF">2014-11-18T06:47:00Z</dcterms:created>
  <dcterms:modified xsi:type="dcterms:W3CDTF">2015-10-30T01:04:00Z</dcterms:modified>
</cp:coreProperties>
</file>