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1C" w:rsidRDefault="0082238F" w:rsidP="00F63E1C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BC1C6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F63E1C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F63E1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63E1C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F63E1C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F63E1C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F63E1C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F63E1C" w:rsidRPr="00F63E1C" w:rsidRDefault="00F63E1C" w:rsidP="00F63E1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2" w:history="1">
        <w:r w:rsidRPr="00F63E1C">
          <w:rPr>
            <w:rStyle w:val="Hyperlink"/>
            <w:rFonts w:ascii="IRBadr" w:hAnsi="IRBadr" w:cs="IRBadr"/>
            <w:noProof/>
            <w:rtl/>
          </w:rPr>
          <w:t>استدلال به آیه نفر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_Toc434311132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2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3" w:history="1">
        <w:r w:rsidRPr="00F63E1C">
          <w:rPr>
            <w:rStyle w:val="Hyperlink"/>
            <w:rFonts w:ascii="IRBadr" w:hAnsi="IRBadr" w:cs="IRBadr"/>
            <w:noProof/>
            <w:rtl/>
          </w:rPr>
          <w:t>مقدمات بحث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_Toc434311133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2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4" w:history="1">
        <w:r w:rsidRPr="00F63E1C">
          <w:rPr>
            <w:rStyle w:val="Hyperlink"/>
            <w:rFonts w:ascii="IRBadr" w:hAnsi="IRBadr" w:cs="IRBadr"/>
            <w:noProof/>
            <w:rtl/>
          </w:rPr>
          <w:t>مروری بر این مقدمات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_Toc434311134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2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5" w:history="1">
        <w:r w:rsidRPr="00F63E1C">
          <w:rPr>
            <w:rStyle w:val="Hyperlink"/>
            <w:rFonts w:ascii="IRBadr" w:hAnsi="IRBadr" w:cs="IRBadr"/>
            <w:noProof/>
            <w:rtl/>
          </w:rPr>
          <w:t>اثبات اطلاق آیه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_Toc434311135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2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6" w:history="1">
        <w:r w:rsidRPr="00F63E1C">
          <w:rPr>
            <w:rStyle w:val="Hyperlink"/>
            <w:rFonts w:ascii="IRBadr" w:hAnsi="IRBadr" w:cs="IRBadr"/>
            <w:noProof/>
            <w:rtl/>
          </w:rPr>
          <w:t>شواهد عدم اطلاق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_Toc434311136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2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7" w:history="1">
        <w:r w:rsidRPr="00F63E1C">
          <w:rPr>
            <w:rStyle w:val="Hyperlink"/>
            <w:rFonts w:ascii="IRBadr" w:hAnsi="IRBadr" w:cs="IRBadr"/>
            <w:noProof/>
            <w:rtl/>
          </w:rPr>
          <w:t>شاهد اول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_Toc434311137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2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8" w:history="1">
        <w:r w:rsidRPr="00F63E1C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_Toc434311138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3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39" w:history="1">
        <w:r w:rsidRPr="00F63E1C">
          <w:rPr>
            <w:rStyle w:val="Hyperlink"/>
            <w:rFonts w:ascii="IRBadr" w:hAnsi="IRBadr" w:cs="IRBadr"/>
            <w:noProof/>
            <w:rtl/>
          </w:rPr>
          <w:t>پاسخ از شبهه فوق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_Toc434311139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3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40" w:history="1">
        <w:r w:rsidRPr="00F63E1C">
          <w:rPr>
            <w:rStyle w:val="Hyperlink"/>
            <w:rFonts w:ascii="IRBadr" w:hAnsi="IRBadr" w:cs="IRBadr"/>
            <w:noProof/>
            <w:rtl/>
          </w:rPr>
          <w:t>پاسخ مرحوم شیخ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_Toc434311140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3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41" w:history="1">
        <w:r w:rsidRPr="00F63E1C">
          <w:rPr>
            <w:rStyle w:val="Hyperlink"/>
            <w:rFonts w:ascii="IRBadr" w:hAnsi="IRBadr" w:cs="IRBadr"/>
            <w:noProof/>
            <w:rtl/>
          </w:rPr>
          <w:t>پاسخ مرحوم آقا ضیاء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_Toc434311141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3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42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_Toc434311142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4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311143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_Toc434311143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4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11144" w:history="1">
        <w:r w:rsidRPr="00F63E1C">
          <w:rPr>
            <w:rStyle w:val="Hyperlink"/>
            <w:rFonts w:ascii="IRBadr" w:hAnsi="IRBadr" w:cs="IRBadr"/>
            <w:noProof/>
            <w:rtl/>
          </w:rPr>
          <w:t>اجوبه اشکال فوق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_Toc434311144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4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11145" w:history="1">
        <w:r w:rsidRPr="00F63E1C">
          <w:rPr>
            <w:rStyle w:val="Hyperlink"/>
            <w:rFonts w:ascii="IRBadr" w:hAnsi="IRBadr" w:cs="IRBadr"/>
            <w:noProof/>
            <w:rtl/>
          </w:rPr>
          <w:t>وجه اول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_Toc434311145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4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11146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_Toc434311146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4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11147" w:history="1">
        <w:r w:rsidRPr="00F63E1C">
          <w:rPr>
            <w:rStyle w:val="Hyperlink"/>
            <w:rFonts w:ascii="IRBadr" w:hAnsi="IRBadr" w:cs="IRBadr"/>
            <w:noProof/>
            <w:rtl/>
          </w:rPr>
          <w:t>مناقشه در وجه اخیر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_Toc434311147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5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11148" w:history="1">
        <w:r w:rsidRPr="00F63E1C">
          <w:rPr>
            <w:rStyle w:val="Hyperlink"/>
            <w:rFonts w:ascii="IRBadr" w:hAnsi="IRBadr" w:cs="IRBadr"/>
            <w:noProof/>
            <w:rtl/>
          </w:rPr>
          <w:t>وجه دوم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_Toc434311148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5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Pr="00F63E1C" w:rsidRDefault="00F63E1C" w:rsidP="00F63E1C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311149" w:history="1">
        <w:r w:rsidRPr="00F63E1C">
          <w:rPr>
            <w:rStyle w:val="Hyperlink"/>
            <w:rFonts w:ascii="IRBadr" w:hAnsi="IRBadr" w:cs="IRBadr"/>
            <w:noProof/>
            <w:rtl/>
          </w:rPr>
          <w:t>مناقشه در وجه اخیر</w:t>
        </w:r>
        <w:r w:rsidRPr="00F63E1C">
          <w:rPr>
            <w:rFonts w:ascii="IRBadr" w:hAnsi="IRBadr" w:cs="IRBadr"/>
            <w:noProof/>
            <w:webHidden/>
          </w:rPr>
          <w:tab/>
        </w:r>
        <w:r w:rsidRPr="00F63E1C">
          <w:rPr>
            <w:rFonts w:ascii="IRBadr" w:hAnsi="IRBadr" w:cs="IRBadr"/>
            <w:noProof/>
            <w:webHidden/>
          </w:rPr>
          <w:fldChar w:fldCharType="begin"/>
        </w:r>
        <w:r w:rsidRPr="00F63E1C">
          <w:rPr>
            <w:rFonts w:ascii="IRBadr" w:hAnsi="IRBadr" w:cs="IRBadr"/>
            <w:noProof/>
            <w:webHidden/>
          </w:rPr>
          <w:instrText xml:space="preserve"> PAGEREF _Toc434311149 \h </w:instrText>
        </w:r>
        <w:r w:rsidRPr="00F63E1C">
          <w:rPr>
            <w:rFonts w:ascii="IRBadr" w:hAnsi="IRBadr" w:cs="IRBadr"/>
            <w:noProof/>
            <w:webHidden/>
          </w:rPr>
        </w:r>
        <w:r w:rsidRPr="00F63E1C">
          <w:rPr>
            <w:rFonts w:ascii="IRBadr" w:hAnsi="IRBadr" w:cs="IRBadr"/>
            <w:noProof/>
            <w:webHidden/>
          </w:rPr>
          <w:fldChar w:fldCharType="separate"/>
        </w:r>
        <w:r w:rsidRPr="00F63E1C">
          <w:rPr>
            <w:rFonts w:ascii="IRBadr" w:hAnsi="IRBadr" w:cs="IRBadr"/>
            <w:noProof/>
            <w:webHidden/>
          </w:rPr>
          <w:t>5</w:t>
        </w:r>
        <w:r w:rsidRPr="00F63E1C">
          <w:rPr>
            <w:rFonts w:ascii="IRBadr" w:hAnsi="IRBadr" w:cs="IRBadr"/>
            <w:noProof/>
            <w:webHidden/>
          </w:rPr>
          <w:fldChar w:fldCharType="end"/>
        </w:r>
      </w:hyperlink>
    </w:p>
    <w:p w:rsidR="00F63E1C" w:rsidRDefault="00F63E1C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F63E1C" w:rsidRDefault="00F63E1C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F63E1C" w:rsidRDefault="00F63E1C" w:rsidP="00F63E1C">
      <w:pPr>
        <w:pStyle w:val="Heading1"/>
        <w:rPr>
          <w:rFonts w:hint="cs"/>
          <w:rtl/>
        </w:rPr>
      </w:pPr>
      <w:bookmarkStart w:id="1" w:name="_Toc434311132"/>
      <w:r>
        <w:rPr>
          <w:rFonts w:hint="cs"/>
          <w:rtl/>
        </w:rPr>
        <w:lastRenderedPageBreak/>
        <w:t>استدلال به آیه نفر</w:t>
      </w:r>
      <w:bookmarkEnd w:id="1"/>
    </w:p>
    <w:p w:rsidR="00F63E1C" w:rsidRDefault="00F63E1C" w:rsidP="00F63E1C">
      <w:pPr>
        <w:pStyle w:val="Heading1"/>
        <w:rPr>
          <w:rFonts w:hint="cs"/>
          <w:rtl/>
        </w:rPr>
      </w:pPr>
      <w:bookmarkStart w:id="2" w:name="_Toc434311133"/>
      <w:r>
        <w:rPr>
          <w:rFonts w:hint="cs"/>
          <w:rtl/>
        </w:rPr>
        <w:t>مقدمات بحث</w:t>
      </w:r>
      <w:bookmarkEnd w:id="2"/>
    </w:p>
    <w:p w:rsidR="00F63E1C" w:rsidRDefault="00F63E1C" w:rsidP="00F63E1C">
      <w:pPr>
        <w:pStyle w:val="Heading1"/>
        <w:rPr>
          <w:rtl/>
        </w:rPr>
      </w:pPr>
      <w:bookmarkStart w:id="3" w:name="_Toc434311134"/>
      <w:r>
        <w:rPr>
          <w:rFonts w:hint="cs"/>
          <w:rtl/>
        </w:rPr>
        <w:t>مروری بر این مقدمات</w:t>
      </w:r>
      <w:bookmarkEnd w:id="3"/>
    </w:p>
    <w:p w:rsidR="00AA5D49" w:rsidRDefault="00E05AF0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در این بود که برای اثبات دلالت آیه شریفه نفر بر حجیت فتوا ما نیاز به اثبات سه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مقدمه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داریم؛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حذر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حذر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وجوبی و مقدمه بسیار مهم سوم این بود که حذر در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آ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شریفه اطلاق دارد و حتی صورتی که علم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به‌واقع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طریق انذار ثابت نشود نیز حذر را ثابت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63E1C" w:rsidRDefault="00F63E1C" w:rsidP="00F63E1C">
      <w:pPr>
        <w:pStyle w:val="Heading2"/>
        <w:rPr>
          <w:rtl/>
        </w:rPr>
      </w:pPr>
      <w:bookmarkStart w:id="4" w:name="_Toc434311135"/>
      <w:r>
        <w:rPr>
          <w:rFonts w:hint="cs"/>
          <w:rtl/>
        </w:rPr>
        <w:t>اثبات اطلاق آیه</w:t>
      </w:r>
      <w:bookmarkEnd w:id="4"/>
    </w:p>
    <w:p w:rsidR="00E05AF0" w:rsidRDefault="00E05AF0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دیگر در قبال در مقام اطلاق بودن آیه است،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اثبات اطلاق گفته شد که علاوه بر اینکه اطلاق مقتضای قاعده اولیه است،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شواهد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خاصه‌ای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مفید اطلاق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مجموعه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قابل‌اعتماد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هرچند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تک‌تک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ی‌توانست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فی‌نفسه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خدشه قرار گیرد.</w:t>
      </w:r>
    </w:p>
    <w:p w:rsidR="00F63E1C" w:rsidRDefault="00F63E1C" w:rsidP="00F63E1C">
      <w:pPr>
        <w:pStyle w:val="Heading2"/>
        <w:rPr>
          <w:rtl/>
        </w:rPr>
      </w:pPr>
      <w:bookmarkStart w:id="5" w:name="_Toc434311136"/>
      <w:r>
        <w:rPr>
          <w:rFonts w:hint="cs"/>
          <w:rtl/>
        </w:rPr>
        <w:t>شواهد عدم اطلاق</w:t>
      </w:r>
      <w:bookmarkEnd w:id="5"/>
    </w:p>
    <w:p w:rsidR="00E05AF0" w:rsidRDefault="00E05AF0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مقابل این شواهد که اطلاق را اثبات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ی‌کرد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شواهدی در مقابل برای نفی اطلاق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اقامه‌شده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شواهد معمولاً ریشه در کلماتی دارد که از مرحوم شیخ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طبق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تقریرات و یا موسوعه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را بیان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F63E1C" w:rsidRDefault="00F63E1C" w:rsidP="00F63E1C">
      <w:pPr>
        <w:pStyle w:val="Heading2"/>
        <w:rPr>
          <w:rtl/>
        </w:rPr>
      </w:pPr>
      <w:bookmarkStart w:id="6" w:name="_Toc434311137"/>
      <w:r>
        <w:rPr>
          <w:rFonts w:hint="cs"/>
          <w:rtl/>
        </w:rPr>
        <w:t>شاهد اول</w:t>
      </w:r>
      <w:bookmarkEnd w:id="6"/>
    </w:p>
    <w:p w:rsidR="00F63E1C" w:rsidRDefault="00E05AF0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شاهد اول این است که تمسک بر وجوب حذر در اینجا و عمل به قول منذر،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تمسک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عام در شبهه مصداقیه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اینکه همه قائل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شده‌اند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تمسک صحیح نیست و تنها در موردی خاص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نائینی موردی را خارج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جای خود (عام و خاص) باید بحث شود.</w:t>
      </w:r>
    </w:p>
    <w:p w:rsidR="00F63E1C" w:rsidRDefault="00F63E1C" w:rsidP="00F63E1C">
      <w:pPr>
        <w:jc w:val="both"/>
        <w:rPr>
          <w:rtl/>
        </w:rPr>
      </w:pPr>
    </w:p>
    <w:p w:rsidR="00F63E1C" w:rsidRPr="00F63E1C" w:rsidRDefault="00F63E1C" w:rsidP="00F63E1C">
      <w:pPr>
        <w:pStyle w:val="Heading2"/>
        <w:rPr>
          <w:sz w:val="28"/>
          <w:szCs w:val="28"/>
          <w:rtl/>
        </w:rPr>
      </w:pPr>
      <w:bookmarkStart w:id="7" w:name="_Toc434311138"/>
      <w:r w:rsidRPr="00F63E1C">
        <w:rPr>
          <w:rtl/>
        </w:rPr>
        <w:lastRenderedPageBreak/>
        <w:t>تشریح مسأله</w:t>
      </w:r>
      <w:bookmarkEnd w:id="7"/>
    </w:p>
    <w:p w:rsidR="00E05AF0" w:rsidRPr="00F63E1C" w:rsidRDefault="00E05AF0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63E1C">
        <w:rPr>
          <w:rFonts w:ascii="IRBadr" w:hAnsi="IRBadr" w:cs="IRBadr"/>
          <w:sz w:val="28"/>
          <w:szCs w:val="28"/>
          <w:rtl/>
        </w:rPr>
        <w:t xml:space="preserve">بیان مسأله این است که حذر در </w:t>
      </w:r>
      <w:r w:rsidR="00F63E1C">
        <w:rPr>
          <w:rFonts w:ascii="IRBadr" w:hAnsi="IRBadr" w:cs="IRBadr"/>
          <w:sz w:val="28"/>
          <w:szCs w:val="28"/>
          <w:rtl/>
        </w:rPr>
        <w:t>آ</w:t>
      </w:r>
      <w:r w:rsidR="00F63E1C">
        <w:rPr>
          <w:rFonts w:ascii="IRBadr" w:hAnsi="IRBadr" w:cs="IRBadr" w:hint="cs"/>
          <w:sz w:val="28"/>
          <w:szCs w:val="28"/>
          <w:rtl/>
        </w:rPr>
        <w:t>یه</w:t>
      </w:r>
      <w:r w:rsidRPr="00F63E1C">
        <w:rPr>
          <w:rFonts w:ascii="IRBadr" w:hAnsi="IRBadr" w:cs="IRBadr"/>
          <w:sz w:val="28"/>
          <w:szCs w:val="28"/>
          <w:rtl/>
        </w:rPr>
        <w:t xml:space="preserve"> </w:t>
      </w:r>
      <w:r w:rsidR="00F63E1C">
        <w:rPr>
          <w:rFonts w:ascii="IRBadr" w:hAnsi="IRBadr" w:cs="IRBadr"/>
          <w:sz w:val="28"/>
          <w:szCs w:val="28"/>
          <w:rtl/>
        </w:rPr>
        <w:t>م</w:t>
      </w:r>
      <w:r w:rsidR="00F63E1C">
        <w:rPr>
          <w:rFonts w:ascii="IRBadr" w:hAnsi="IRBadr" w:cs="IRBadr" w:hint="cs"/>
          <w:sz w:val="28"/>
          <w:szCs w:val="28"/>
          <w:rtl/>
        </w:rPr>
        <w:t>ی‌فرماید</w:t>
      </w:r>
      <w:r w:rsidRPr="00F63E1C">
        <w:rPr>
          <w:rFonts w:ascii="IRBadr" w:hAnsi="IRBadr" w:cs="IRBadr"/>
          <w:sz w:val="28"/>
          <w:szCs w:val="28"/>
          <w:rtl/>
        </w:rPr>
        <w:t xml:space="preserve"> به احکام واقعیه عمل کنید و بدان توجه داشته باشید.</w:t>
      </w:r>
      <w:r w:rsidR="00F63E1C">
        <w:rPr>
          <w:rFonts w:ascii="IRBadr" w:hAnsi="IRBadr" w:cs="IRBadr"/>
          <w:sz w:val="28"/>
          <w:szCs w:val="28"/>
          <w:rtl/>
        </w:rPr>
        <w:t xml:space="preserve"> لذا</w:t>
      </w:r>
      <w:r w:rsidRPr="00F63E1C">
        <w:rPr>
          <w:rFonts w:ascii="IRBadr" w:hAnsi="IRBadr" w:cs="IRBadr"/>
          <w:sz w:val="28"/>
          <w:szCs w:val="28"/>
          <w:rtl/>
        </w:rPr>
        <w:t xml:space="preserve"> متعلق اصلی حذر در اینجا احکام واقعیه است.</w:t>
      </w:r>
    </w:p>
    <w:p w:rsidR="00E05AF0" w:rsidRPr="00F63E1C" w:rsidRDefault="00E05AF0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F63E1C">
        <w:rPr>
          <w:rFonts w:ascii="IRBadr" w:hAnsi="IRBadr" w:cs="IRBadr"/>
          <w:sz w:val="28"/>
          <w:szCs w:val="28"/>
          <w:rtl/>
        </w:rPr>
        <w:t>این حذر تنها در حالتی ممکن است که واقعی بودن این حکم ثابت شود،</w:t>
      </w:r>
      <w:r w:rsidR="00F63E1C">
        <w:rPr>
          <w:rFonts w:ascii="IRBadr" w:hAnsi="IRBadr" w:cs="IRBadr"/>
          <w:sz w:val="28"/>
          <w:szCs w:val="28"/>
          <w:rtl/>
        </w:rPr>
        <w:t xml:space="preserve"> لذا</w:t>
      </w:r>
      <w:r w:rsidRPr="00F63E1C">
        <w:rPr>
          <w:rFonts w:ascii="IRBadr" w:hAnsi="IRBadr" w:cs="IRBadr"/>
          <w:sz w:val="28"/>
          <w:szCs w:val="28"/>
          <w:rtl/>
        </w:rPr>
        <w:t xml:space="preserve"> اگر منذر کلامی را بیان کرد که ما </w:t>
      </w:r>
      <w:r w:rsidR="008905D2" w:rsidRPr="00F63E1C">
        <w:rPr>
          <w:rFonts w:ascii="IRBadr" w:hAnsi="IRBadr" w:cs="IRBadr"/>
          <w:sz w:val="28"/>
          <w:szCs w:val="28"/>
          <w:rtl/>
        </w:rPr>
        <w:t xml:space="preserve">علم </w:t>
      </w:r>
      <w:r w:rsidR="00F63E1C">
        <w:rPr>
          <w:rFonts w:ascii="IRBadr" w:hAnsi="IRBadr" w:cs="IRBadr"/>
          <w:sz w:val="28"/>
          <w:szCs w:val="28"/>
          <w:rtl/>
        </w:rPr>
        <w:t>به‌حکم</w:t>
      </w:r>
      <w:r w:rsidR="008905D2" w:rsidRPr="00F63E1C">
        <w:rPr>
          <w:rFonts w:ascii="IRBadr" w:hAnsi="IRBadr" w:cs="IRBadr"/>
          <w:sz w:val="28"/>
          <w:szCs w:val="28"/>
          <w:rtl/>
        </w:rPr>
        <w:t xml:space="preserve"> واقع </w:t>
      </w:r>
      <w:r w:rsidRPr="00F63E1C">
        <w:rPr>
          <w:rFonts w:ascii="IRBadr" w:hAnsi="IRBadr" w:cs="IRBadr"/>
          <w:sz w:val="28"/>
          <w:szCs w:val="28"/>
          <w:rtl/>
        </w:rPr>
        <w:t xml:space="preserve">بودن آن </w:t>
      </w:r>
      <w:r w:rsidR="00F63E1C">
        <w:rPr>
          <w:rFonts w:ascii="IRBadr" w:hAnsi="IRBadr" w:cs="IRBadr"/>
          <w:sz w:val="28"/>
          <w:szCs w:val="28"/>
          <w:rtl/>
        </w:rPr>
        <w:t>پیدا کردیم</w:t>
      </w:r>
      <w:r w:rsidRPr="00F63E1C">
        <w:rPr>
          <w:rFonts w:ascii="IRBadr" w:hAnsi="IRBadr" w:cs="IRBadr"/>
          <w:sz w:val="28"/>
          <w:szCs w:val="28"/>
          <w:rtl/>
        </w:rPr>
        <w:t xml:space="preserve"> حکم بدان تعلق </w:t>
      </w:r>
      <w:r w:rsidR="00F63E1C">
        <w:rPr>
          <w:rFonts w:ascii="IRBadr" w:hAnsi="IRBadr" w:cs="IRBadr"/>
          <w:sz w:val="28"/>
          <w:szCs w:val="28"/>
          <w:rtl/>
        </w:rPr>
        <w:t>م</w:t>
      </w:r>
      <w:r w:rsidR="00F63E1C">
        <w:rPr>
          <w:rFonts w:ascii="IRBadr" w:hAnsi="IRBadr" w:cs="IRBadr" w:hint="cs"/>
          <w:sz w:val="28"/>
          <w:szCs w:val="28"/>
          <w:rtl/>
        </w:rPr>
        <w:t>ی‌گیرد</w:t>
      </w:r>
      <w:r w:rsidRPr="00F63E1C">
        <w:rPr>
          <w:rFonts w:ascii="IRBadr" w:hAnsi="IRBadr" w:cs="IRBadr"/>
          <w:sz w:val="28"/>
          <w:szCs w:val="28"/>
          <w:rtl/>
        </w:rPr>
        <w:t>،</w:t>
      </w:r>
      <w:r w:rsidR="00F63E1C">
        <w:rPr>
          <w:rFonts w:ascii="IRBadr" w:hAnsi="IRBadr" w:cs="IRBadr"/>
          <w:sz w:val="28"/>
          <w:szCs w:val="28"/>
          <w:rtl/>
        </w:rPr>
        <w:t xml:space="preserve"> اما</w:t>
      </w:r>
      <w:r w:rsidRPr="00F63E1C">
        <w:rPr>
          <w:rFonts w:ascii="IRBadr" w:hAnsi="IRBadr" w:cs="IRBadr"/>
          <w:sz w:val="28"/>
          <w:szCs w:val="28"/>
          <w:rtl/>
        </w:rPr>
        <w:t xml:space="preserve"> </w:t>
      </w:r>
      <w:r w:rsidR="00F63E1C">
        <w:rPr>
          <w:rFonts w:ascii="IRBadr" w:hAnsi="IRBadr" w:cs="IRBadr"/>
          <w:sz w:val="28"/>
          <w:szCs w:val="28"/>
          <w:rtl/>
        </w:rPr>
        <w:t>درجایی</w:t>
      </w:r>
      <w:r w:rsidRPr="00F63E1C">
        <w:rPr>
          <w:rFonts w:ascii="IRBadr" w:hAnsi="IRBadr" w:cs="IRBadr"/>
          <w:sz w:val="28"/>
          <w:szCs w:val="28"/>
          <w:rtl/>
        </w:rPr>
        <w:t xml:space="preserve"> که شک وجود دارد،</w:t>
      </w:r>
      <w:r w:rsidR="00F63E1C">
        <w:rPr>
          <w:rFonts w:ascii="IRBadr" w:hAnsi="IRBadr" w:cs="IRBadr"/>
          <w:sz w:val="28"/>
          <w:szCs w:val="28"/>
          <w:rtl/>
        </w:rPr>
        <w:t xml:space="preserve"> تمسک</w:t>
      </w:r>
      <w:r w:rsidR="008905D2" w:rsidRPr="00F63E1C">
        <w:rPr>
          <w:rFonts w:ascii="IRBadr" w:hAnsi="IRBadr" w:cs="IRBadr"/>
          <w:sz w:val="28"/>
          <w:szCs w:val="28"/>
          <w:rtl/>
        </w:rPr>
        <w:t xml:space="preserve"> به عام در شبهه مصداقیه است.</w:t>
      </w:r>
      <w:r w:rsidR="00F63E1C">
        <w:rPr>
          <w:rFonts w:ascii="IRBadr" w:hAnsi="IRBadr" w:cs="IRBadr"/>
          <w:sz w:val="28"/>
          <w:szCs w:val="28"/>
          <w:rtl/>
        </w:rPr>
        <w:t xml:space="preserve"> در</w:t>
      </w:r>
      <w:r w:rsidR="008905D2" w:rsidRPr="00F63E1C">
        <w:rPr>
          <w:rFonts w:ascii="IRBadr" w:hAnsi="IRBadr" w:cs="IRBadr"/>
          <w:sz w:val="28"/>
          <w:szCs w:val="28"/>
          <w:rtl/>
        </w:rPr>
        <w:t xml:space="preserve"> این حالت دیگر حجیت </w:t>
      </w:r>
      <w:r w:rsidR="00F63E1C">
        <w:rPr>
          <w:rFonts w:ascii="IRBadr" w:hAnsi="IRBadr" w:cs="IRBadr"/>
          <w:sz w:val="28"/>
          <w:szCs w:val="28"/>
          <w:rtl/>
        </w:rPr>
        <w:t>قابل‌کشف</w:t>
      </w:r>
      <w:r w:rsidR="008905D2" w:rsidRPr="00F63E1C">
        <w:rPr>
          <w:rFonts w:ascii="IRBadr" w:hAnsi="IRBadr" w:cs="IRBadr"/>
          <w:sz w:val="28"/>
          <w:szCs w:val="28"/>
          <w:rtl/>
        </w:rPr>
        <w:t xml:space="preserve"> نیست.</w:t>
      </w:r>
    </w:p>
    <w:p w:rsidR="00F63E1C" w:rsidRDefault="008905D2" w:rsidP="00F63E1C">
      <w:pPr>
        <w:bidi/>
        <w:spacing w:line="360" w:lineRule="auto"/>
        <w:jc w:val="both"/>
        <w:rPr>
          <w:rtl/>
        </w:rPr>
      </w:pPr>
      <w:r w:rsidRPr="00F63E1C">
        <w:rPr>
          <w:rFonts w:ascii="IRBadr" w:hAnsi="IRBadr" w:cs="IRBadr"/>
          <w:sz w:val="28"/>
          <w:szCs w:val="28"/>
          <w:rtl/>
        </w:rPr>
        <w:t>این شبهه طبق منابع در اختیار</w:t>
      </w:r>
      <w:r w:rsidR="00F63E1C" w:rsidRPr="00F63E1C">
        <w:rPr>
          <w:rFonts w:ascii="IRBadr" w:hAnsi="IRBadr" w:cs="IRBadr"/>
          <w:sz w:val="28"/>
          <w:szCs w:val="28"/>
          <w:rtl/>
        </w:rPr>
        <w:t>،</w:t>
      </w:r>
      <w:r w:rsidR="00F63E1C">
        <w:rPr>
          <w:rFonts w:ascii="IRBadr" w:hAnsi="IRBadr" w:cs="IRBadr"/>
          <w:sz w:val="28"/>
          <w:szCs w:val="28"/>
          <w:rtl/>
        </w:rPr>
        <w:t xml:space="preserve"> از</w:t>
      </w:r>
      <w:r w:rsidRPr="00F63E1C">
        <w:rPr>
          <w:rFonts w:ascii="IRBadr" w:hAnsi="IRBadr" w:cs="IRBadr"/>
          <w:sz w:val="28"/>
          <w:szCs w:val="28"/>
          <w:rtl/>
        </w:rPr>
        <w:t xml:space="preserve"> آن مرحوم شیخ است،</w:t>
      </w:r>
      <w:r w:rsidR="00F63E1C">
        <w:rPr>
          <w:rFonts w:ascii="IRBadr" w:hAnsi="IRBadr" w:cs="IRBadr"/>
          <w:sz w:val="28"/>
          <w:szCs w:val="28"/>
          <w:rtl/>
        </w:rPr>
        <w:t xml:space="preserve"> اما</w:t>
      </w:r>
      <w:r w:rsidRPr="00F63E1C">
        <w:rPr>
          <w:rFonts w:ascii="IRBadr" w:hAnsi="IRBadr" w:cs="IRBadr"/>
          <w:sz w:val="28"/>
          <w:szCs w:val="28"/>
          <w:rtl/>
        </w:rPr>
        <w:t xml:space="preserve"> اینکه این قبل از ایشان کسی این شبهه را مطرح نموده یا خیر؟ چیزی در این رابطه در دست ما نیست</w:t>
      </w:r>
      <w:r>
        <w:rPr>
          <w:rFonts w:hint="cs"/>
          <w:rtl/>
        </w:rPr>
        <w:t>.</w:t>
      </w:r>
    </w:p>
    <w:p w:rsidR="00F63E1C" w:rsidRDefault="00F63E1C" w:rsidP="00F63E1C">
      <w:pPr>
        <w:pStyle w:val="Heading2"/>
        <w:rPr>
          <w:rtl/>
        </w:rPr>
      </w:pPr>
      <w:bookmarkStart w:id="8" w:name="_Toc434311139"/>
      <w:r>
        <w:rPr>
          <w:rFonts w:hint="cs"/>
          <w:rtl/>
        </w:rPr>
        <w:t>پاسخ از شبهه فوق</w:t>
      </w:r>
      <w:bookmarkEnd w:id="8"/>
    </w:p>
    <w:p w:rsidR="00F63E1C" w:rsidRPr="00F63E1C" w:rsidRDefault="00F63E1C" w:rsidP="00F63E1C">
      <w:pPr>
        <w:pStyle w:val="Heading2"/>
        <w:rPr>
          <w:rtl/>
        </w:rPr>
      </w:pPr>
      <w:bookmarkStart w:id="9" w:name="_Toc434311140"/>
      <w:r>
        <w:rPr>
          <w:rFonts w:hint="cs"/>
          <w:rtl/>
        </w:rPr>
        <w:t>پاسخ مرحوم شیخ</w:t>
      </w:r>
      <w:bookmarkEnd w:id="9"/>
    </w:p>
    <w:p w:rsidR="00F63E1C" w:rsidRDefault="008905D2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به این اشکال پاسخی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کلمات خود شیخ است و آن اینکه حذر در آیه برای جعل حجیت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اطلاق محرز است و اشکال دفع خواهد شد و از باب تمسک به عام در شبهه مصداقیه نیست.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جواب مجملی است که در کلمات شیخ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F63E1C" w:rsidRDefault="00F63E1C" w:rsidP="00F63E1C">
      <w:pPr>
        <w:pStyle w:val="Heading2"/>
        <w:rPr>
          <w:rtl/>
        </w:rPr>
      </w:pPr>
      <w:bookmarkStart w:id="10" w:name="_Toc434311141"/>
      <w:r>
        <w:rPr>
          <w:rFonts w:hint="cs"/>
          <w:rtl/>
        </w:rPr>
        <w:t>پاسخ مرحوم آقا ضیاء</w:t>
      </w:r>
      <w:bookmarkEnd w:id="10"/>
    </w:p>
    <w:p w:rsidR="008905D2" w:rsidRDefault="008905D2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مرحوم آقا ضیاء در اصول و در موسوعه که از ایشان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ذیل همین آیه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که؛ آیه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جعل حجیت</w:t>
      </w:r>
      <w:r w:rsidR="00FE5C47">
        <w:rPr>
          <w:rFonts w:ascii="IRBadr" w:hAnsi="IRBadr" w:cs="IRBadr" w:hint="cs"/>
          <w:sz w:val="28"/>
          <w:szCs w:val="28"/>
          <w:rtl/>
          <w:lang w:bidi="fa-IR"/>
        </w:rPr>
        <w:t xml:space="preserve"> داشته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چراکه مستلزم دوری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دور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وقتی حذر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دلالت بر حجیت کند که اطلاق داشته باشد.</w:t>
      </w:r>
    </w:p>
    <w:p w:rsidR="00F63E1C" w:rsidRDefault="00F63E1C" w:rsidP="00F63E1C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8905D2" w:rsidRDefault="00FE5C47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اگر تنها مربوط به حصول علم پس از افتای مفتی باشد،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دلالت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نخواهد داشت.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حذر در صورت شک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درزمانی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دارد که واقع بودن آن احراز شود و این احراز زمانی ممکن است که حجیت داشته باشد.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دلالت آیه بر حجیت دلالت دوری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مادامی‌که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حجیت ثابت نباشد از باب تمسک به عام در شبهه مصداقیه خواهد بود.</w:t>
      </w:r>
    </w:p>
    <w:p w:rsidR="00F63E1C" w:rsidRDefault="00F63E1C" w:rsidP="00F63E1C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F63E1C" w:rsidRDefault="00F63E1C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FE5C47">
        <w:rPr>
          <w:rFonts w:ascii="IRBadr" w:hAnsi="IRBadr" w:cs="IRBadr" w:hint="cs"/>
          <w:sz w:val="28"/>
          <w:szCs w:val="28"/>
          <w:rtl/>
          <w:lang w:bidi="fa-IR"/>
        </w:rPr>
        <w:t xml:space="preserve"> اطلاق توقف بر حجیت دارد و حجیت متوقف بر اطلاق است و این دور مانع از دل</w:t>
      </w:r>
      <w:r w:rsidR="00567B30">
        <w:rPr>
          <w:rFonts w:ascii="IRBadr" w:hAnsi="IRBadr" w:cs="IRBadr" w:hint="cs"/>
          <w:sz w:val="28"/>
          <w:szCs w:val="28"/>
          <w:rtl/>
          <w:lang w:bidi="fa-IR"/>
        </w:rPr>
        <w:t>الت و رسیدن به مطلوب خواهد شد.</w:t>
      </w:r>
    </w:p>
    <w:p w:rsidR="00FE5C47" w:rsidRDefault="00567B30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بیان مرحوم آقا ضیاء عراقی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رحمه‌الله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علیه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شبهه شیخ را تقویت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بیان جامع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در اینجا دور لازم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تمسک به عام در شبهه مصداقیه است، به همان علت که بیان شد مگر اینکه کسی قائل شود که تمسک به عام در شبهه مصداقیه مانعی ندارد.</w:t>
      </w:r>
    </w:p>
    <w:p w:rsidR="00F63E1C" w:rsidRDefault="00F63E1C" w:rsidP="00F63E1C">
      <w:pPr>
        <w:pStyle w:val="Heading3"/>
        <w:rPr>
          <w:rtl/>
        </w:rPr>
      </w:pPr>
      <w:bookmarkStart w:id="11" w:name="_Toc434311144"/>
      <w:r>
        <w:rPr>
          <w:rFonts w:hint="cs"/>
          <w:rtl/>
        </w:rPr>
        <w:t>اجوبه اشکال فوق</w:t>
      </w:r>
      <w:bookmarkEnd w:id="11"/>
    </w:p>
    <w:p w:rsidR="00F63E1C" w:rsidRDefault="00567B30" w:rsidP="00F63E1C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برای رهایی از این اشکال ممکن است وجوهی ذکر شود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F63E1C" w:rsidRDefault="00F63E1C" w:rsidP="00F63E1C">
      <w:pPr>
        <w:pStyle w:val="Heading3"/>
        <w:rPr>
          <w:rtl/>
        </w:rPr>
      </w:pPr>
      <w:bookmarkStart w:id="12" w:name="_Toc434311145"/>
      <w:r>
        <w:rPr>
          <w:rFonts w:hint="cs"/>
          <w:rtl/>
        </w:rPr>
        <w:t>وجه اول</w:t>
      </w:r>
      <w:bookmarkEnd w:id="12"/>
    </w:p>
    <w:p w:rsidR="00567B30" w:rsidRDefault="00B15852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وجه این است که کسی بگوید؛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مقام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ثبوت و اثبات را در اینجا باید متفاوت دید،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حج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دو مقام است حجیت در مقام ثبوت و حجیت در مقام اثبات و استکشاف.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حج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متوقف بر اطلاق حجیت در استکشاف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حجیت 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متوقف بر اطلاق نیست.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طرفی دیگر اطلاق متوقف بر حجیت در مقام واقع است.</w:t>
      </w:r>
    </w:p>
    <w:p w:rsidR="00F63E1C" w:rsidRDefault="00F63E1C" w:rsidP="00F63E1C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B15852" w:rsidRDefault="00F63E1C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B15852">
        <w:rPr>
          <w:rFonts w:ascii="IRBadr" w:hAnsi="IRBadr" w:cs="IRBadr" w:hint="cs"/>
          <w:sz w:val="28"/>
          <w:szCs w:val="28"/>
          <w:rtl/>
          <w:lang w:bidi="fa-IR"/>
        </w:rPr>
        <w:t xml:space="preserve"> متوقف و متوقف علیه متفاوت هستند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 w:rsidR="00B15852">
        <w:rPr>
          <w:rFonts w:ascii="IRBadr" w:hAnsi="IRBadr" w:cs="IRBadr" w:hint="cs"/>
          <w:sz w:val="28"/>
          <w:szCs w:val="28"/>
          <w:rtl/>
          <w:lang w:bidi="fa-IR"/>
        </w:rPr>
        <w:t xml:space="preserve"> برای </w:t>
      </w:r>
      <w:r w:rsidR="00D852E2">
        <w:rPr>
          <w:rFonts w:ascii="IRBadr" w:hAnsi="IRBadr" w:cs="IRBadr" w:hint="cs"/>
          <w:sz w:val="28"/>
          <w:szCs w:val="28"/>
          <w:rtl/>
          <w:lang w:bidi="fa-IR"/>
        </w:rPr>
        <w:t>شکل‌گیری</w:t>
      </w:r>
      <w:r w:rsidR="00B15852">
        <w:rPr>
          <w:rFonts w:ascii="IRBadr" w:hAnsi="IRBadr" w:cs="IRBadr" w:hint="cs"/>
          <w:sz w:val="28"/>
          <w:szCs w:val="28"/>
          <w:rtl/>
          <w:lang w:bidi="fa-IR"/>
        </w:rPr>
        <w:t xml:space="preserve"> دور این دو باید واحد باشند.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B15852">
        <w:rPr>
          <w:rFonts w:ascii="IRBadr" w:hAnsi="IRBadr" w:cs="IRBadr" w:hint="cs"/>
          <w:sz w:val="28"/>
          <w:szCs w:val="28"/>
          <w:rtl/>
          <w:lang w:bidi="fa-IR"/>
        </w:rPr>
        <w:t xml:space="preserve"> جواب را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B15852">
        <w:rPr>
          <w:rFonts w:ascii="IRBadr" w:hAnsi="IRBadr" w:cs="IRBadr" w:hint="cs"/>
          <w:sz w:val="28"/>
          <w:szCs w:val="28"/>
          <w:rtl/>
          <w:lang w:bidi="fa-IR"/>
        </w:rPr>
        <w:t xml:space="preserve"> مشاهده </w:t>
      </w:r>
      <w:r>
        <w:rPr>
          <w:rFonts w:ascii="IRBadr" w:hAnsi="IRBadr" w:cs="IRBadr"/>
          <w:sz w:val="28"/>
          <w:szCs w:val="28"/>
          <w:rtl/>
          <w:lang w:bidi="fa-IR"/>
        </w:rPr>
        <w:t>نکرده‌ام</w:t>
      </w:r>
      <w:r w:rsidR="00B15852">
        <w:rPr>
          <w:rFonts w:ascii="IRBadr" w:hAnsi="IRBadr" w:cs="IRBadr" w:hint="cs"/>
          <w:sz w:val="28"/>
          <w:szCs w:val="28"/>
          <w:rtl/>
          <w:lang w:bidi="fa-IR"/>
        </w:rPr>
        <w:t xml:space="preserve"> و ممکن است کسی بدین نحو پاسخ دهد.</w:t>
      </w:r>
    </w:p>
    <w:p w:rsidR="00F63E1C" w:rsidRDefault="00F63E1C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63E1C" w:rsidRDefault="00F63E1C" w:rsidP="00F63E1C">
      <w:pPr>
        <w:pStyle w:val="Heading3"/>
        <w:rPr>
          <w:rtl/>
        </w:rPr>
      </w:pPr>
      <w:bookmarkStart w:id="13" w:name="_Toc434311147"/>
      <w:r>
        <w:rPr>
          <w:rFonts w:hint="cs"/>
          <w:rtl/>
        </w:rPr>
        <w:lastRenderedPageBreak/>
        <w:t>مناقشه در وجه اخیر</w:t>
      </w:r>
      <w:bookmarkEnd w:id="13"/>
    </w:p>
    <w:p w:rsidR="00F63E1C" w:rsidRDefault="008A68BE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جواب قابل مناقشه است چراکه از منظر مستدل هر دو در مقام اثبات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حذر از دید او متوقف بر حجیت در مقام اثبات نیز باید باشد.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وقتی 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>م</w:t>
      </w:r>
      <w:r w:rsidR="00F63E1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ثابت شود که حجیت استکشاف شود.</w:t>
      </w:r>
    </w:p>
    <w:p w:rsidR="00F63E1C" w:rsidRDefault="00F63E1C" w:rsidP="00F63E1C">
      <w:pPr>
        <w:pStyle w:val="Heading3"/>
        <w:rPr>
          <w:rtl/>
        </w:rPr>
      </w:pPr>
      <w:bookmarkStart w:id="14" w:name="_Toc434311148"/>
      <w:r>
        <w:rPr>
          <w:rFonts w:hint="cs"/>
          <w:rtl/>
        </w:rPr>
        <w:t>وجه دوم</w:t>
      </w:r>
      <w:bookmarkEnd w:id="14"/>
    </w:p>
    <w:p w:rsidR="00B15852" w:rsidRDefault="008A68BE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دوم این است که موضوع حذر احکام واقعیه نیست،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اعم از احکام واقعیه و مواردی است که به نحو مظنونی یا حتی مشکوک به دست ما رسیده است،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باز بنیان توقف سابق فرو خواهد ریخت.</w:t>
      </w:r>
    </w:p>
    <w:p w:rsidR="00F63E1C" w:rsidRDefault="00F63E1C" w:rsidP="00F63E1C">
      <w:pPr>
        <w:pStyle w:val="Heading3"/>
        <w:rPr>
          <w:rtl/>
        </w:rPr>
      </w:pPr>
      <w:bookmarkStart w:id="15" w:name="_Toc434311149"/>
      <w:r>
        <w:rPr>
          <w:rFonts w:hint="cs"/>
          <w:rtl/>
        </w:rPr>
        <w:t>مناقشه در وجه اخیر</w:t>
      </w:r>
      <w:bookmarkEnd w:id="15"/>
    </w:p>
    <w:p w:rsidR="008A68BE" w:rsidRDefault="008A68BE" w:rsidP="00F63E1C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جواب دوم محل مناقشه است بدین نحو که خلاف ظاهر است که حذر اعم باشد بدان صورت که بیان شد.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دلیل بیشتر دلیل بر احتیاط است که باز نیز از مساق آیه به دور است.</w:t>
      </w:r>
      <w:r w:rsidR="00F63E1C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جواب دیگر نیز احتمالاً وجود دارد که ان شاء الله فردا مطرح خواهد شد.</w:t>
      </w:r>
    </w:p>
    <w:p w:rsidR="00FE5C47" w:rsidRDefault="00FE5C47" w:rsidP="00FE5C47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FE5C47" w:rsidRDefault="00FE5C47" w:rsidP="00FE5C47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8905D2" w:rsidRPr="00BC1C66" w:rsidRDefault="008905D2" w:rsidP="008905D2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8905D2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42" w:rsidRDefault="00AF6D42" w:rsidP="000D5800">
      <w:pPr>
        <w:spacing w:after="0" w:line="240" w:lineRule="auto"/>
      </w:pPr>
      <w:r>
        <w:separator/>
      </w:r>
    </w:p>
  </w:endnote>
  <w:end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F63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F63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F63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42" w:rsidRDefault="00AF6D42" w:rsidP="000D5800">
      <w:pPr>
        <w:spacing w:after="0" w:line="240" w:lineRule="auto"/>
      </w:pPr>
      <w:r>
        <w:separator/>
      </w:r>
    </w:p>
  </w:footnote>
  <w:foot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F63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E05AF0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6117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46</w:t>
    </w:r>
    <w:r w:rsidR="00E05AF0">
      <w:rPr>
        <w:rFonts w:ascii="IranNastaliq" w:hAnsi="IranNastaliq" w:cs="IranNastaliq" w:hint="cs"/>
        <w:sz w:val="40"/>
        <w:szCs w:val="40"/>
        <w:rtl/>
        <w:lang w:bidi="fa-IR"/>
      </w:rPr>
      <w:t>71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1C" w:rsidRDefault="00F63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67B30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05D2"/>
    <w:rsid w:val="008965D2"/>
    <w:rsid w:val="008A236D"/>
    <w:rsid w:val="008A68BE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9E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852E2"/>
    <w:rsid w:val="00DB28BB"/>
    <w:rsid w:val="00DC603F"/>
    <w:rsid w:val="00DD3C0D"/>
    <w:rsid w:val="00DD475D"/>
    <w:rsid w:val="00DD4864"/>
    <w:rsid w:val="00DD71A2"/>
    <w:rsid w:val="00DF5659"/>
    <w:rsid w:val="00E05AF0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63E1C"/>
    <w:rsid w:val="00F67976"/>
    <w:rsid w:val="00F70BE1"/>
    <w:rsid w:val="00F74740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A5F1-581A-4553-B1C1-4660D41D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830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57</cp:revision>
  <dcterms:created xsi:type="dcterms:W3CDTF">2014-11-18T06:47:00Z</dcterms:created>
  <dcterms:modified xsi:type="dcterms:W3CDTF">2015-11-03T18:52:00Z</dcterms:modified>
</cp:coreProperties>
</file>