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EB" w:rsidRDefault="0082238F" w:rsidP="006372EB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BC1C6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6372EB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6372E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372EB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6372EB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6372E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372EB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6372EB" w:rsidRPr="006372EB" w:rsidRDefault="006372EB" w:rsidP="006372E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35" w:history="1">
        <w:r w:rsidRPr="006372EB">
          <w:rPr>
            <w:rStyle w:val="Hyperlink"/>
            <w:rFonts w:ascii="IRBadr" w:hAnsi="IRBadr" w:cs="IRBadr"/>
            <w:noProof/>
            <w:rtl/>
          </w:rPr>
          <w:t>استدلال به آیه نفر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_Toc434311935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2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36" w:history="1">
        <w:r w:rsidRPr="006372EB">
          <w:rPr>
            <w:rStyle w:val="Hyperlink"/>
            <w:rFonts w:ascii="IRBadr" w:hAnsi="IRBadr" w:cs="IRBadr"/>
            <w:noProof/>
            <w:rtl/>
          </w:rPr>
          <w:t>شواهد مقابل اطلاق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_Toc434311936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2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37" w:history="1">
        <w:r w:rsidRPr="006372EB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_Toc434311937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2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38" w:history="1">
        <w:r w:rsidRPr="006372EB">
          <w:rPr>
            <w:rStyle w:val="Hyperlink"/>
            <w:rFonts w:ascii="IRBadr" w:hAnsi="IRBadr" w:cs="IRBadr"/>
            <w:noProof/>
            <w:rtl/>
          </w:rPr>
          <w:t>دلیل اول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_Toc434311938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2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39" w:history="1">
        <w:r w:rsidRPr="006372EB">
          <w:rPr>
            <w:rStyle w:val="Hyperlink"/>
            <w:rFonts w:ascii="IRBadr" w:hAnsi="IRBadr" w:cs="IRBadr"/>
            <w:noProof/>
            <w:rtl/>
          </w:rPr>
          <w:t>جواب سوم از دلیل فوق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_Toc434311939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2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0" w:history="1">
        <w:r w:rsidRPr="006372EB">
          <w:rPr>
            <w:rStyle w:val="Hyperlink"/>
            <w:rFonts w:ascii="IRBadr" w:hAnsi="IRBadr" w:cs="IRBadr"/>
            <w:noProof/>
            <w:rtl/>
          </w:rPr>
          <w:t>تشریح بحث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_Toc434311940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2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1" w:history="1">
        <w:r w:rsidRPr="006372EB">
          <w:rPr>
            <w:rStyle w:val="Hyperlink"/>
            <w:rFonts w:ascii="IRBadr" w:hAnsi="IRBadr" w:cs="IRBadr"/>
            <w:noProof/>
            <w:rtl/>
          </w:rPr>
          <w:t>احتمالات در حذر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_Toc434311941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2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2" w:history="1">
        <w:r w:rsidRPr="006372EB">
          <w:rPr>
            <w:rStyle w:val="Hyperlink"/>
            <w:rFonts w:ascii="IRBadr" w:hAnsi="IRBadr" w:cs="IRBadr"/>
            <w:noProof/>
            <w:rtl/>
          </w:rPr>
          <w:t>احتمال اول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_Toc434311942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3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3" w:history="1">
        <w:r w:rsidRPr="006372EB">
          <w:rPr>
            <w:rStyle w:val="Hyperlink"/>
            <w:rFonts w:ascii="IRBadr" w:hAnsi="IRBadr" w:cs="IRBadr"/>
            <w:noProof/>
            <w:rtl/>
          </w:rPr>
          <w:t>احتمال دوم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_Toc434311943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3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4" w:history="1">
        <w:r w:rsidRPr="006372EB">
          <w:rPr>
            <w:rStyle w:val="Hyperlink"/>
            <w:rFonts w:ascii="IRBadr" w:hAnsi="IRBadr" w:cs="IRBadr"/>
            <w:noProof/>
            <w:rtl/>
          </w:rPr>
          <w:t>علیت بحث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_Toc434311944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3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5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_Toc434311945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3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6" w:history="1">
        <w:r w:rsidRPr="006372EB">
          <w:rPr>
            <w:rStyle w:val="Hyperlink"/>
            <w:rFonts w:ascii="IRBadr" w:hAnsi="IRBadr" w:cs="IRBadr"/>
            <w:noProof/>
            <w:rtl/>
          </w:rPr>
          <w:t>مناقشه در بیان فوق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_Toc434311946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3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7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_Toc434311947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3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8" w:history="1">
        <w:r w:rsidRPr="006372EB">
          <w:rPr>
            <w:rStyle w:val="Hyperlink"/>
            <w:rFonts w:ascii="IRBadr" w:hAnsi="IRBadr" w:cs="IRBadr"/>
            <w:noProof/>
            <w:rtl/>
          </w:rPr>
          <w:t>احتمالات در بیان اخیر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_Toc434311948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4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49" w:history="1">
        <w:r w:rsidRPr="006372EB">
          <w:rPr>
            <w:rStyle w:val="Hyperlink"/>
            <w:rFonts w:ascii="IRBadr" w:hAnsi="IRBadr" w:cs="IRBadr"/>
            <w:noProof/>
            <w:rtl/>
          </w:rPr>
          <w:t>احتمال اول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_Toc434311949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4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50" w:history="1">
        <w:r w:rsidRPr="006372EB">
          <w:rPr>
            <w:rStyle w:val="Hyperlink"/>
            <w:rFonts w:ascii="IRBadr" w:hAnsi="IRBadr" w:cs="IRBadr"/>
            <w:noProof/>
            <w:rtl/>
          </w:rPr>
          <w:t>احتمال دوم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_Toc434311950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4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51" w:history="1">
        <w:r w:rsidRPr="006372EB">
          <w:rPr>
            <w:rStyle w:val="Hyperlink"/>
            <w:rFonts w:ascii="IRBadr" w:hAnsi="IRBadr" w:cs="IRBadr"/>
            <w:noProof/>
            <w:rtl/>
          </w:rPr>
          <w:t>بیان چهارم در بحث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_Toc434311951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4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52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_Toc434311952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4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Pr="006372EB" w:rsidRDefault="006372EB" w:rsidP="006372E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953" w:history="1">
        <w:r w:rsidRPr="006372EB">
          <w:rPr>
            <w:rStyle w:val="Hyperlink"/>
            <w:rFonts w:ascii="IRBadr" w:hAnsi="IRBadr" w:cs="IRBadr"/>
            <w:noProof/>
            <w:rtl/>
          </w:rPr>
          <w:t>راه عقلی بیان فوق</w:t>
        </w:r>
        <w:r w:rsidRPr="006372EB">
          <w:rPr>
            <w:rFonts w:ascii="IRBadr" w:hAnsi="IRBadr" w:cs="IRBadr"/>
            <w:noProof/>
            <w:webHidden/>
          </w:rPr>
          <w:tab/>
        </w:r>
        <w:r w:rsidRPr="006372EB">
          <w:rPr>
            <w:rFonts w:ascii="IRBadr" w:hAnsi="IRBadr" w:cs="IRBadr"/>
            <w:noProof/>
            <w:webHidden/>
          </w:rPr>
          <w:fldChar w:fldCharType="begin"/>
        </w:r>
        <w:r w:rsidRPr="006372EB">
          <w:rPr>
            <w:rFonts w:ascii="IRBadr" w:hAnsi="IRBadr" w:cs="IRBadr"/>
            <w:noProof/>
            <w:webHidden/>
          </w:rPr>
          <w:instrText xml:space="preserve"> PAGEREF _Toc434311953 \h </w:instrText>
        </w:r>
        <w:r w:rsidRPr="006372EB">
          <w:rPr>
            <w:rFonts w:ascii="IRBadr" w:hAnsi="IRBadr" w:cs="IRBadr"/>
            <w:noProof/>
            <w:webHidden/>
          </w:rPr>
        </w:r>
        <w:r w:rsidRPr="006372EB">
          <w:rPr>
            <w:rFonts w:ascii="IRBadr" w:hAnsi="IRBadr" w:cs="IRBadr"/>
            <w:noProof/>
            <w:webHidden/>
          </w:rPr>
          <w:fldChar w:fldCharType="separate"/>
        </w:r>
        <w:r w:rsidRPr="006372EB">
          <w:rPr>
            <w:rFonts w:ascii="IRBadr" w:hAnsi="IRBadr" w:cs="IRBadr"/>
            <w:noProof/>
            <w:webHidden/>
          </w:rPr>
          <w:t>5</w:t>
        </w:r>
        <w:r w:rsidRPr="006372EB">
          <w:rPr>
            <w:rFonts w:ascii="IRBadr" w:hAnsi="IRBadr" w:cs="IRBadr"/>
            <w:noProof/>
            <w:webHidden/>
          </w:rPr>
          <w:fldChar w:fldCharType="end"/>
        </w:r>
      </w:hyperlink>
    </w:p>
    <w:p w:rsidR="006372EB" w:rsidRDefault="006372EB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372EB" w:rsidRDefault="006372EB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372EB" w:rsidRDefault="006372EB" w:rsidP="006372EB">
      <w:pPr>
        <w:pStyle w:val="Heading1"/>
        <w:rPr>
          <w:rFonts w:hint="cs"/>
          <w:rtl/>
        </w:rPr>
      </w:pPr>
      <w:bookmarkStart w:id="1" w:name="_Toc434311935"/>
      <w:r>
        <w:rPr>
          <w:rFonts w:hint="cs"/>
          <w:rtl/>
        </w:rPr>
        <w:lastRenderedPageBreak/>
        <w:t>استدلال به آیه نفر</w:t>
      </w:r>
      <w:bookmarkEnd w:id="1"/>
    </w:p>
    <w:p w:rsidR="006372EB" w:rsidRDefault="006372EB" w:rsidP="006372EB">
      <w:pPr>
        <w:pStyle w:val="Heading1"/>
        <w:rPr>
          <w:rFonts w:hint="cs"/>
          <w:rtl/>
        </w:rPr>
      </w:pPr>
      <w:bookmarkStart w:id="2" w:name="_Toc434311936"/>
      <w:r>
        <w:rPr>
          <w:rFonts w:hint="cs"/>
          <w:rtl/>
        </w:rPr>
        <w:t>شواهد مقابل اطلاق</w:t>
      </w:r>
      <w:bookmarkEnd w:id="2"/>
    </w:p>
    <w:p w:rsidR="006372EB" w:rsidRDefault="006372EB" w:rsidP="006372EB">
      <w:pPr>
        <w:pStyle w:val="Heading1"/>
        <w:rPr>
          <w:rtl/>
        </w:rPr>
      </w:pPr>
      <w:bookmarkStart w:id="3" w:name="_Toc434311937"/>
      <w:r>
        <w:rPr>
          <w:rFonts w:hint="cs"/>
          <w:rtl/>
        </w:rPr>
        <w:t>مرور بحث گذشته</w:t>
      </w:r>
      <w:bookmarkEnd w:id="3"/>
    </w:p>
    <w:p w:rsidR="008905D2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گفتیم در نقطه مقابل شواهد در مقام بودن آیه نفر،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شواهد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جهت مخالف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اقامه‌شده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به آیه مستلزم شمول امر به حذر بود حتی نسبت به موردی که مخاطبین علم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پیدا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باید گفت اطلاق این مورد را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 حجیت تمام شود.</w:t>
      </w:r>
    </w:p>
    <w:p w:rsidR="006372EB" w:rsidRDefault="006372EB" w:rsidP="006372EB">
      <w:pPr>
        <w:pStyle w:val="Heading1"/>
        <w:rPr>
          <w:rtl/>
        </w:rPr>
      </w:pPr>
      <w:bookmarkStart w:id="4" w:name="_Toc434311938"/>
      <w:r>
        <w:rPr>
          <w:rFonts w:hint="cs"/>
          <w:rtl/>
        </w:rPr>
        <w:t>دلیل اول</w:t>
      </w:r>
      <w:bookmarkEnd w:id="4"/>
    </w:p>
    <w:p w:rsidR="00EB6A44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این اطلاق شکل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دلیل اول دور بود که از کلام مرحوم شیخ استفاده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تمسک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اطلاق در اینجا یا مستلزم دور است و یا تمسک به عام در شبهه مصداقیه خواهد بود.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جامعی از بیان مرحوم شیخ و آقا ضیاء بود.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توقف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حجیت بر اطلاق و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برعکسان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استدلالاتی که در جلسه گذشته بیان شد.</w:t>
      </w:r>
    </w:p>
    <w:p w:rsidR="006372EB" w:rsidRDefault="006372EB" w:rsidP="006372EB">
      <w:pPr>
        <w:pStyle w:val="Heading2"/>
        <w:rPr>
          <w:rtl/>
        </w:rPr>
      </w:pPr>
      <w:bookmarkStart w:id="5" w:name="_Toc434311939"/>
      <w:r>
        <w:rPr>
          <w:rFonts w:hint="cs"/>
          <w:rtl/>
        </w:rPr>
        <w:t>جواب سوم از دلیل فوق</w:t>
      </w:r>
      <w:bookmarkEnd w:id="5"/>
    </w:p>
    <w:p w:rsidR="006372EB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چند جواب در اینجا ذکر شد که گفته شد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آنان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خالی از اشکال نیست.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کلامی است که از مرحوم شهید صدر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و حجیت را استکشاف کرد بدون اینکه به دو مانع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برخوریم.</w:t>
      </w:r>
    </w:p>
    <w:p w:rsidR="006372EB" w:rsidRDefault="006372EB" w:rsidP="006372EB">
      <w:pPr>
        <w:pStyle w:val="Heading2"/>
        <w:rPr>
          <w:rtl/>
        </w:rPr>
      </w:pPr>
      <w:bookmarkStart w:id="6" w:name="_Toc434311940"/>
      <w:r>
        <w:rPr>
          <w:rFonts w:hint="cs"/>
          <w:rtl/>
        </w:rPr>
        <w:t>تشریح بحث</w:t>
      </w:r>
      <w:bookmarkEnd w:id="6"/>
    </w:p>
    <w:p w:rsidR="006372EB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این بیان که تاکنون ما حذر را فرمان و حکم تکلیفی تلقی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ی‌کردیم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این تکلیف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ی‌خواستیم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حکمی وضعی استکشاف شود.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احتمالاً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ی‌خواهند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بفرمایند این خطاب حذر در ابتداء کنایه از حکمی وضعی بوده است.</w:t>
      </w:r>
    </w:p>
    <w:p w:rsidR="006372EB" w:rsidRDefault="006372EB" w:rsidP="006372EB">
      <w:pPr>
        <w:pStyle w:val="Heading2"/>
        <w:rPr>
          <w:rtl/>
        </w:rPr>
      </w:pPr>
      <w:bookmarkStart w:id="7" w:name="_Toc434311941"/>
      <w:r>
        <w:rPr>
          <w:rFonts w:hint="cs"/>
          <w:rtl/>
        </w:rPr>
        <w:t>احتمالات در حذر</w:t>
      </w:r>
      <w:bookmarkEnd w:id="7"/>
    </w:p>
    <w:p w:rsidR="006372EB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توضیح بیشتر مسأله این است که در حذر در اینجا دو احتمال است؛</w:t>
      </w:r>
    </w:p>
    <w:p w:rsidR="006372EB" w:rsidRDefault="006372EB" w:rsidP="006372EB">
      <w:pPr>
        <w:pStyle w:val="Heading2"/>
        <w:rPr>
          <w:rtl/>
        </w:rPr>
      </w:pPr>
      <w:bookmarkStart w:id="8" w:name="_Toc434311942"/>
      <w:r>
        <w:rPr>
          <w:rFonts w:hint="cs"/>
          <w:rtl/>
        </w:rPr>
        <w:lastRenderedPageBreak/>
        <w:t>احتمال اول</w:t>
      </w:r>
      <w:bookmarkEnd w:id="8"/>
    </w:p>
    <w:p w:rsidR="00EB6A44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اول این است که مراد از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ترغیب به حذر است و این بیان ترغیبی همان مراد است و این جمله در هیأت بعثیه،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طلب استعمال شده است که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احتمال،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تکلیفی است.</w:t>
      </w:r>
    </w:p>
    <w:p w:rsidR="006372EB" w:rsidRDefault="006372EB" w:rsidP="006372EB">
      <w:pPr>
        <w:pStyle w:val="Heading2"/>
        <w:rPr>
          <w:rtl/>
        </w:rPr>
      </w:pPr>
      <w:bookmarkStart w:id="9" w:name="_Toc434311943"/>
      <w:r>
        <w:rPr>
          <w:rFonts w:hint="cs"/>
          <w:rtl/>
        </w:rPr>
        <w:t>احتمال دوم</w:t>
      </w:r>
      <w:bookmarkEnd w:id="9"/>
    </w:p>
    <w:p w:rsidR="006372EB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احتمال دوم این است که گفته شود که حذر از ابتداء بیانی کنایی از حجیت است.</w:t>
      </w:r>
    </w:p>
    <w:p w:rsidR="006372EB" w:rsidRDefault="006372EB" w:rsidP="006372EB">
      <w:pPr>
        <w:pStyle w:val="Heading2"/>
        <w:rPr>
          <w:rtl/>
        </w:rPr>
      </w:pPr>
      <w:bookmarkStart w:id="10" w:name="_Toc434311944"/>
      <w:r>
        <w:rPr>
          <w:rFonts w:hint="cs"/>
          <w:rtl/>
        </w:rPr>
        <w:t>علیت بحث</w:t>
      </w:r>
      <w:bookmarkEnd w:id="10"/>
    </w:p>
    <w:p w:rsidR="00EB6A44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چراکه تعبیر از حجیت یک قول به یکی از این دو صورت،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صورت دوم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مثل‌اینکه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صدق زرارة؛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جمله حکم تکلیفی نیست که به نحو التزامی کشف حجیت شود بلکه مدلول مطابقی این امر بعث نیست بلکه مفهومی کنایی است </w:t>
      </w:r>
      <w:r w:rsidR="005C2A69">
        <w:rPr>
          <w:rFonts w:ascii="IRBadr" w:hAnsi="IRBadr" w:cs="IRBadr" w:hint="cs"/>
          <w:sz w:val="28"/>
          <w:szCs w:val="28"/>
          <w:rtl/>
          <w:lang w:bidi="fa-IR"/>
        </w:rPr>
        <w:t>که کلام زراره حجت است.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5C2A69">
        <w:rPr>
          <w:rFonts w:ascii="IRBadr" w:hAnsi="IRBadr" w:cs="IRBadr" w:hint="cs"/>
          <w:sz w:val="28"/>
          <w:szCs w:val="28"/>
          <w:rtl/>
          <w:lang w:bidi="fa-IR"/>
        </w:rPr>
        <w:t xml:space="preserve"> به داعی کنایه مورد استعمال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 w:rsidR="005C2A69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372EB" w:rsidRDefault="006372EB" w:rsidP="006372EB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5C2A69" w:rsidRDefault="005C2A69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صورت قضیه متفاوت خواهد شد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و سخن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آنان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کاشف از واقع است و اشکالات دور و دیگری به وجود نخواهد آمد.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حالت مسیر استدلالی متفاوتی را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ی‌پیماییم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اینجا حذر یعنی قول المفتی او المنذر حجة.</w:t>
      </w:r>
    </w:p>
    <w:p w:rsidR="006372EB" w:rsidRDefault="006372EB" w:rsidP="006372EB">
      <w:pPr>
        <w:pStyle w:val="Heading2"/>
        <w:rPr>
          <w:rtl/>
        </w:rPr>
      </w:pPr>
      <w:bookmarkStart w:id="11" w:name="_Toc434311946"/>
      <w:r>
        <w:rPr>
          <w:rFonts w:hint="cs"/>
          <w:rtl/>
        </w:rPr>
        <w:t>مناقشه در بیان فوق</w:t>
      </w:r>
      <w:bookmarkEnd w:id="11"/>
    </w:p>
    <w:p w:rsidR="006372EB" w:rsidRDefault="005C2A69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اشکال این بیان، ضمن قبول داشتن وجود کنایه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برخی صور، این است که این احتمال خلاف ظاهر است چراکه ظاهر این است که حذر در اینجا به همان ترغیب و بعث حذر و تحذر حمل شود.</w:t>
      </w:r>
    </w:p>
    <w:p w:rsidR="005C2A69" w:rsidRDefault="006372EB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به‌عبارتی‌دیگر</w:t>
      </w:r>
      <w:r w:rsidR="005C2A69">
        <w:rPr>
          <w:rFonts w:ascii="IRBadr" w:hAnsi="IRBadr" w:cs="IRBadr" w:hint="cs"/>
          <w:sz w:val="28"/>
          <w:szCs w:val="28"/>
          <w:rtl/>
          <w:lang w:bidi="fa-IR"/>
        </w:rPr>
        <w:t xml:space="preserve"> اصل در کلمات و جملات این است که حمل بر کنایه نشود.</w:t>
      </w:r>
    </w:p>
    <w:p w:rsidR="006372EB" w:rsidRDefault="006372EB" w:rsidP="006372EB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6372EB" w:rsidRDefault="005C2A69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حداقل این است که این احتمال با احتمال اول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هم‌وزنی‌ای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 و موضوع حجیت</w:t>
      </w:r>
      <w:r w:rsidR="00846B7E">
        <w:rPr>
          <w:rFonts w:ascii="IRBadr" w:hAnsi="IRBadr" w:cs="IRBadr" w:hint="cs"/>
          <w:sz w:val="28"/>
          <w:szCs w:val="28"/>
          <w:rtl/>
          <w:lang w:bidi="fa-IR"/>
        </w:rPr>
        <w:t xml:space="preserve">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هر دو مورد باید بتوان تصویر نمود.</w:t>
      </w:r>
    </w:p>
    <w:p w:rsidR="006372EB" w:rsidRDefault="006372EB" w:rsidP="006372EB">
      <w:pPr>
        <w:pStyle w:val="Heading2"/>
        <w:rPr>
          <w:rtl/>
        </w:rPr>
      </w:pPr>
      <w:bookmarkStart w:id="12" w:name="_Toc434311948"/>
      <w:r>
        <w:rPr>
          <w:rFonts w:hint="cs"/>
          <w:rtl/>
        </w:rPr>
        <w:lastRenderedPageBreak/>
        <w:t>احتمالات در بیان اخیر</w:t>
      </w:r>
      <w:bookmarkEnd w:id="12"/>
    </w:p>
    <w:p w:rsidR="006372EB" w:rsidRDefault="005C2A69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در فرمایش ایشان دو احتمال است؛</w:t>
      </w:r>
    </w:p>
    <w:p w:rsidR="006372EB" w:rsidRDefault="006372EB" w:rsidP="006372EB">
      <w:pPr>
        <w:pStyle w:val="Heading2"/>
        <w:rPr>
          <w:rtl/>
        </w:rPr>
      </w:pPr>
      <w:bookmarkStart w:id="13" w:name="_Toc434311949"/>
      <w:r>
        <w:rPr>
          <w:rFonts w:hint="cs"/>
          <w:rtl/>
        </w:rPr>
        <w:t>احتمال اول</w:t>
      </w:r>
      <w:bookmarkEnd w:id="13"/>
    </w:p>
    <w:p w:rsidR="006372EB" w:rsidRDefault="005C2A69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مراد ایشان از کنایه ترجی و بعث استعمالی است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 xml:space="preserve"> ولی داعی حقیقی ایشان بعث نیست.</w:t>
      </w:r>
    </w:p>
    <w:p w:rsidR="006372EB" w:rsidRDefault="006372EB" w:rsidP="006372EB">
      <w:pPr>
        <w:pStyle w:val="Heading2"/>
        <w:rPr>
          <w:rFonts w:hint="cs"/>
          <w:rtl/>
        </w:rPr>
      </w:pPr>
      <w:bookmarkStart w:id="14" w:name="_Toc434311950"/>
      <w:r>
        <w:rPr>
          <w:rFonts w:hint="cs"/>
          <w:rtl/>
        </w:rPr>
        <w:t>احتمال دوم</w:t>
      </w:r>
      <w:bookmarkEnd w:id="14"/>
    </w:p>
    <w:p w:rsidR="00846B7E" w:rsidRDefault="005C2A69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 xml:space="preserve"> دیگر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کنایه باشد که هر دو این احتمالات خلاف ظاهر است.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846B7E">
        <w:rPr>
          <w:rFonts w:ascii="IRBadr" w:hAnsi="IRBadr" w:cs="IRBadr" w:hint="cs"/>
          <w:sz w:val="28"/>
          <w:szCs w:val="28"/>
          <w:rtl/>
          <w:lang w:bidi="fa-IR"/>
        </w:rPr>
        <w:t xml:space="preserve"> خلاف ظاهر بودن در کنایه مقداری بیشتر است.</w:t>
      </w:r>
    </w:p>
    <w:p w:rsidR="006372EB" w:rsidRDefault="006372EB" w:rsidP="006372EB">
      <w:pPr>
        <w:pStyle w:val="Heading2"/>
        <w:rPr>
          <w:rtl/>
        </w:rPr>
      </w:pPr>
      <w:bookmarkStart w:id="15" w:name="_Toc434311951"/>
      <w:r>
        <w:rPr>
          <w:rFonts w:hint="cs"/>
          <w:rtl/>
        </w:rPr>
        <w:t>بیان چهارم در بحث</w:t>
      </w:r>
      <w:bookmarkEnd w:id="15"/>
    </w:p>
    <w:p w:rsidR="006372EB" w:rsidRDefault="00846B7E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اگر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به‌احتمال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که احتمال ظاهر است،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چهارمی شکل خواهد گرفت.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این است که شمول حذر به غیر احوال علم تنها مستند اولیه کونه در مقام بیان نیست بلکه در اینجا قرائنی وجود دارد که این حالت را دربر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46B7E" w:rsidRDefault="00846B7E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چندین شاهد خاص ارائه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جمع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شواهد اطمینان مناسبی را ارائه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ی‌داد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حذر به </w:t>
      </w:r>
      <w:r w:rsidR="002E2310">
        <w:rPr>
          <w:rFonts w:ascii="IRBadr" w:hAnsi="IRBadr" w:cs="IRBadr" w:hint="cs"/>
          <w:sz w:val="28"/>
          <w:szCs w:val="28"/>
          <w:rtl/>
          <w:lang w:bidi="fa-IR"/>
        </w:rPr>
        <w:t>موردشک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تعمیم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ی‌داد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E2310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شواهد مهم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نادر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حمل بر مورد علم است.</w:t>
      </w:r>
    </w:p>
    <w:p w:rsidR="006372EB" w:rsidRDefault="006372EB" w:rsidP="006372EB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6372EB" w:rsidRDefault="00846B7E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 توجه به این مقدمه جواب چهارم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متعلق وجوب عمل مورد انذار منذر است و در این خطاب تکلیفی واقع بودن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اخذ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مسیر دور قرار بگیریم.</w:t>
      </w:r>
    </w:p>
    <w:p w:rsidR="006372EB" w:rsidRDefault="00846B7E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هرچند از دید او انه هو الواقع است.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صورت شک نیز به عام تمسک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م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372EB" w:rsidRDefault="006372EB" w:rsidP="006372EB">
      <w:pPr>
        <w:pStyle w:val="Heading2"/>
        <w:rPr>
          <w:rtl/>
        </w:rPr>
      </w:pPr>
      <w:bookmarkStart w:id="16" w:name="_Toc434311953"/>
      <w:r>
        <w:rPr>
          <w:rFonts w:hint="cs"/>
          <w:rtl/>
        </w:rPr>
        <w:t>راه عقلی بیان فوق</w:t>
      </w:r>
      <w:bookmarkEnd w:id="16"/>
    </w:p>
    <w:p w:rsidR="00846B7E" w:rsidRDefault="001D6EA0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راه عقلی این بیان است که دو مطلب باید اصل گرفته شود؛ این 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>آ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حتماً صورت ظن و شک را دربر گیرد و الا </w:t>
      </w:r>
      <w:r w:rsidR="002E2310">
        <w:rPr>
          <w:rFonts w:ascii="IRBadr" w:hAnsi="IRBadr" w:cs="IRBadr" w:hint="cs"/>
          <w:sz w:val="28"/>
          <w:szCs w:val="28"/>
          <w:rtl/>
          <w:lang w:bidi="fa-IR"/>
        </w:rPr>
        <w:t>مبتلابه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حمل بر صورت نادر است.</w:t>
      </w:r>
      <w:r w:rsidR="006372E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اینکه عمل </w:t>
      </w:r>
      <w:r w:rsidR="006372EB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حیث واقع نیست.</w:t>
      </w:r>
    </w:p>
    <w:p w:rsidR="001D6EA0" w:rsidRDefault="001D6EA0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هردو اصل </w:t>
      </w:r>
      <w:r w:rsidR="002E2310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 استدلالی و برهانی است و از طرف دیگر نیز ظاهر حذر در اینجا امر است.</w:t>
      </w:r>
    </w:p>
    <w:p w:rsidR="00EB6A44" w:rsidRPr="00BC1C66" w:rsidRDefault="00EB6A44" w:rsidP="006372E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sectPr w:rsidR="00EB6A44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42" w:rsidRDefault="00AF6D42" w:rsidP="000D5800">
      <w:pPr>
        <w:spacing w:after="0" w:line="240" w:lineRule="auto"/>
      </w:pPr>
      <w:r>
        <w:separator/>
      </w:r>
    </w:p>
  </w:endnote>
  <w:end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EB" w:rsidRDefault="00637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EB" w:rsidRDefault="00637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EB" w:rsidRDefault="0063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42" w:rsidRDefault="00AF6D42" w:rsidP="000D5800">
      <w:pPr>
        <w:spacing w:after="0" w:line="240" w:lineRule="auto"/>
      </w:pPr>
      <w:r>
        <w:separator/>
      </w:r>
    </w:p>
  </w:footnote>
  <w:foot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EB" w:rsidRDefault="00637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EB6A44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49503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46</w:t>
    </w:r>
    <w:r w:rsidR="00E05AF0">
      <w:rPr>
        <w:rFonts w:ascii="IranNastaliq" w:hAnsi="IranNastaliq" w:cs="IranNastaliq" w:hint="cs"/>
        <w:sz w:val="40"/>
        <w:szCs w:val="40"/>
        <w:rtl/>
        <w:lang w:bidi="fa-IR"/>
      </w:rPr>
      <w:t>7</w:t>
    </w:r>
    <w:r w:rsidR="00EB6A44">
      <w:rPr>
        <w:rFonts w:ascii="IranNastaliq" w:hAnsi="IranNastaliq" w:cs="IranNastaliq" w:hint="cs"/>
        <w:sz w:val="40"/>
        <w:szCs w:val="40"/>
        <w:rtl/>
        <w:lang w:bidi="fa-IR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EB" w:rsidRDefault="00637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B670A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6EA0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2310"/>
    <w:rsid w:val="002E450B"/>
    <w:rsid w:val="002E73F9"/>
    <w:rsid w:val="002F05B9"/>
    <w:rsid w:val="003027A8"/>
    <w:rsid w:val="00303DB6"/>
    <w:rsid w:val="00340BA3"/>
    <w:rsid w:val="00366400"/>
    <w:rsid w:val="003910EB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3FD5"/>
    <w:rsid w:val="003D4AC6"/>
    <w:rsid w:val="003D563F"/>
    <w:rsid w:val="003E1E58"/>
    <w:rsid w:val="003E4ADF"/>
    <w:rsid w:val="003F604C"/>
    <w:rsid w:val="00402BD0"/>
    <w:rsid w:val="00405199"/>
    <w:rsid w:val="00410699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67B30"/>
    <w:rsid w:val="00572680"/>
    <w:rsid w:val="00572E2D"/>
    <w:rsid w:val="00592103"/>
    <w:rsid w:val="005A545E"/>
    <w:rsid w:val="005A5862"/>
    <w:rsid w:val="005B0852"/>
    <w:rsid w:val="005C06AE"/>
    <w:rsid w:val="005C2A69"/>
    <w:rsid w:val="00610C18"/>
    <w:rsid w:val="0061376C"/>
    <w:rsid w:val="00636EFA"/>
    <w:rsid w:val="006372EB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1B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46B7E"/>
    <w:rsid w:val="008644F4"/>
    <w:rsid w:val="00883733"/>
    <w:rsid w:val="008905D2"/>
    <w:rsid w:val="008965D2"/>
    <w:rsid w:val="008A236D"/>
    <w:rsid w:val="008A68BE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5AF0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B6A44"/>
    <w:rsid w:val="00EC4393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F951-8143-4CEF-8544-99C9AAE3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15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اشراق</dc:creator>
  <cp:lastModifiedBy>313</cp:lastModifiedBy>
  <cp:revision>16</cp:revision>
  <dcterms:created xsi:type="dcterms:W3CDTF">2015-11-03T00:40:00Z</dcterms:created>
  <dcterms:modified xsi:type="dcterms:W3CDTF">2015-11-03T19:06:00Z</dcterms:modified>
</cp:coreProperties>
</file>