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F0" w:rsidRPr="00882D33" w:rsidRDefault="00852EF0" w:rsidP="00634B5F">
      <w:pPr>
        <w:jc w:val="both"/>
        <w:rPr>
          <w:sz w:val="28"/>
          <w:rtl/>
        </w:rPr>
      </w:pPr>
    </w:p>
    <w:p w:rsidR="00634B5F" w:rsidRPr="00426BF9" w:rsidRDefault="00634B5F" w:rsidP="00634B5F">
      <w:pPr>
        <w:pStyle w:val="3"/>
        <w:jc w:val="both"/>
        <w:rPr>
          <w:rtl/>
        </w:rPr>
      </w:pPr>
      <w:r w:rsidRPr="00426BF9">
        <w:rPr>
          <w:rFonts w:hint="cs"/>
          <w:rtl/>
        </w:rPr>
        <w:t>جمع بندی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حکم وجوب تخییری (یجب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علی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کلّ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مکلّف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فی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عباداته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و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معامل</w:t>
      </w:r>
      <w:bookmarkStart w:id="0" w:name="_GoBack"/>
      <w:bookmarkEnd w:id="0"/>
      <w:r w:rsidRPr="00426BF9">
        <w:rPr>
          <w:rFonts w:hint="cs"/>
          <w:rtl/>
        </w:rPr>
        <w:t>اته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أن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یکون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مجتهداً،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أو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مقلّداً،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أو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محتاطاً) عقلی است.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این حکم عقلی ناظر بر قسم پنجم (وجوب احرازی) از اقسام شش‌گانه حکم عقلی است که مربوط به کیفیت امتثال است.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این حکم عقلی مجرای قاعده ملازمه نیست لکن مشروط به عدم تصرف شارع در اطراف تخییر است و به این معنا نیازمند تأیید شارع است. بنابراین این حکم وجوب تخییری ذاتاً عقلی است ولی در مبادی آن، شارع می‌تواند تصرف کند.</w:t>
      </w:r>
    </w:p>
    <w:p w:rsidR="00634B5F" w:rsidRPr="00426BF9" w:rsidRDefault="00634B5F" w:rsidP="00634B5F">
      <w:pPr>
        <w:pStyle w:val="4"/>
        <w:jc w:val="both"/>
        <w:rPr>
          <w:rtl/>
        </w:rPr>
      </w:pPr>
      <w:r w:rsidRPr="00426BF9">
        <w:rPr>
          <w:rFonts w:hint="cs"/>
          <w:rtl/>
        </w:rPr>
        <w:t>جریان ابتدائی حکم تخییر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 xml:space="preserve">زمانی که مکلف احتمال و یا علم اجمالی به وجود تکالیفی دارد، آیا ابتدائا حکم تخییر عقلی به ‌طور کامل محقق می‌شود؟ 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چنانچه مکلفی بدون فحص و یا با فحص اجمالی قطع پیدا کرد که تمام اطراف تخییر مورد تأیید شارع است بین هر سه</w:t>
      </w:r>
      <w:r>
        <w:rPr>
          <w:rFonts w:hint="cs"/>
          <w:rtl/>
        </w:rPr>
        <w:t>،</w:t>
      </w:r>
      <w:r w:rsidRPr="00426BF9">
        <w:rPr>
          <w:rFonts w:hint="cs"/>
          <w:rtl/>
        </w:rPr>
        <w:t xml:space="preserve"> مخیر است</w:t>
      </w:r>
      <w:r>
        <w:rPr>
          <w:rFonts w:hint="cs"/>
          <w:rtl/>
        </w:rPr>
        <w:t>؛</w:t>
      </w:r>
      <w:r w:rsidRPr="00426BF9">
        <w:rPr>
          <w:rFonts w:hint="cs"/>
          <w:rtl/>
        </w:rPr>
        <w:t xml:space="preserve"> ولی چنانچه قطع پیدا نکرد</w:t>
      </w:r>
      <w:r>
        <w:rPr>
          <w:rFonts w:hint="cs"/>
          <w:rtl/>
        </w:rPr>
        <w:t>،</w:t>
      </w:r>
      <w:r w:rsidRPr="00426BF9">
        <w:rPr>
          <w:rFonts w:hint="cs"/>
          <w:rtl/>
        </w:rPr>
        <w:t xml:space="preserve"> بعید نیست چنانچه اجتهاد میسر باشد، برای مکلف در این حالت</w:t>
      </w:r>
      <w:r>
        <w:rPr>
          <w:rFonts w:hint="cs"/>
          <w:rtl/>
        </w:rPr>
        <w:t>،</w:t>
      </w:r>
      <w:r w:rsidRPr="00426BF9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426BF9">
        <w:rPr>
          <w:rFonts w:hint="cs"/>
          <w:rtl/>
        </w:rPr>
        <w:t>اجتهاد</w:t>
      </w:r>
      <w:r>
        <w:rPr>
          <w:rFonts w:hint="cs"/>
          <w:rtl/>
        </w:rPr>
        <w:t>»</w:t>
      </w:r>
      <w:r w:rsidRPr="00426BF9">
        <w:rPr>
          <w:rFonts w:hint="cs"/>
          <w:rtl/>
        </w:rPr>
        <w:t xml:space="preserve"> متعین باشد و چنانچه اجتهاد میسر نباشد </w:t>
      </w:r>
      <w:r>
        <w:rPr>
          <w:rFonts w:hint="cs"/>
          <w:rtl/>
        </w:rPr>
        <w:t>«</w:t>
      </w:r>
      <w:r w:rsidRPr="00426BF9">
        <w:rPr>
          <w:rFonts w:hint="cs"/>
          <w:rtl/>
        </w:rPr>
        <w:t>تقلید</w:t>
      </w:r>
      <w:r>
        <w:rPr>
          <w:rFonts w:hint="cs"/>
          <w:rtl/>
        </w:rPr>
        <w:t>»</w:t>
      </w:r>
      <w:r w:rsidRPr="00426BF9">
        <w:rPr>
          <w:rFonts w:hint="cs"/>
          <w:rtl/>
        </w:rPr>
        <w:t xml:space="preserve"> متعین باشد.</w:t>
      </w:r>
      <w:r>
        <w:rPr>
          <w:rFonts w:hint="cs"/>
          <w:rtl/>
        </w:rPr>
        <w:t xml:space="preserve"> </w:t>
      </w:r>
      <w:r w:rsidRPr="00426BF9">
        <w:rPr>
          <w:rFonts w:hint="cs"/>
          <w:rtl/>
        </w:rPr>
        <w:t>البته در موارد زیادی در حالت طبیعی حکم عقل به تعیّن تقلید است.</w:t>
      </w:r>
    </w:p>
    <w:p w:rsidR="00634B5F" w:rsidRPr="00426BF9" w:rsidRDefault="00634B5F" w:rsidP="00634B5F">
      <w:pPr>
        <w:pStyle w:val="4"/>
        <w:jc w:val="both"/>
        <w:rPr>
          <w:rtl/>
        </w:rPr>
      </w:pPr>
      <w:r w:rsidRPr="00426BF9">
        <w:rPr>
          <w:rFonts w:hint="cs"/>
          <w:rtl/>
        </w:rPr>
        <w:lastRenderedPageBreak/>
        <w:t>مشروطیت حکم عقل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به‌طورکلی حکم عقل به تخییر بین اطراف سه گانه (اجتهاد، تقلید و احتیاط) منوط به عدم تصرف شارع در اطراف آن است.</w:t>
      </w:r>
    </w:p>
    <w:p w:rsidR="00634B5F" w:rsidRPr="00426BF9" w:rsidRDefault="00634B5F" w:rsidP="00634B5F">
      <w:pPr>
        <w:pStyle w:val="3"/>
        <w:jc w:val="both"/>
        <w:rPr>
          <w:rtl/>
        </w:rPr>
      </w:pPr>
      <w:r w:rsidRPr="00426BF9">
        <w:rPr>
          <w:rFonts w:hint="cs"/>
          <w:rtl/>
        </w:rPr>
        <w:t>تنظیم م</w:t>
      </w:r>
      <w:r>
        <w:rPr>
          <w:rFonts w:hint="cs"/>
          <w:rtl/>
        </w:rPr>
        <w:t>باحث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پس از بحث از وجوب عقلی تخییری (یجب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علی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کلّ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 xml:space="preserve">مکلّف ...) در حالت طبیعی باید مباحث در سه فصل تنظیم گردد(الفصل الأول؛ فی الإجتهاد، الفصل الثانی؛ فی التقلید، الفصل الثالث؛ فی الإحتیاط) </w:t>
      </w:r>
      <w:r>
        <w:rPr>
          <w:rFonts w:hint="cs"/>
          <w:rtl/>
        </w:rPr>
        <w:t>و</w:t>
      </w:r>
      <w:r w:rsidRPr="00426BF9">
        <w:rPr>
          <w:rFonts w:hint="cs"/>
          <w:rtl/>
        </w:rPr>
        <w:t xml:space="preserve"> به بررسی احکام آنها پرداخته ‌شود.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البته در فصل اجتهاد کلیات اجتهاد مطرح‌شده</w:t>
      </w:r>
      <w:r>
        <w:rPr>
          <w:rFonts w:hint="cs"/>
          <w:rtl/>
        </w:rPr>
        <w:t>،</w:t>
      </w:r>
      <w:r w:rsidRPr="00426BF9">
        <w:rPr>
          <w:rFonts w:hint="cs"/>
          <w:rtl/>
        </w:rPr>
        <w:t xml:space="preserve"> اما مناصب قضاء، حکومت و تربیت به دلیل اینکه ابواب مستقلی دارند</w:t>
      </w:r>
      <w:r>
        <w:rPr>
          <w:rFonts w:hint="cs"/>
          <w:rtl/>
        </w:rPr>
        <w:t>،</w:t>
      </w:r>
      <w:r w:rsidRPr="00426BF9">
        <w:rPr>
          <w:rFonts w:hint="cs"/>
          <w:rtl/>
        </w:rPr>
        <w:t xml:space="preserve"> لازم به گنجاندن آنها در این فصل نیست و در فصل اجتهاد از کلیات آن و تفصیلا</w:t>
      </w:r>
      <w:r>
        <w:rPr>
          <w:rFonts w:hint="cs"/>
          <w:rtl/>
        </w:rPr>
        <w:t>ً</w:t>
      </w:r>
      <w:r w:rsidRPr="00426BF9">
        <w:rPr>
          <w:rFonts w:hint="cs"/>
          <w:rtl/>
        </w:rPr>
        <w:t xml:space="preserve"> از منصب افتاء سخن به میان خواهد آمد.</w:t>
      </w:r>
    </w:p>
    <w:p w:rsidR="00634B5F" w:rsidRPr="00426BF9" w:rsidRDefault="00634B5F" w:rsidP="00634B5F">
      <w:pPr>
        <w:pStyle w:val="3"/>
        <w:rPr>
          <w:rtl/>
        </w:rPr>
      </w:pPr>
      <w:r w:rsidRPr="00426BF9">
        <w:rPr>
          <w:rFonts w:hint="cs"/>
          <w:rtl/>
        </w:rPr>
        <w:t>الفصل الأول؛ فی الإجتهاد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مکلف لو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خلی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و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 xml:space="preserve">طبعه، فی الجمله، محکوم به یک حکم عقلی تخییری بین اجتهاد، تقلید و احتیاط است. </w:t>
      </w:r>
      <w:r>
        <w:rPr>
          <w:rFonts w:hint="cs"/>
          <w:rtl/>
        </w:rPr>
        <w:t xml:space="preserve">حال </w:t>
      </w:r>
      <w:r w:rsidRPr="00426BF9">
        <w:rPr>
          <w:rFonts w:hint="cs"/>
          <w:rtl/>
        </w:rPr>
        <w:t xml:space="preserve">ممکن است سوال شود که </w:t>
      </w:r>
      <w:r>
        <w:rPr>
          <w:rFonts w:hint="cs"/>
          <w:rtl/>
        </w:rPr>
        <w:t xml:space="preserve">خود </w:t>
      </w:r>
      <w:r w:rsidRPr="00426BF9">
        <w:rPr>
          <w:rFonts w:hint="cs"/>
          <w:rtl/>
        </w:rPr>
        <w:t>اجتهاد چه کمی دارد؟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 xml:space="preserve">با توجه به اینکه اجتهاد سه قسم دارد، سوال </w:t>
      </w:r>
      <w:r>
        <w:rPr>
          <w:rFonts w:hint="cs"/>
          <w:rtl/>
        </w:rPr>
        <w:t>مطرح شده،</w:t>
      </w:r>
      <w:r w:rsidRPr="00426BF9">
        <w:rPr>
          <w:rFonts w:hint="cs"/>
          <w:rtl/>
        </w:rPr>
        <w:t xml:space="preserve"> به سه سوال ریز تبدیل شده </w:t>
      </w:r>
      <w:r>
        <w:rPr>
          <w:rFonts w:hint="cs"/>
          <w:rtl/>
        </w:rPr>
        <w:t>و حکم اجتهاد در هر سه قسم</w:t>
      </w:r>
      <w:r w:rsidRPr="00426BF9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مورد </w:t>
      </w:r>
      <w:r w:rsidRPr="00426BF9">
        <w:rPr>
          <w:rFonts w:hint="cs"/>
          <w:rtl/>
        </w:rPr>
        <w:t xml:space="preserve">بررسی </w:t>
      </w:r>
      <w:r>
        <w:rPr>
          <w:rFonts w:hint="cs"/>
          <w:rtl/>
        </w:rPr>
        <w:t>قرار می‌گیرد</w:t>
      </w:r>
      <w:r w:rsidRPr="00426BF9">
        <w:rPr>
          <w:rFonts w:hint="cs"/>
          <w:rtl/>
        </w:rPr>
        <w:t>.</w:t>
      </w:r>
    </w:p>
    <w:p w:rsidR="00634B5F" w:rsidRPr="00426BF9" w:rsidRDefault="00634B5F" w:rsidP="00634B5F">
      <w:pPr>
        <w:pStyle w:val="4"/>
        <w:rPr>
          <w:rtl/>
        </w:rPr>
      </w:pPr>
      <w:r w:rsidRPr="00426BF9">
        <w:rPr>
          <w:rFonts w:hint="cs"/>
          <w:rtl/>
        </w:rPr>
        <w:t>اقسام اجتهاد</w:t>
      </w:r>
    </w:p>
    <w:p w:rsidR="00634B5F" w:rsidRPr="00426BF9" w:rsidRDefault="00634B5F" w:rsidP="00634B5F">
      <w:pPr>
        <w:jc w:val="both"/>
      </w:pPr>
      <w:r w:rsidRPr="00634B5F">
        <w:rPr>
          <w:rFonts w:hint="cs"/>
          <w:b/>
          <w:bCs/>
          <w:rtl/>
        </w:rPr>
        <w:t xml:space="preserve">1. الإجتهاد لعمل نفسه فی مسألة مبتلا بها: </w:t>
      </w:r>
      <w:r w:rsidRPr="00426BF9">
        <w:rPr>
          <w:rFonts w:hint="cs"/>
          <w:rtl/>
        </w:rPr>
        <w:t>مکلف با مسأله یا پدیده</w:t>
      </w:r>
      <w:r>
        <w:rPr>
          <w:rFonts w:hint="cs"/>
          <w:rtl/>
        </w:rPr>
        <w:t>‌</w:t>
      </w:r>
      <w:r w:rsidRPr="00426BF9">
        <w:rPr>
          <w:rFonts w:hint="cs"/>
          <w:rtl/>
        </w:rPr>
        <w:t xml:space="preserve">ای مواجه </w:t>
      </w:r>
      <w:r>
        <w:rPr>
          <w:rFonts w:hint="cs"/>
          <w:rtl/>
        </w:rPr>
        <w:t>می‌</w:t>
      </w:r>
      <w:r w:rsidRPr="00426BF9">
        <w:rPr>
          <w:rFonts w:hint="cs"/>
          <w:rtl/>
        </w:rPr>
        <w:t>شود که مورد ابتلای خودش است و قصد اجتهاد در حکم آن را دارد.</w:t>
      </w:r>
    </w:p>
    <w:p w:rsidR="00634B5F" w:rsidRPr="00426BF9" w:rsidRDefault="00634B5F" w:rsidP="00634B5F">
      <w:pPr>
        <w:jc w:val="both"/>
      </w:pPr>
      <w:r w:rsidRPr="00634B5F">
        <w:rPr>
          <w:rFonts w:hint="cs"/>
          <w:b/>
          <w:bCs/>
          <w:rtl/>
        </w:rPr>
        <w:lastRenderedPageBreak/>
        <w:t xml:space="preserve">2. الإجتهاد فی نفسه: </w:t>
      </w:r>
      <w:r w:rsidRPr="00426BF9">
        <w:rPr>
          <w:rFonts w:hint="cs"/>
          <w:rtl/>
        </w:rPr>
        <w:t>مکلف در این قسم با قطع نظر از اینکه مسأله مورد ابتلای خودش باشد و یا اینکه شخصی به این حکم نیاز داشته باشد، به اجتهاد و استنباط حکم در موضوعی</w:t>
      </w:r>
      <w:r>
        <w:rPr>
          <w:rFonts w:hint="cs"/>
          <w:rtl/>
        </w:rPr>
        <w:t xml:space="preserve"> مانند موضوع عبد و امه می‌</w:t>
      </w:r>
      <w:r w:rsidRPr="00426BF9">
        <w:rPr>
          <w:rFonts w:hint="cs"/>
          <w:rtl/>
        </w:rPr>
        <w:t>پردازد.</w:t>
      </w:r>
    </w:p>
    <w:p w:rsidR="00634B5F" w:rsidRPr="00426BF9" w:rsidRDefault="00634B5F" w:rsidP="00634B5F">
      <w:pPr>
        <w:jc w:val="both"/>
      </w:pPr>
      <w:r w:rsidRPr="00634B5F">
        <w:rPr>
          <w:rFonts w:hint="cs"/>
          <w:b/>
          <w:bCs/>
          <w:rtl/>
        </w:rPr>
        <w:t>3. الإجتهاد لعمل غیره:</w:t>
      </w:r>
      <w:r w:rsidRPr="00426BF9">
        <w:rPr>
          <w:rFonts w:hint="cs"/>
          <w:rtl/>
        </w:rPr>
        <w:t xml:space="preserve"> مکلف با توجه به اینکه دیگران به این حکم</w:t>
      </w:r>
      <w:r>
        <w:rPr>
          <w:rFonts w:hint="cs"/>
          <w:rtl/>
        </w:rPr>
        <w:t xml:space="preserve"> نیاز دارند به اجتهاد می‌</w:t>
      </w:r>
      <w:r w:rsidRPr="00426BF9">
        <w:rPr>
          <w:rFonts w:hint="cs"/>
          <w:rtl/>
        </w:rPr>
        <w:t>پردازد.</w:t>
      </w:r>
    </w:p>
    <w:p w:rsidR="00634B5F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 xml:space="preserve">بنابراین در این فرض سه سوال مطرح است: </w:t>
      </w:r>
    </w:p>
    <w:p w:rsidR="00634B5F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 xml:space="preserve">الف: الإجتهاد لعمل نفسه فی مسألة مبتلا بها چه حکمی دارد؟ </w:t>
      </w:r>
    </w:p>
    <w:p w:rsidR="00634B5F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 xml:space="preserve">ب: الإجتهاد فی نفسه چه حکمی دارد؟ 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ج: الإجتهاد لعمل غیره چه حکمی دارد؟</w:t>
      </w:r>
    </w:p>
    <w:p w:rsidR="00634B5F" w:rsidRPr="00426BF9" w:rsidRDefault="00634B5F" w:rsidP="00634B5F">
      <w:pPr>
        <w:pStyle w:val="3"/>
        <w:rPr>
          <w:rtl/>
        </w:rPr>
      </w:pPr>
      <w:r w:rsidRPr="00426BF9">
        <w:rPr>
          <w:rFonts w:hint="cs"/>
          <w:rtl/>
        </w:rPr>
        <w:t>احکام اقسام اجتهاد</w:t>
      </w:r>
    </w:p>
    <w:p w:rsidR="00634B5F" w:rsidRPr="00426BF9" w:rsidRDefault="00634B5F" w:rsidP="00634B5F">
      <w:pPr>
        <w:pStyle w:val="4"/>
        <w:rPr>
          <w:rtl/>
        </w:rPr>
      </w:pPr>
      <w:r w:rsidRPr="00634B5F">
        <w:rPr>
          <w:rFonts w:hint="cs"/>
          <w:b w:val="0"/>
          <w:i w:val="0"/>
          <w:rtl/>
        </w:rPr>
        <w:t>1.</w:t>
      </w:r>
      <w:r>
        <w:rPr>
          <w:rFonts w:hint="cs"/>
          <w:rtl/>
        </w:rPr>
        <w:t xml:space="preserve"> </w:t>
      </w:r>
      <w:r w:rsidRPr="00426BF9">
        <w:rPr>
          <w:rFonts w:hint="cs"/>
          <w:rtl/>
        </w:rPr>
        <w:t>الإجتهاد لعمل نفسه فی مسألة مبتلا بها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مکلف علم ا</w:t>
      </w:r>
      <w:r>
        <w:rPr>
          <w:rFonts w:hint="cs"/>
          <w:rtl/>
        </w:rPr>
        <w:t>جمالی و یا احتمال به تکالیفی می‌</w:t>
      </w:r>
      <w:r w:rsidRPr="00426BF9">
        <w:rPr>
          <w:rFonts w:hint="cs"/>
          <w:rtl/>
        </w:rPr>
        <w:t>دهد و باید احراز امتثال کند به نحو اجتهاد، تقلید و یا احتیاط.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گاهی وجوب تخییری دایر بین اطراف سه گانه</w:t>
      </w:r>
      <w:r>
        <w:rPr>
          <w:rFonts w:hint="cs"/>
          <w:rtl/>
        </w:rPr>
        <w:t xml:space="preserve"> می‌</w:t>
      </w:r>
      <w:r w:rsidRPr="00426BF9">
        <w:rPr>
          <w:rFonts w:hint="cs"/>
          <w:rtl/>
        </w:rPr>
        <w:t>شود که در حالت طبیعی اینچنین است و گاهی وجوب تخ</w:t>
      </w:r>
      <w:r>
        <w:rPr>
          <w:rFonts w:hint="cs"/>
          <w:rtl/>
        </w:rPr>
        <w:t>ییری دایر بین اجتهاد و تقلید می‌</w:t>
      </w:r>
      <w:r w:rsidRPr="00426BF9">
        <w:rPr>
          <w:rFonts w:hint="cs"/>
          <w:rtl/>
        </w:rPr>
        <w:t xml:space="preserve">شود در جایی که احتیاط ممکن نباشد و یا شارع آن را نپسندد و گاهی </w:t>
      </w:r>
      <w:r>
        <w:rPr>
          <w:rFonts w:hint="cs"/>
          <w:rtl/>
        </w:rPr>
        <w:t>امر دایر بین اجتهاد و احتیاط می‌</w:t>
      </w:r>
      <w:r w:rsidRPr="00426BF9">
        <w:rPr>
          <w:rFonts w:hint="cs"/>
          <w:rtl/>
        </w:rPr>
        <w:t xml:space="preserve">شود در جایی که مکلف مجتهد </w:t>
      </w:r>
      <w:r>
        <w:rPr>
          <w:rFonts w:hint="cs"/>
          <w:rtl/>
        </w:rPr>
        <w:t>باشد و نیز گاهی اجتهاد متعین می‌</w:t>
      </w:r>
      <w:r w:rsidRPr="00426BF9">
        <w:rPr>
          <w:rFonts w:hint="cs"/>
          <w:rtl/>
        </w:rPr>
        <w:t>گردد و آن در جایی است که مکلف مجتهد بوده و احتیاط ممکن نباشد.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بنابراین الإجتهاد لعمل نفسه فی مسألة مبتلا بها یتصف بالوجوب اما تخییریا</w:t>
      </w:r>
      <w:r>
        <w:rPr>
          <w:rFonts w:hint="cs"/>
          <w:rtl/>
        </w:rPr>
        <w:t>ً</w:t>
      </w:r>
      <w:r w:rsidRPr="00426BF9">
        <w:rPr>
          <w:rFonts w:hint="cs"/>
          <w:rtl/>
        </w:rPr>
        <w:t xml:space="preserve"> او تعیینا</w:t>
      </w:r>
      <w:r>
        <w:rPr>
          <w:rFonts w:hint="cs"/>
          <w:rtl/>
        </w:rPr>
        <w:t>ً</w:t>
      </w:r>
    </w:p>
    <w:p w:rsidR="00634B5F" w:rsidRPr="00426BF9" w:rsidRDefault="00634B5F" w:rsidP="00634B5F">
      <w:pPr>
        <w:pStyle w:val="4"/>
        <w:rPr>
          <w:rtl/>
        </w:rPr>
      </w:pPr>
      <w:r>
        <w:rPr>
          <w:rFonts w:hint="cs"/>
          <w:rtl/>
        </w:rPr>
        <w:lastRenderedPageBreak/>
        <w:t xml:space="preserve">2. </w:t>
      </w:r>
      <w:r w:rsidRPr="00426BF9">
        <w:rPr>
          <w:rFonts w:hint="cs"/>
          <w:rtl/>
        </w:rPr>
        <w:t>الإجتهاد فی نفسه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 xml:space="preserve">اینکه شخصی در احکام و معارف دین اعم از فقهی، اعتقادی و اخلاقی اجتهاد کند و به یک فهم عالمانه از آنها برسد بدون اینکه اثر عملی داشته باشد مانند </w:t>
      </w:r>
      <w:r w:rsidRPr="00426BF9">
        <w:rPr>
          <w:rtl/>
        </w:rPr>
        <w:t>عبيد و اماء</w:t>
      </w:r>
      <w:r w:rsidRPr="00426BF9">
        <w:rPr>
          <w:rFonts w:hint="cs"/>
          <w:rtl/>
        </w:rPr>
        <w:t xml:space="preserve"> که اساسا</w:t>
      </w:r>
      <w:r>
        <w:rPr>
          <w:rFonts w:hint="cs"/>
          <w:rtl/>
        </w:rPr>
        <w:t>ً</w:t>
      </w:r>
      <w:r w:rsidRPr="00426BF9">
        <w:rPr>
          <w:rFonts w:hint="cs"/>
          <w:rtl/>
        </w:rPr>
        <w:t xml:space="preserve"> موضوعا</w:t>
      </w:r>
      <w:r>
        <w:rPr>
          <w:rFonts w:hint="cs"/>
          <w:rtl/>
        </w:rPr>
        <w:t>ً</w:t>
      </w:r>
      <w:r w:rsidRPr="00426BF9">
        <w:rPr>
          <w:rFonts w:hint="cs"/>
          <w:rtl/>
        </w:rPr>
        <w:t xml:space="preserve"> منتفی است، چه حکمی دارد؟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 xml:space="preserve">در این مساله دو سوال مطرح است، </w:t>
      </w:r>
      <w:r>
        <w:rPr>
          <w:rFonts w:hint="cs"/>
          <w:rtl/>
        </w:rPr>
        <w:t>اول</w:t>
      </w:r>
      <w:r w:rsidRPr="00426BF9">
        <w:rPr>
          <w:rFonts w:hint="cs"/>
          <w:rtl/>
        </w:rPr>
        <w:t xml:space="preserve"> اینکه </w:t>
      </w:r>
      <w:r>
        <w:rPr>
          <w:rFonts w:hint="cs"/>
          <w:rtl/>
        </w:rPr>
        <w:t xml:space="preserve">این گونه اجتهاد </w:t>
      </w:r>
      <w:r w:rsidRPr="00426BF9">
        <w:rPr>
          <w:rFonts w:hint="cs"/>
          <w:rtl/>
        </w:rPr>
        <w:t xml:space="preserve">فی حد نفسه چه حکمی دارد؟ و دیگر اینکه با عارض شدن عناوین ثانویه چه حکمی </w:t>
      </w:r>
      <w:r>
        <w:rPr>
          <w:rFonts w:hint="cs"/>
          <w:rtl/>
        </w:rPr>
        <w:t>پیدا می</w:t>
      </w:r>
      <w:r>
        <w:rPr>
          <w:rFonts w:hint="cs"/>
          <w:rtl/>
          <w:cs/>
        </w:rPr>
        <w:t>‎کند</w:t>
      </w:r>
      <w:r w:rsidRPr="00426BF9">
        <w:rPr>
          <w:rFonts w:hint="cs"/>
          <w:rtl/>
        </w:rPr>
        <w:t>؟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>اجتهاد و فهم عالمانه و محققانه از شریعت چه در احکام، چه در اخلاق و چه در عقائد مستحب مؤکد نفسی است.</w:t>
      </w:r>
    </w:p>
    <w:p w:rsidR="00634B5F" w:rsidRPr="00426BF9" w:rsidRDefault="00634B5F" w:rsidP="00634B5F">
      <w:pPr>
        <w:jc w:val="both"/>
        <w:rPr>
          <w:rtl/>
        </w:rPr>
      </w:pPr>
      <w:r w:rsidRPr="00426BF9">
        <w:rPr>
          <w:rFonts w:hint="cs"/>
          <w:rtl/>
        </w:rPr>
        <w:t xml:space="preserve">و استحباب آن مستفاد از ادله فراوان مانند آیه </w:t>
      </w:r>
      <w:r>
        <w:rPr>
          <w:rFonts w:hint="cs"/>
          <w:rtl/>
        </w:rPr>
        <w:t>«</w:t>
      </w:r>
      <w:r w:rsidRPr="00426BF9">
        <w:rPr>
          <w:rFonts w:hint="cs"/>
          <w:rtl/>
        </w:rPr>
        <w:t>هَلْ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يَسْتَوِي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الَّذِينَ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يَعْلَمُونَ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وَالَّذِينَ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لَا</w:t>
      </w:r>
      <w:r w:rsidRPr="00426BF9">
        <w:rPr>
          <w:rtl/>
        </w:rPr>
        <w:t xml:space="preserve"> </w:t>
      </w:r>
      <w:r w:rsidRPr="00426BF9">
        <w:rPr>
          <w:rFonts w:hint="cs"/>
          <w:rtl/>
        </w:rPr>
        <w:t>يَعْلَمُونَ</w:t>
      </w:r>
      <w:r>
        <w:rPr>
          <w:rFonts w:hint="cs"/>
          <w:rtl/>
        </w:rPr>
        <w:t>»</w:t>
      </w:r>
      <w:r>
        <w:rPr>
          <w:rStyle w:val="aff"/>
          <w:rtl/>
        </w:rPr>
        <w:footnoteReference w:id="1"/>
      </w:r>
      <w:r w:rsidRPr="00426BF9">
        <w:rPr>
          <w:rFonts w:hint="cs"/>
          <w:rtl/>
        </w:rPr>
        <w:t xml:space="preserve"> و یا بخش زیادی از روایات معالم و منیة المرید در باب فضیلت علم که یا منحصر در علم دین است و یا اینکه قدر متیقن آن علم دین است و مصداق بارز این روایات هم فهم عالمانه و اجتهاد است.</w:t>
      </w:r>
    </w:p>
    <w:p w:rsidR="00852EF0" w:rsidRPr="00882D33" w:rsidRDefault="00852EF0" w:rsidP="00634B5F">
      <w:pPr>
        <w:jc w:val="both"/>
        <w:rPr>
          <w:sz w:val="28"/>
        </w:rPr>
      </w:pPr>
    </w:p>
    <w:sectPr w:rsidR="00852EF0" w:rsidRPr="00882D33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60" w:rsidRDefault="00871860" w:rsidP="00852EF0">
      <w:pPr>
        <w:spacing w:after="0"/>
      </w:pPr>
      <w:r>
        <w:separator/>
      </w:r>
    </w:p>
  </w:endnote>
  <w:endnote w:type="continuationSeparator" w:id="0">
    <w:p w:rsidR="00871860" w:rsidRDefault="00871860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6D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60" w:rsidRDefault="00871860" w:rsidP="00852EF0">
      <w:pPr>
        <w:spacing w:after="0"/>
      </w:pPr>
      <w:r>
        <w:separator/>
      </w:r>
    </w:p>
  </w:footnote>
  <w:footnote w:type="continuationSeparator" w:id="0">
    <w:p w:rsidR="00871860" w:rsidRDefault="00871860" w:rsidP="00852EF0">
      <w:pPr>
        <w:spacing w:after="0"/>
      </w:pPr>
      <w:r>
        <w:continuationSeparator/>
      </w:r>
    </w:p>
  </w:footnote>
  <w:footnote w:id="1">
    <w:p w:rsidR="00634B5F" w:rsidRDefault="00634B5F" w:rsidP="00634B5F">
      <w:pPr>
        <w:pStyle w:val="a1"/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الزمر/9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BB791D" w:rsidRDefault="00BB791D" w:rsidP="002D16DC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63872" behindDoc="0" locked="0" layoutInCell="1" allowOverlap="1" wp14:anchorId="45D6E68F" wp14:editId="6057D8B5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74196" id="Straight Connector 2" o:spid="_x0000_s1026" style="position:absolute;flip:x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634B5F">
      <w:rPr>
        <w:rFonts w:ascii="Adobe Arabic" w:hAnsi="Adobe Arabic" w:cs="Adobe Arabic" w:hint="cs"/>
        <w:b/>
        <w:bCs/>
        <w:sz w:val="28"/>
        <w:szCs w:val="28"/>
        <w:rtl/>
      </w:rPr>
      <w:t xml:space="preserve">      </w:t>
    </w:r>
    <w:r w:rsidR="002D16DC">
      <w:rPr>
        <w:rFonts w:ascii="Adobe Arabic" w:hAnsi="Adobe Arabic" w:cs="Adobe Arabic"/>
        <w:b/>
        <w:bCs/>
        <w:sz w:val="28"/>
        <w:szCs w:val="28"/>
      </w:rPr>
      <w:t xml:space="preserve">      </w:t>
    </w:r>
    <w:r w:rsidR="00634B5F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634B5F">
      <w:rPr>
        <w:rFonts w:ascii="Adobe Arabic" w:hAnsi="Adobe Arabic" w:cs="Adobe Arabic"/>
        <w:sz w:val="28"/>
        <w:szCs w:val="28"/>
        <w:rtl/>
      </w:rPr>
      <w:t xml:space="preserve">عنوان اصلی:  </w:t>
    </w:r>
    <w:r w:rsidR="00634B5F">
      <w:rPr>
        <w:rFonts w:ascii="Adobe Arabic" w:hAnsi="Adobe Arabic" w:cs="Adobe Arabic" w:hint="cs"/>
        <w:sz w:val="28"/>
        <w:szCs w:val="28"/>
        <w:rtl/>
      </w:rPr>
      <w:t xml:space="preserve">اجتهاد و تقلید 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634B5F">
      <w:rPr>
        <w:rFonts w:ascii="Adobe Arabic" w:hAnsi="Adobe Arabic" w:cs="Adobe Arabic" w:hint="cs"/>
        <w:b/>
        <w:bCs/>
        <w:sz w:val="28"/>
        <w:szCs w:val="28"/>
        <w:rtl/>
      </w:rPr>
      <w:t>23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/</w:t>
    </w:r>
    <w:r w:rsidR="00634B5F">
      <w:rPr>
        <w:rFonts w:ascii="Adobe Arabic" w:hAnsi="Adobe Arabic" w:cs="Adobe Arabic" w:hint="cs"/>
        <w:b/>
        <w:bCs/>
        <w:sz w:val="28"/>
        <w:szCs w:val="28"/>
        <w:rtl/>
      </w:rPr>
      <w:t>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</w:t>
    </w:r>
    <w:r w:rsidR="00634B5F">
      <w:rPr>
        <w:rFonts w:ascii="Adobe Arabic" w:hAnsi="Adobe Arabic" w:cs="Adobe Arabic" w:hint="cs"/>
        <w:b/>
        <w:bCs/>
        <w:sz w:val="28"/>
        <w:szCs w:val="28"/>
        <w:rtl/>
      </w:rPr>
      <w:t xml:space="preserve">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2D16DC">
      <w:rPr>
        <w:rFonts w:ascii="Adobe Arabic" w:hAnsi="Adobe Arabic" w:cs="Adobe Arabic"/>
        <w:b/>
        <w:bCs/>
        <w:sz w:val="28"/>
        <w:szCs w:val="28"/>
      </w:rPr>
      <w:t xml:space="preserve">      </w:t>
    </w:r>
    <w:r w:rsidR="00634B5F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634B5F">
      <w:rPr>
        <w:rFonts w:ascii="Adobe Arabic" w:hAnsi="Adobe Arabic" w:cs="Adobe Arabic" w:hint="cs"/>
        <w:sz w:val="28"/>
        <w:szCs w:val="28"/>
        <w:rtl/>
      </w:rPr>
      <w:t>مسأله اجتهاد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634B5F">
      <w:rPr>
        <w:rFonts w:ascii="Adobe Arabic" w:hAnsi="Adobe Arabic" w:cs="Adobe Arabic" w:hint="cs"/>
        <w:sz w:val="28"/>
        <w:szCs w:val="28"/>
        <w:rtl/>
      </w:rPr>
      <w:t xml:space="preserve"> 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5076"/>
    <w:multiLevelType w:val="hybridMultilevel"/>
    <w:tmpl w:val="327E8E52"/>
    <w:lvl w:ilvl="0" w:tplc="B23E94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5788"/>
    <w:multiLevelType w:val="hybridMultilevel"/>
    <w:tmpl w:val="8C9C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F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16DC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4B5F"/>
    <w:rsid w:val="00636EFA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71860"/>
    <w:rsid w:val="00883733"/>
    <w:rsid w:val="008965D2"/>
    <w:rsid w:val="008A236D"/>
    <w:rsid w:val="008A5ACA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C88F67E-E385-4D22-A61E-3612AAE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34B5F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634B5F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634B5F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634B5F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634B5F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34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634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634B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34B5F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34B5F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34B5F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634B5F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634B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634B5F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634B5F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634B5F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634B5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634B5F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634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634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34B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34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634B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634B5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634B5F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634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634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634B5F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634B5F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634B5F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634B5F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634B5F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634B5F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34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634B5F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634B5F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634B5F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634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17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3</cp:revision>
  <dcterms:created xsi:type="dcterms:W3CDTF">2015-01-17T09:54:00Z</dcterms:created>
  <dcterms:modified xsi:type="dcterms:W3CDTF">2015-01-18T05:11:00Z</dcterms:modified>
</cp:coreProperties>
</file>