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869D" w14:textId="77777777" w:rsidR="00B33BE9" w:rsidRPr="00637171" w:rsidRDefault="00B33BE9" w:rsidP="00391599">
      <w:pPr>
        <w:pStyle w:val="3"/>
        <w:jc w:val="both"/>
        <w:rPr>
          <w:rtl/>
        </w:rPr>
      </w:pPr>
      <w:r w:rsidRPr="00637171">
        <w:rPr>
          <w:rFonts w:hint="cs"/>
          <w:rtl/>
        </w:rPr>
        <w:t>حکم اجتهاد</w:t>
      </w:r>
    </w:p>
    <w:p w14:paraId="650EFADE" w14:textId="77777777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>اجتهاد چون فعلی از افعال مکلف است می‌تواند محکوم‌</w:t>
      </w:r>
      <w:r w:rsidR="00637171">
        <w:rPr>
          <w:rFonts w:hint="cs"/>
          <w:rtl/>
        </w:rPr>
        <w:t xml:space="preserve"> </w:t>
      </w:r>
      <w:r w:rsidRPr="00637171">
        <w:rPr>
          <w:rFonts w:hint="cs"/>
          <w:rtl/>
        </w:rPr>
        <w:t xml:space="preserve">به احکام خمسه (وجوب، استحباب، اباحه، کراهت، حرمت) شود. البته به دلیل اینکه اجتهاد سه حالت (لعمل نفسه، </w:t>
      </w:r>
      <w:r w:rsidR="00637171">
        <w:rPr>
          <w:rFonts w:hint="cs"/>
          <w:rtl/>
        </w:rPr>
        <w:t xml:space="preserve">فی </w:t>
      </w:r>
      <w:r w:rsidR="00637171" w:rsidRPr="00637171">
        <w:rPr>
          <w:rFonts w:hint="cs"/>
          <w:rtl/>
        </w:rPr>
        <w:t xml:space="preserve">نفسه، </w:t>
      </w:r>
      <w:r w:rsidRPr="00637171">
        <w:rPr>
          <w:rFonts w:hint="cs"/>
          <w:rtl/>
        </w:rPr>
        <w:t>لعمل غیره) دارد، اتصاف به احکام خمسه باید در هر سه حالت بررسی شود.</w:t>
      </w:r>
    </w:p>
    <w:p w14:paraId="0ABAFB95" w14:textId="77777777" w:rsidR="00B33BE9" w:rsidRPr="00637171" w:rsidRDefault="00B33BE9" w:rsidP="00391599">
      <w:pPr>
        <w:pStyle w:val="4"/>
        <w:jc w:val="both"/>
        <w:rPr>
          <w:rtl/>
        </w:rPr>
      </w:pPr>
      <w:r w:rsidRPr="00637171">
        <w:rPr>
          <w:rFonts w:hint="cs"/>
          <w:rtl/>
        </w:rPr>
        <w:t>حکم اجتهاد لعمل نفسه</w:t>
      </w:r>
    </w:p>
    <w:p w14:paraId="425229F1" w14:textId="77777777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>اجتهاد لعمل نفسه در احکام الزامی مبتلابه، واجب است اما از</w:t>
      </w:r>
      <w:r w:rsidR="00637171">
        <w:rPr>
          <w:rFonts w:hint="cs"/>
          <w:rtl/>
        </w:rPr>
        <w:t xml:space="preserve"> </w:t>
      </w:r>
      <w:r w:rsidRPr="00637171">
        <w:rPr>
          <w:rFonts w:hint="cs"/>
          <w:rtl/>
        </w:rPr>
        <w:t xml:space="preserve">لحاظ </w:t>
      </w:r>
      <w:r w:rsidR="00637171">
        <w:rPr>
          <w:rFonts w:hint="cs"/>
          <w:rtl/>
        </w:rPr>
        <w:t>نوع وجوبش، وجوب</w:t>
      </w:r>
      <w:r w:rsidRPr="00637171">
        <w:rPr>
          <w:rFonts w:hint="cs"/>
          <w:rtl/>
        </w:rPr>
        <w:t xml:space="preserve"> تخییر</w:t>
      </w:r>
      <w:r w:rsidR="00637171">
        <w:rPr>
          <w:rFonts w:hint="cs"/>
          <w:rtl/>
        </w:rPr>
        <w:t>ی دارد.</w:t>
      </w:r>
    </w:p>
    <w:p w14:paraId="651FDFD6" w14:textId="77777777" w:rsidR="00B33BE9" w:rsidRPr="00637171" w:rsidRDefault="00B33BE9" w:rsidP="00391599">
      <w:pPr>
        <w:pStyle w:val="4"/>
        <w:jc w:val="both"/>
        <w:rPr>
          <w:rtl/>
        </w:rPr>
      </w:pPr>
      <w:r w:rsidRPr="00637171">
        <w:rPr>
          <w:rFonts w:hint="cs"/>
          <w:rtl/>
        </w:rPr>
        <w:t xml:space="preserve">حکم اجتهاد </w:t>
      </w:r>
      <w:r w:rsidR="00637171">
        <w:rPr>
          <w:rFonts w:hint="cs"/>
          <w:rtl/>
        </w:rPr>
        <w:t xml:space="preserve">فی </w:t>
      </w:r>
      <w:r w:rsidRPr="00637171">
        <w:rPr>
          <w:rFonts w:hint="cs"/>
          <w:rtl/>
        </w:rPr>
        <w:t>نفسه</w:t>
      </w:r>
    </w:p>
    <w:p w14:paraId="12DAF40E" w14:textId="77777777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 xml:space="preserve">حکم اجتهاد </w:t>
      </w:r>
      <w:r w:rsidR="00637171">
        <w:rPr>
          <w:rFonts w:hint="cs"/>
          <w:rtl/>
        </w:rPr>
        <w:t xml:space="preserve">فی </w:t>
      </w:r>
      <w:r w:rsidRPr="00637171">
        <w:rPr>
          <w:rFonts w:hint="cs"/>
          <w:rtl/>
        </w:rPr>
        <w:t>نفسه (اجتهادی که با عمل خود مجتهد و یا غیر</w:t>
      </w:r>
      <w:r w:rsidR="00637171">
        <w:rPr>
          <w:rFonts w:hint="cs"/>
          <w:rtl/>
        </w:rPr>
        <w:t>خود</w:t>
      </w:r>
      <w:r w:rsidRPr="00637171">
        <w:rPr>
          <w:rFonts w:hint="cs"/>
          <w:rtl/>
        </w:rPr>
        <w:t xml:space="preserve"> گره نخورده است)، به استناد روایات کثیر، استحباب موکد </w:t>
      </w:r>
      <w:r w:rsidR="00637171">
        <w:rPr>
          <w:rFonts w:hint="cs"/>
          <w:rtl/>
        </w:rPr>
        <w:t>است</w:t>
      </w:r>
      <w:r w:rsidRPr="00637171">
        <w:rPr>
          <w:rFonts w:hint="cs"/>
          <w:rtl/>
        </w:rPr>
        <w:t>. البته این نوع از اجتهاد اختصاص به احکام تجویزی فقهی نداشته و در سایر معارف توصیفی دینی</w:t>
      </w:r>
      <w:r w:rsidR="00637171">
        <w:rPr>
          <w:rFonts w:hint="cs"/>
          <w:rtl/>
        </w:rPr>
        <w:t>(اعتقادات، کلام، اخلاق)</w:t>
      </w:r>
      <w:r w:rsidRPr="00637171">
        <w:rPr>
          <w:rFonts w:hint="cs"/>
          <w:rtl/>
        </w:rPr>
        <w:t xml:space="preserve"> نیز قابل جریان است</w:t>
      </w:r>
      <w:r w:rsidR="00637171">
        <w:rPr>
          <w:rFonts w:hint="cs"/>
          <w:rtl/>
        </w:rPr>
        <w:t>؛</w:t>
      </w:r>
      <w:r w:rsidRPr="00637171">
        <w:rPr>
          <w:rFonts w:hint="cs"/>
          <w:rtl/>
        </w:rPr>
        <w:t xml:space="preserve"> زیرا ادله اطلاق دارند.</w:t>
      </w:r>
    </w:p>
    <w:p w14:paraId="74D1725B" w14:textId="77777777" w:rsidR="00637171" w:rsidRDefault="00637171" w:rsidP="00391599">
      <w:pPr>
        <w:pStyle w:val="4"/>
        <w:jc w:val="both"/>
        <w:rPr>
          <w:rtl/>
        </w:rPr>
      </w:pPr>
      <w:r>
        <w:rPr>
          <w:rFonts w:hint="cs"/>
          <w:rtl/>
        </w:rPr>
        <w:t xml:space="preserve">ملاحظات در </w:t>
      </w:r>
      <w:r w:rsidR="00B33BE9" w:rsidRPr="00637171">
        <w:rPr>
          <w:rFonts w:hint="cs"/>
          <w:rtl/>
        </w:rPr>
        <w:t xml:space="preserve">اجتهاد </w:t>
      </w:r>
      <w:r>
        <w:rPr>
          <w:rFonts w:hint="cs"/>
          <w:rtl/>
        </w:rPr>
        <w:t xml:space="preserve">فی </w:t>
      </w:r>
      <w:r w:rsidR="00B33BE9" w:rsidRPr="00637171">
        <w:rPr>
          <w:rFonts w:hint="cs"/>
          <w:rtl/>
        </w:rPr>
        <w:t>نفسه</w:t>
      </w:r>
    </w:p>
    <w:p w14:paraId="221D12E2" w14:textId="77777777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b/>
          <w:bCs/>
          <w:rtl/>
        </w:rPr>
        <w:t xml:space="preserve"> </w:t>
      </w:r>
      <w:r w:rsidR="00637171" w:rsidRPr="00637171">
        <w:rPr>
          <w:rFonts w:hint="cs"/>
          <w:b/>
          <w:bCs/>
          <w:rtl/>
        </w:rPr>
        <w:t>ملاحظه اول</w:t>
      </w:r>
      <w:r w:rsidR="00637171">
        <w:rPr>
          <w:rFonts w:hint="cs"/>
          <w:rtl/>
        </w:rPr>
        <w:t xml:space="preserve"> : </w:t>
      </w:r>
      <w:r w:rsidR="00637171" w:rsidRPr="00637171">
        <w:rPr>
          <w:rFonts w:hint="cs"/>
          <w:rtl/>
        </w:rPr>
        <w:t xml:space="preserve">اجتهاد </w:t>
      </w:r>
      <w:r w:rsidR="00637171">
        <w:rPr>
          <w:rFonts w:hint="cs"/>
          <w:rtl/>
        </w:rPr>
        <w:t xml:space="preserve">فی </w:t>
      </w:r>
      <w:r w:rsidR="00637171" w:rsidRPr="00637171">
        <w:rPr>
          <w:rFonts w:hint="cs"/>
          <w:rtl/>
        </w:rPr>
        <w:t xml:space="preserve">نفسه </w:t>
      </w:r>
      <w:r w:rsidRPr="00637171">
        <w:rPr>
          <w:rFonts w:hint="cs"/>
          <w:rtl/>
        </w:rPr>
        <w:t>استحباب نفسی دارد</w:t>
      </w:r>
      <w:r w:rsidR="00892E7E">
        <w:rPr>
          <w:rFonts w:hint="cs"/>
          <w:rtl/>
        </w:rPr>
        <w:t>؛ اما</w:t>
      </w:r>
      <w:r w:rsidRPr="00637171">
        <w:rPr>
          <w:rFonts w:hint="cs"/>
          <w:rtl/>
        </w:rPr>
        <w:t xml:space="preserve"> در اجتهاد لعمل نفسه و لعمل غیره دو ملاک استحباب نفسی و وجوب غیری محرز است.</w:t>
      </w:r>
    </w:p>
    <w:p w14:paraId="506A2B76" w14:textId="77777777" w:rsidR="00892E7E" w:rsidRDefault="00892E7E" w:rsidP="00391599">
      <w:pPr>
        <w:jc w:val="both"/>
        <w:rPr>
          <w:b/>
          <w:bCs/>
          <w:rtl/>
        </w:rPr>
      </w:pPr>
      <w:r w:rsidRPr="00637171">
        <w:rPr>
          <w:rFonts w:hint="cs"/>
          <w:b/>
          <w:bCs/>
          <w:rtl/>
        </w:rPr>
        <w:t xml:space="preserve">ملاحظه </w:t>
      </w:r>
      <w:r>
        <w:rPr>
          <w:rFonts w:hint="cs"/>
          <w:b/>
          <w:bCs/>
          <w:rtl/>
        </w:rPr>
        <w:t xml:space="preserve">دوم : </w:t>
      </w:r>
      <w:r w:rsidRPr="00892E7E">
        <w:rPr>
          <w:rFonts w:hint="cs"/>
          <w:rtl/>
        </w:rPr>
        <w:t>حکم استحباب نفسی اختصاصی به احکام الزامی نداشته و اعم از الزامی و غیر الزامی است.</w:t>
      </w:r>
    </w:p>
    <w:p w14:paraId="14123306" w14:textId="77777777" w:rsidR="00B33BE9" w:rsidRPr="00637171" w:rsidRDefault="00892E7E" w:rsidP="00391599">
      <w:pPr>
        <w:jc w:val="both"/>
        <w:rPr>
          <w:rtl/>
        </w:rPr>
      </w:pPr>
      <w:r w:rsidRPr="00892E7E">
        <w:rPr>
          <w:rFonts w:hint="cs"/>
          <w:b/>
          <w:bCs/>
          <w:rtl/>
        </w:rPr>
        <w:t>ملاحظه سوم</w:t>
      </w:r>
      <w:r>
        <w:rPr>
          <w:rFonts w:hint="cs"/>
          <w:rtl/>
        </w:rPr>
        <w:t xml:space="preserve"> : </w:t>
      </w:r>
      <w:r w:rsidR="00B33BE9" w:rsidRPr="00637171">
        <w:rPr>
          <w:rFonts w:hint="cs"/>
          <w:rtl/>
        </w:rPr>
        <w:t xml:space="preserve">حکم استحباب نفسی </w:t>
      </w:r>
      <w:r>
        <w:rPr>
          <w:rFonts w:hint="cs"/>
          <w:rtl/>
        </w:rPr>
        <w:t>امری</w:t>
      </w:r>
      <w:r w:rsidRPr="00637171">
        <w:rPr>
          <w:rFonts w:hint="cs"/>
          <w:rtl/>
        </w:rPr>
        <w:t xml:space="preserve"> </w:t>
      </w:r>
      <w:r w:rsidR="00B33BE9" w:rsidRPr="00637171">
        <w:rPr>
          <w:rFonts w:hint="cs"/>
          <w:rtl/>
        </w:rPr>
        <w:t xml:space="preserve">منوط به </w:t>
      </w:r>
      <w:r>
        <w:rPr>
          <w:rFonts w:hint="cs"/>
          <w:rtl/>
        </w:rPr>
        <w:t xml:space="preserve">مورد ابتلا بودن آن </w:t>
      </w:r>
      <w:r w:rsidR="00B33BE9" w:rsidRPr="00637171">
        <w:rPr>
          <w:rFonts w:hint="cs"/>
          <w:rtl/>
        </w:rPr>
        <w:t>نیست</w:t>
      </w:r>
      <w:r w:rsidR="00BA63B0">
        <w:rPr>
          <w:rFonts w:hint="cs"/>
          <w:rtl/>
        </w:rPr>
        <w:t>؛</w:t>
      </w:r>
      <w:r w:rsidR="00B33BE9" w:rsidRPr="00637171">
        <w:rPr>
          <w:rFonts w:hint="cs"/>
          <w:rtl/>
        </w:rPr>
        <w:t xml:space="preserve"> البته چنانچه حکم مبتلا </w:t>
      </w:r>
      <w:r>
        <w:rPr>
          <w:rFonts w:hint="cs"/>
          <w:rtl/>
        </w:rPr>
        <w:t>به باشد متصف به حکم دیگری هم می‌</w:t>
      </w:r>
      <w:r w:rsidR="00B33BE9" w:rsidRPr="00637171">
        <w:rPr>
          <w:rFonts w:hint="cs"/>
          <w:rtl/>
        </w:rPr>
        <w:t>شود.</w:t>
      </w:r>
    </w:p>
    <w:p w14:paraId="193C28E6" w14:textId="77777777" w:rsidR="00B33BE9" w:rsidRPr="00637171" w:rsidRDefault="00BA63B0" w:rsidP="00391599">
      <w:pPr>
        <w:jc w:val="both"/>
        <w:rPr>
          <w:rtl/>
        </w:rPr>
      </w:pPr>
      <w:r w:rsidRPr="00892E7E">
        <w:rPr>
          <w:rFonts w:hint="cs"/>
          <w:b/>
          <w:bCs/>
          <w:rtl/>
        </w:rPr>
        <w:t>ملاحظه</w:t>
      </w:r>
      <w:r>
        <w:rPr>
          <w:rFonts w:hint="cs"/>
          <w:b/>
          <w:bCs/>
          <w:rtl/>
        </w:rPr>
        <w:t xml:space="preserve"> چهارم :</w:t>
      </w:r>
      <w:r w:rsidRPr="00637171">
        <w:rPr>
          <w:rFonts w:hint="cs"/>
          <w:rtl/>
        </w:rPr>
        <w:t xml:space="preserve"> </w:t>
      </w:r>
      <w:r>
        <w:rPr>
          <w:rFonts w:hint="cs"/>
          <w:rtl/>
        </w:rPr>
        <w:t xml:space="preserve">حکم </w:t>
      </w:r>
      <w:r w:rsidR="00B33BE9" w:rsidRPr="00637171">
        <w:rPr>
          <w:rFonts w:hint="cs"/>
          <w:rtl/>
        </w:rPr>
        <w:t xml:space="preserve">استحباب نفسی در اجتهاد </w:t>
      </w:r>
      <w:r>
        <w:rPr>
          <w:rFonts w:hint="cs"/>
          <w:rtl/>
        </w:rPr>
        <w:t xml:space="preserve">فی </w:t>
      </w:r>
      <w:r w:rsidR="00B33BE9" w:rsidRPr="00637171">
        <w:rPr>
          <w:rFonts w:hint="cs"/>
          <w:rtl/>
        </w:rPr>
        <w:t>نفسه تعیینی بوده و تخییری نیست.</w:t>
      </w:r>
    </w:p>
    <w:p w14:paraId="33F9D07A" w14:textId="77777777" w:rsidR="00B33BE9" w:rsidRDefault="00BA63B0" w:rsidP="00391599">
      <w:pPr>
        <w:jc w:val="both"/>
        <w:rPr>
          <w:rtl/>
        </w:rPr>
      </w:pPr>
      <w:r w:rsidRPr="00BA63B0">
        <w:rPr>
          <w:rFonts w:hint="cs"/>
          <w:b/>
          <w:bCs/>
          <w:rtl/>
        </w:rPr>
        <w:lastRenderedPageBreak/>
        <w:t>ملاحظه پنجم</w:t>
      </w:r>
      <w:r>
        <w:rPr>
          <w:rFonts w:hint="cs"/>
          <w:rtl/>
        </w:rPr>
        <w:t xml:space="preserve"> : حکم </w:t>
      </w:r>
      <w:r w:rsidR="00B33BE9" w:rsidRPr="00637171">
        <w:rPr>
          <w:rFonts w:hint="cs"/>
          <w:rtl/>
        </w:rPr>
        <w:t xml:space="preserve">استحاب </w:t>
      </w:r>
      <w:r>
        <w:rPr>
          <w:rFonts w:hint="cs"/>
          <w:rtl/>
        </w:rPr>
        <w:t xml:space="preserve">نفسی </w:t>
      </w:r>
      <w:r w:rsidR="00B33BE9" w:rsidRPr="00637171">
        <w:rPr>
          <w:rFonts w:hint="cs"/>
          <w:rtl/>
        </w:rPr>
        <w:t xml:space="preserve">در اجتهاد </w:t>
      </w:r>
      <w:r>
        <w:rPr>
          <w:rFonts w:hint="cs"/>
          <w:rtl/>
        </w:rPr>
        <w:t xml:space="preserve">فی </w:t>
      </w:r>
      <w:r w:rsidR="00B33BE9" w:rsidRPr="00637171">
        <w:rPr>
          <w:rFonts w:hint="cs"/>
          <w:rtl/>
        </w:rPr>
        <w:t>نفسه عینی است و بر هر کسی، تعلم و استنباط معارف دین مستحب موکد است.</w:t>
      </w:r>
    </w:p>
    <w:p w14:paraId="11BFB8C2" w14:textId="77777777" w:rsidR="00BA63B0" w:rsidRPr="00637171" w:rsidRDefault="00BA63B0" w:rsidP="00391599">
      <w:pPr>
        <w:jc w:val="both"/>
        <w:rPr>
          <w:rtl/>
        </w:rPr>
      </w:pPr>
      <w:r w:rsidRPr="00BA63B0">
        <w:rPr>
          <w:rFonts w:hint="cs"/>
          <w:b/>
          <w:bCs/>
          <w:rtl/>
        </w:rPr>
        <w:t>ملاحظه ششم</w:t>
      </w:r>
      <w:r>
        <w:rPr>
          <w:rFonts w:hint="cs"/>
          <w:rtl/>
        </w:rPr>
        <w:t xml:space="preserve"> : استحباب نفسی اجتهاد فی نفسه، استحباب تشکیکی و ذو مراتب است، هر چه قدر اهمیت یک مبحث در نظام تفکر دینی بالاتر باشد، فهم و اجتهاد در فهم آن نیز استحباب بیشتری خواهد داشت.</w:t>
      </w:r>
    </w:p>
    <w:p w14:paraId="031F9531" w14:textId="77777777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 xml:space="preserve">این تشکیک هم مستفاد از ادله است که در بعضی از مسائل حجم بیشتری از روایات و ادله وجود </w:t>
      </w:r>
      <w:r w:rsidR="00BA63B0">
        <w:rPr>
          <w:rFonts w:hint="cs"/>
          <w:rtl/>
        </w:rPr>
        <w:t>دارد و هم از ارتکازات فهمیده می‌</w:t>
      </w:r>
      <w:r w:rsidRPr="00637171">
        <w:rPr>
          <w:rFonts w:hint="cs"/>
          <w:rtl/>
        </w:rPr>
        <w:t>شود که اهمیت حکم تابع اهمیت موضوع است.</w:t>
      </w:r>
    </w:p>
    <w:p w14:paraId="6DAB1A71" w14:textId="77777777" w:rsidR="00B33BE9" w:rsidRPr="00637171" w:rsidRDefault="00BA63B0" w:rsidP="00391599">
      <w:pPr>
        <w:jc w:val="both"/>
        <w:rPr>
          <w:rtl/>
        </w:rPr>
      </w:pPr>
      <w:r w:rsidRPr="00BA63B0">
        <w:rPr>
          <w:rFonts w:hint="cs"/>
          <w:b/>
          <w:bCs/>
          <w:rtl/>
        </w:rPr>
        <w:t>ملاحظه هفتم</w:t>
      </w:r>
      <w:r>
        <w:rPr>
          <w:rFonts w:hint="cs"/>
          <w:rtl/>
        </w:rPr>
        <w:t xml:space="preserve"> : </w:t>
      </w:r>
      <w:r w:rsidR="00B33BE9" w:rsidRPr="00637171">
        <w:rPr>
          <w:rFonts w:hint="cs"/>
          <w:rtl/>
        </w:rPr>
        <w:t>حکم استحباب از نوع توصلی نوع دوم (برزخ بین توصلی و تعبدی) است.</w:t>
      </w:r>
    </w:p>
    <w:p w14:paraId="5822503F" w14:textId="1DFCFE88" w:rsidR="00B33BE9" w:rsidRPr="00637171" w:rsidRDefault="00BA63B0" w:rsidP="00414A3D">
      <w:pPr>
        <w:jc w:val="both"/>
        <w:rPr>
          <w:rtl/>
        </w:rPr>
      </w:pPr>
      <w:r w:rsidRPr="00BA63B0">
        <w:rPr>
          <w:rFonts w:hint="cs"/>
          <w:b/>
          <w:bCs/>
          <w:rtl/>
        </w:rPr>
        <w:t>ملاحظه ه</w:t>
      </w:r>
      <w:r w:rsidR="00414A3D">
        <w:rPr>
          <w:rFonts w:hint="cs"/>
          <w:b/>
          <w:bCs/>
          <w:rtl/>
        </w:rPr>
        <w:t>ش</w:t>
      </w:r>
      <w:r w:rsidRPr="00BA63B0">
        <w:rPr>
          <w:rFonts w:hint="cs"/>
          <w:b/>
          <w:bCs/>
          <w:rtl/>
        </w:rPr>
        <w:t>تم</w:t>
      </w:r>
      <w:r>
        <w:rPr>
          <w:rFonts w:hint="cs"/>
          <w:rtl/>
        </w:rPr>
        <w:t xml:space="preserve"> </w:t>
      </w:r>
      <w:r w:rsidR="00774818">
        <w:t xml:space="preserve">: </w:t>
      </w:r>
      <w:r w:rsidR="00B33BE9" w:rsidRPr="00637171">
        <w:rPr>
          <w:rFonts w:hint="cs"/>
          <w:rtl/>
        </w:rPr>
        <w:t xml:space="preserve">در استحباب اجتهاد لنفسه دو دلیل وجود دارد 1- استحباب عام و فراگیر که موضوع آن یادگرفتن معارف دینی است چه اجتهادا و چه تقلیدا 2- استحباب خاص که موضوع آن تعلم مجتهدانه است و این دو </w:t>
      </w:r>
      <w:bookmarkStart w:id="0" w:name="_GoBack"/>
      <w:bookmarkEnd w:id="0"/>
      <w:r w:rsidR="00B33BE9" w:rsidRPr="00637171">
        <w:rPr>
          <w:rFonts w:hint="cs"/>
          <w:rtl/>
        </w:rPr>
        <w:t xml:space="preserve">دلیل در اجتهاد </w:t>
      </w:r>
      <w:r>
        <w:rPr>
          <w:rFonts w:hint="cs"/>
          <w:rtl/>
        </w:rPr>
        <w:t xml:space="preserve">فی </w:t>
      </w:r>
      <w:r w:rsidR="00B33BE9" w:rsidRPr="00637171">
        <w:rPr>
          <w:rFonts w:hint="cs"/>
          <w:rtl/>
        </w:rPr>
        <w:t>نفسه جمع شده است.</w:t>
      </w:r>
    </w:p>
    <w:p w14:paraId="376D60B9" w14:textId="77777777" w:rsidR="00B33BE9" w:rsidRPr="00637171" w:rsidRDefault="00B33BE9" w:rsidP="00391599">
      <w:pPr>
        <w:jc w:val="both"/>
      </w:pPr>
      <w:r w:rsidRPr="00637171">
        <w:rPr>
          <w:rFonts w:hint="cs"/>
          <w:rtl/>
        </w:rPr>
        <w:t>البته این استحباب منوط به شرایط تکلیف بوده و قوانین تزاحم نیز جریان دارد.</w:t>
      </w:r>
    </w:p>
    <w:p w14:paraId="7A2458E5" w14:textId="77777777" w:rsidR="00B33BE9" w:rsidRPr="00637171" w:rsidRDefault="00B33BE9" w:rsidP="00391599">
      <w:pPr>
        <w:pStyle w:val="4"/>
        <w:jc w:val="both"/>
        <w:rPr>
          <w:rtl/>
        </w:rPr>
      </w:pPr>
      <w:r w:rsidRPr="00637171">
        <w:rPr>
          <w:rFonts w:hint="cs"/>
          <w:rtl/>
        </w:rPr>
        <w:t xml:space="preserve">آیا اجتهاد </w:t>
      </w:r>
      <w:r w:rsidR="00F4321A">
        <w:rPr>
          <w:rFonts w:hint="cs"/>
          <w:rtl/>
        </w:rPr>
        <w:t xml:space="preserve">فی </w:t>
      </w:r>
      <w:r w:rsidRPr="00637171">
        <w:rPr>
          <w:rFonts w:hint="cs"/>
          <w:rtl/>
        </w:rPr>
        <w:t>نفسه همیشه مستحب موکد است؟</w:t>
      </w:r>
    </w:p>
    <w:p w14:paraId="5F73322A" w14:textId="6A9E72DA" w:rsidR="00B33BE9" w:rsidRPr="00637171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>واضح است حکم استحباب م</w:t>
      </w:r>
      <w:r w:rsidR="00774818">
        <w:rPr>
          <w:rFonts w:hint="cs"/>
          <w:rtl/>
        </w:rPr>
        <w:t xml:space="preserve">وکد </w:t>
      </w:r>
      <w:r w:rsidR="00F4321A" w:rsidRPr="00637171">
        <w:rPr>
          <w:rFonts w:hint="cs"/>
          <w:rtl/>
        </w:rPr>
        <w:t xml:space="preserve">اجتهاد </w:t>
      </w:r>
      <w:r w:rsidR="00F4321A">
        <w:rPr>
          <w:rFonts w:hint="cs"/>
          <w:rtl/>
        </w:rPr>
        <w:t xml:space="preserve">فی </w:t>
      </w:r>
      <w:r w:rsidR="00F4321A" w:rsidRPr="00637171">
        <w:rPr>
          <w:rFonts w:hint="cs"/>
          <w:rtl/>
        </w:rPr>
        <w:t xml:space="preserve">نفسه </w:t>
      </w:r>
      <w:r w:rsidR="00774818">
        <w:rPr>
          <w:rFonts w:hint="cs"/>
          <w:rtl/>
        </w:rPr>
        <w:t xml:space="preserve">با </w:t>
      </w:r>
      <w:r w:rsidR="00F4321A">
        <w:rPr>
          <w:rFonts w:hint="cs"/>
          <w:rtl/>
        </w:rPr>
        <w:t xml:space="preserve">تغییر </w:t>
      </w:r>
      <w:r w:rsidR="00774818">
        <w:rPr>
          <w:rFonts w:hint="cs"/>
          <w:rtl/>
        </w:rPr>
        <w:t>عناوین و شرایط متفاوت می</w:t>
      </w:r>
      <w:r w:rsidR="00774818">
        <w:rPr>
          <w:rFonts w:cs="Calibri"/>
          <w:szCs w:val="22"/>
          <w:cs/>
        </w:rPr>
        <w:t>‎</w:t>
      </w:r>
      <w:r w:rsidR="00F4321A">
        <w:rPr>
          <w:rFonts w:hint="cs"/>
          <w:rtl/>
        </w:rPr>
        <w:t>گردد</w:t>
      </w:r>
      <w:r w:rsidR="00774818">
        <w:rPr>
          <w:rFonts w:hint="cs"/>
          <w:rtl/>
        </w:rPr>
        <w:t xml:space="preserve"> و می</w:t>
      </w:r>
      <w:r w:rsidR="00774818">
        <w:rPr>
          <w:rFonts w:cs="Calibri"/>
          <w:szCs w:val="22"/>
          <w:cs/>
        </w:rPr>
        <w:t>‎</w:t>
      </w:r>
      <w:r w:rsidRPr="00637171">
        <w:rPr>
          <w:rFonts w:hint="cs"/>
          <w:rtl/>
        </w:rPr>
        <w:t xml:space="preserve">تواند </w:t>
      </w:r>
      <w:r w:rsidR="00774818">
        <w:rPr>
          <w:rFonts w:hint="cs"/>
          <w:rtl/>
        </w:rPr>
        <w:t xml:space="preserve">با عارض شدن </w:t>
      </w:r>
      <w:r w:rsidRPr="00637171">
        <w:rPr>
          <w:rFonts w:hint="cs"/>
          <w:rtl/>
        </w:rPr>
        <w:t>احوال و عواملی</w:t>
      </w:r>
      <w:r w:rsidR="00774818">
        <w:rPr>
          <w:rFonts w:hint="cs"/>
          <w:rtl/>
        </w:rPr>
        <w:t>،</w:t>
      </w:r>
      <w:r w:rsidRPr="00637171">
        <w:rPr>
          <w:rFonts w:hint="cs"/>
          <w:rtl/>
        </w:rPr>
        <w:t xml:space="preserve"> حکم آن تغییر کند</w:t>
      </w:r>
      <w:r w:rsidR="00F4321A">
        <w:rPr>
          <w:rFonts w:hint="cs"/>
          <w:rtl/>
        </w:rPr>
        <w:t xml:space="preserve"> که در مجموع می‌تواند </w:t>
      </w:r>
      <w:r w:rsidRPr="00637171">
        <w:rPr>
          <w:rFonts w:hint="cs"/>
          <w:rtl/>
        </w:rPr>
        <w:t xml:space="preserve">متصف به احکام خمسه(وجوب، استحباب، اباحه، کراهت، حرمت) </w:t>
      </w:r>
      <w:r w:rsidR="00F4321A">
        <w:rPr>
          <w:rFonts w:hint="cs"/>
          <w:rtl/>
        </w:rPr>
        <w:t>ب</w:t>
      </w:r>
      <w:r w:rsidRPr="00637171">
        <w:rPr>
          <w:rFonts w:hint="cs"/>
          <w:rtl/>
        </w:rPr>
        <w:t>شود.</w:t>
      </w:r>
    </w:p>
    <w:p w14:paraId="61586187" w14:textId="77777777" w:rsidR="00B33BE9" w:rsidRPr="00637171" w:rsidRDefault="00B33BE9" w:rsidP="00391599">
      <w:pPr>
        <w:pStyle w:val="4"/>
        <w:jc w:val="both"/>
        <w:rPr>
          <w:rtl/>
        </w:rPr>
      </w:pPr>
      <w:r w:rsidRPr="00637171">
        <w:rPr>
          <w:rFonts w:hint="cs"/>
          <w:rtl/>
        </w:rPr>
        <w:t xml:space="preserve">وجوب اجتهاد </w:t>
      </w:r>
      <w:r w:rsidR="00F4321A">
        <w:rPr>
          <w:rFonts w:hint="cs"/>
          <w:rtl/>
        </w:rPr>
        <w:t xml:space="preserve">فی </w:t>
      </w:r>
      <w:r w:rsidRPr="00637171">
        <w:rPr>
          <w:rFonts w:hint="cs"/>
          <w:rtl/>
        </w:rPr>
        <w:t>نفسه</w:t>
      </w:r>
    </w:p>
    <w:p w14:paraId="16A263F1" w14:textId="77777777" w:rsidR="00F4321A" w:rsidRDefault="00B33BE9" w:rsidP="00391599">
      <w:pPr>
        <w:jc w:val="both"/>
        <w:rPr>
          <w:rtl/>
        </w:rPr>
      </w:pPr>
      <w:r w:rsidRPr="00637171">
        <w:rPr>
          <w:rFonts w:hint="cs"/>
          <w:rtl/>
        </w:rPr>
        <w:t xml:space="preserve">اجتهاد </w:t>
      </w:r>
      <w:r w:rsidR="00F4321A">
        <w:rPr>
          <w:rFonts w:hint="cs"/>
          <w:rtl/>
        </w:rPr>
        <w:t>فی نفسه در شرایطی واجب می‌</w:t>
      </w:r>
      <w:r w:rsidRPr="00637171">
        <w:rPr>
          <w:rFonts w:hint="cs"/>
          <w:rtl/>
        </w:rPr>
        <w:t xml:space="preserve">شود و دلیل بر </w:t>
      </w:r>
      <w:r w:rsidR="00F4321A">
        <w:rPr>
          <w:rFonts w:hint="cs"/>
          <w:rtl/>
        </w:rPr>
        <w:t xml:space="preserve">این </w:t>
      </w:r>
      <w:r w:rsidRPr="00637171">
        <w:rPr>
          <w:rFonts w:hint="cs"/>
          <w:rtl/>
        </w:rPr>
        <w:t>وجوب</w:t>
      </w:r>
      <w:r w:rsidR="00F4321A">
        <w:rPr>
          <w:rFonts w:hint="cs"/>
          <w:rtl/>
        </w:rPr>
        <w:t xml:space="preserve"> می‌تواند به قرار زیر باشد:</w:t>
      </w:r>
    </w:p>
    <w:p w14:paraId="6EE0DD9A" w14:textId="77777777" w:rsidR="00F4321A" w:rsidRDefault="00F4321A" w:rsidP="00391599">
      <w:pPr>
        <w:jc w:val="both"/>
        <w:rPr>
          <w:rtl/>
        </w:rPr>
      </w:pPr>
    </w:p>
    <w:p w14:paraId="43A260F8" w14:textId="77777777" w:rsidR="00F4321A" w:rsidRPr="00F4321A" w:rsidRDefault="00F4321A" w:rsidP="00391599">
      <w:pPr>
        <w:jc w:val="both"/>
        <w:rPr>
          <w:b/>
          <w:bCs/>
          <w:rtl/>
        </w:rPr>
      </w:pPr>
      <w:r w:rsidRPr="00F4321A">
        <w:rPr>
          <w:rFonts w:hint="cs"/>
          <w:b/>
          <w:bCs/>
          <w:rtl/>
        </w:rPr>
        <w:lastRenderedPageBreak/>
        <w:t xml:space="preserve">دلیل عقلی : </w:t>
      </w:r>
    </w:p>
    <w:p w14:paraId="476EE608" w14:textId="77777777" w:rsidR="0071053F" w:rsidRDefault="006A1A27" w:rsidP="0071053F">
      <w:pPr>
        <w:jc w:val="both"/>
        <w:rPr>
          <w:rtl/>
        </w:rPr>
      </w:pPr>
      <w:r>
        <w:rPr>
          <w:rFonts w:hint="cs"/>
          <w:rtl/>
        </w:rPr>
        <w:t xml:space="preserve">از آنجایی که عدم وجود متخصص دینی و مجتهد در هر عصری موجب فرسودگی آن دین می‌گردد </w:t>
      </w:r>
      <w:r w:rsidR="0071053F">
        <w:rPr>
          <w:rFonts w:hint="cs"/>
          <w:rtl/>
        </w:rPr>
        <w:t xml:space="preserve">و قطعاً </w:t>
      </w:r>
      <w:r w:rsidR="0071053F" w:rsidRPr="00637171">
        <w:rPr>
          <w:rFonts w:hint="cs"/>
          <w:rtl/>
        </w:rPr>
        <w:t>می‌دانیم</w:t>
      </w:r>
      <w:r w:rsidR="0071053F">
        <w:rPr>
          <w:rFonts w:hint="cs"/>
          <w:rtl/>
        </w:rPr>
        <w:t xml:space="preserve"> این مسأله مورد رضای</w:t>
      </w:r>
      <w:r w:rsidR="00B33BE9" w:rsidRPr="00637171">
        <w:rPr>
          <w:rFonts w:hint="cs"/>
          <w:rtl/>
        </w:rPr>
        <w:t xml:space="preserve"> مولا نمی‌</w:t>
      </w:r>
      <w:r w:rsidR="0071053F">
        <w:rPr>
          <w:rFonts w:hint="cs"/>
          <w:rtl/>
        </w:rPr>
        <w:t>باشد، از این جهت اجتهاد فی نفسه به حکم عقل واجب می</w:t>
      </w:r>
      <w:r w:rsidR="0071053F">
        <w:rPr>
          <w:rFonts w:hint="cs"/>
          <w:rtl/>
          <w:cs/>
        </w:rPr>
        <w:t>‎گردد.</w:t>
      </w:r>
    </w:p>
    <w:p w14:paraId="047B95E1" w14:textId="77777777" w:rsidR="006A1A27" w:rsidRDefault="0071053F" w:rsidP="0071053F">
      <w:pPr>
        <w:jc w:val="both"/>
        <w:rPr>
          <w:rtl/>
        </w:rPr>
      </w:pPr>
      <w:r w:rsidRPr="0071053F">
        <w:rPr>
          <w:rFonts w:hint="cs"/>
          <w:b/>
          <w:bCs/>
          <w:rtl/>
        </w:rPr>
        <w:t>د</w:t>
      </w:r>
      <w:r w:rsidR="006A1A27" w:rsidRPr="0071053F">
        <w:rPr>
          <w:rFonts w:hint="cs"/>
          <w:b/>
          <w:bCs/>
          <w:rtl/>
        </w:rPr>
        <w:t>لی</w:t>
      </w:r>
      <w:r w:rsidR="006A1A27" w:rsidRPr="006A1A27">
        <w:rPr>
          <w:rFonts w:hint="cs"/>
          <w:b/>
          <w:bCs/>
          <w:rtl/>
        </w:rPr>
        <w:t>ل لفظی</w:t>
      </w:r>
      <w:r w:rsidR="006A1A27">
        <w:rPr>
          <w:rFonts w:hint="cs"/>
          <w:rtl/>
        </w:rPr>
        <w:t xml:space="preserve"> :</w:t>
      </w:r>
    </w:p>
    <w:p w14:paraId="14318B78" w14:textId="77777777" w:rsidR="009C0095" w:rsidRPr="009C0095" w:rsidRDefault="009C0095" w:rsidP="009C0095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9C0095">
        <w:rPr>
          <w:rFonts w:hint="cs"/>
          <w:b/>
          <w:bCs/>
          <w:rtl/>
        </w:rPr>
        <w:t xml:space="preserve">1. آیه نفر </w:t>
      </w:r>
    </w:p>
    <w:p w14:paraId="4BC02CF2" w14:textId="77777777" w:rsidR="009C0095" w:rsidRDefault="009C0095" w:rsidP="009C0095">
      <w:pPr>
        <w:rPr>
          <w:rtl/>
        </w:rPr>
      </w:pPr>
      <w:r>
        <w:rPr>
          <w:rFonts w:hint="cs"/>
          <w:rtl/>
        </w:rPr>
        <w:t>در آیه «</w:t>
      </w:r>
      <w:r w:rsidRPr="009C0095">
        <w:rPr>
          <w:rFonts w:cs="Arial" w:hint="cs"/>
          <w:rtl/>
        </w:rPr>
        <w:t xml:space="preserve"> </w:t>
      </w:r>
      <w:r w:rsidRPr="009C0095">
        <w:rPr>
          <w:rFonts w:hint="cs"/>
          <w:rtl/>
        </w:rPr>
        <w:t>فَلَوْ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لا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نَفَرَ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مِنْ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كُلِّ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فِرْقَةٍ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مِنْهُمْ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طائِفَةٌ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لِيَتَفَقَّهُوا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فِي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الدِّينِ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وَ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لِيُنْذِرُوا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قَوْمَهُمْ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إِذا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رَجَعُوا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إِلَيْهِمْ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لَعَلَّهُمْ</w:t>
      </w:r>
      <w:r w:rsidRPr="009C0095">
        <w:rPr>
          <w:rtl/>
        </w:rPr>
        <w:t xml:space="preserve"> </w:t>
      </w:r>
      <w:r w:rsidRPr="009C0095">
        <w:rPr>
          <w:rFonts w:hint="cs"/>
          <w:rtl/>
        </w:rPr>
        <w:t>يَحْذَرُون</w:t>
      </w:r>
      <w:r>
        <w:rPr>
          <w:rFonts w:hint="cs"/>
          <w:rtl/>
        </w:rPr>
        <w:t>»</w:t>
      </w:r>
      <w:r w:rsidRPr="009C0095">
        <w:rPr>
          <w:rFonts w:hint="cs"/>
          <w:rtl/>
        </w:rPr>
        <w:t xml:space="preserve"> </w:t>
      </w:r>
      <w:r>
        <w:rPr>
          <w:rStyle w:val="aff"/>
          <w:rtl/>
        </w:rPr>
        <w:footnoteReference w:id="1"/>
      </w:r>
      <w:r w:rsidR="00B33BE9" w:rsidRPr="00637171">
        <w:rPr>
          <w:rFonts w:hint="cs"/>
          <w:rtl/>
        </w:rPr>
        <w:t>بنا</w:t>
      </w:r>
      <w:r w:rsidR="00B33BE9" w:rsidRPr="00637171">
        <w:rPr>
          <w:rtl/>
        </w:rPr>
        <w:t xml:space="preserve"> </w:t>
      </w:r>
      <w:r w:rsidR="00B33BE9" w:rsidRPr="00637171">
        <w:rPr>
          <w:rFonts w:hint="cs"/>
          <w:rtl/>
        </w:rPr>
        <w:t>بر اینکه لِيَتَفَقَّهُوا</w:t>
      </w:r>
      <w:r w:rsidR="00B33BE9" w:rsidRPr="00637171">
        <w:rPr>
          <w:rtl/>
        </w:rPr>
        <w:t xml:space="preserve"> </w:t>
      </w:r>
      <w:r w:rsidRPr="009C0095">
        <w:rPr>
          <w:rFonts w:hint="cs"/>
          <w:rtl/>
        </w:rPr>
        <w:t>فِي</w:t>
      </w:r>
      <w:r w:rsidRPr="009C0095">
        <w:rPr>
          <w:rtl/>
        </w:rPr>
        <w:t xml:space="preserve"> </w:t>
      </w:r>
      <w:r>
        <w:rPr>
          <w:rFonts w:hint="cs"/>
          <w:rtl/>
        </w:rPr>
        <w:t>الدِّين</w:t>
      </w:r>
      <w:r w:rsidRPr="009C0095">
        <w:rPr>
          <w:rtl/>
        </w:rPr>
        <w:t xml:space="preserve"> </w:t>
      </w:r>
      <w:r w:rsidR="00B33BE9" w:rsidRPr="00637171">
        <w:rPr>
          <w:rFonts w:hint="cs"/>
          <w:rtl/>
        </w:rPr>
        <w:t xml:space="preserve">به معنای اجتهاد لحاظ شود </w:t>
      </w:r>
      <w:r>
        <w:rPr>
          <w:rFonts w:hint="cs"/>
          <w:rtl/>
        </w:rPr>
        <w:t xml:space="preserve">می‌تواند بر وجوب اجتهاد فی نفسه دلایت بکند. </w:t>
      </w:r>
    </w:p>
    <w:p w14:paraId="26891C27" w14:textId="77777777" w:rsidR="009C0095" w:rsidRPr="009C0095" w:rsidRDefault="009C0095" w:rsidP="009C0095">
      <w:pPr>
        <w:rPr>
          <w:b/>
          <w:bCs/>
          <w:rtl/>
        </w:rPr>
      </w:pPr>
      <w:r w:rsidRPr="009C0095">
        <w:rPr>
          <w:rFonts w:hint="cs"/>
          <w:b/>
          <w:bCs/>
          <w:rtl/>
        </w:rPr>
        <w:t xml:space="preserve">بررسی دلالی </w:t>
      </w:r>
    </w:p>
    <w:p w14:paraId="7509CEA5" w14:textId="77777777" w:rsidR="00B33BE9" w:rsidRPr="00637171" w:rsidRDefault="009C0095" w:rsidP="009C0095">
      <w:pPr>
        <w:rPr>
          <w:rtl/>
        </w:rPr>
      </w:pPr>
      <w:r>
        <w:rPr>
          <w:rFonts w:hint="cs"/>
          <w:rtl/>
        </w:rPr>
        <w:t>اگر گفته شود که آیه ناظر بر تفقهی که برای انذار است می‌باشد و مربوط به اجتهاد لغیره است، گفته می‌شود از آنجایی که</w:t>
      </w:r>
      <w:r w:rsidR="00B33BE9" w:rsidRPr="00637171">
        <w:rPr>
          <w:rFonts w:hint="cs"/>
          <w:rtl/>
        </w:rPr>
        <w:t xml:space="preserve"> لِيُنْذِرُوا </w:t>
      </w:r>
      <w:r>
        <w:rPr>
          <w:rFonts w:hint="cs"/>
          <w:rtl/>
        </w:rPr>
        <w:t xml:space="preserve">با </w:t>
      </w:r>
      <w:r w:rsidRPr="00637171">
        <w:rPr>
          <w:rFonts w:hint="cs"/>
          <w:rtl/>
        </w:rPr>
        <w:t xml:space="preserve">لفظ "و" </w:t>
      </w:r>
      <w:r w:rsidR="00B33BE9" w:rsidRPr="00637171">
        <w:rPr>
          <w:rFonts w:hint="cs"/>
          <w:rtl/>
        </w:rPr>
        <w:t>از ما</w:t>
      </w:r>
      <w:r>
        <w:rPr>
          <w:rFonts w:hint="cs"/>
          <w:rtl/>
        </w:rPr>
        <w:t xml:space="preserve"> </w:t>
      </w:r>
      <w:r w:rsidR="00B33BE9" w:rsidRPr="00637171">
        <w:rPr>
          <w:rFonts w:hint="cs"/>
          <w:rtl/>
        </w:rPr>
        <w:t>قبل جدا</w:t>
      </w:r>
      <w:r>
        <w:rPr>
          <w:rFonts w:hint="cs"/>
          <w:rtl/>
        </w:rPr>
        <w:t xml:space="preserve"> </w:t>
      </w:r>
      <w:r w:rsidR="00B33BE9" w:rsidRPr="00637171">
        <w:rPr>
          <w:rFonts w:hint="cs"/>
          <w:rtl/>
        </w:rPr>
        <w:t>شده</w:t>
      </w:r>
      <w:r>
        <w:rPr>
          <w:rFonts w:hint="cs"/>
          <w:rtl/>
        </w:rPr>
        <w:t xml:space="preserve"> است صرفاً نمی</w:t>
      </w:r>
      <w:r>
        <w:rPr>
          <w:rFonts w:hint="cs"/>
          <w:rtl/>
          <w:cs/>
        </w:rPr>
        <w:t>‎تواند حکم وجوب تفقه را منحصر در انذار کند؛ بلکه وجوب</w:t>
      </w:r>
      <w:r w:rsidR="00B33BE9" w:rsidRPr="00637171">
        <w:rPr>
          <w:rFonts w:hint="cs"/>
          <w:rtl/>
        </w:rPr>
        <w:t xml:space="preserve"> نفس تفقه </w:t>
      </w:r>
      <w:r>
        <w:rPr>
          <w:rFonts w:hint="cs"/>
          <w:rtl/>
        </w:rPr>
        <w:t xml:space="preserve">نیز می‌تواند </w:t>
      </w:r>
      <w:r w:rsidR="00B33BE9" w:rsidRPr="00637171">
        <w:rPr>
          <w:rFonts w:hint="cs"/>
          <w:rtl/>
        </w:rPr>
        <w:t>موضوعیت دا</w:t>
      </w:r>
      <w:r>
        <w:rPr>
          <w:rFonts w:hint="cs"/>
          <w:rtl/>
        </w:rPr>
        <w:t>شته باشد</w:t>
      </w:r>
      <w:r w:rsidR="00B33BE9" w:rsidRPr="00637171">
        <w:rPr>
          <w:rFonts w:hint="cs"/>
          <w:rtl/>
        </w:rPr>
        <w:t>.</w:t>
      </w:r>
    </w:p>
    <w:p w14:paraId="14497EEA" w14:textId="77777777" w:rsidR="00B33BE9" w:rsidRPr="00637171" w:rsidRDefault="00B33BE9" w:rsidP="00391599">
      <w:pPr>
        <w:jc w:val="both"/>
      </w:pPr>
    </w:p>
    <w:p w14:paraId="62968AEE" w14:textId="77777777" w:rsidR="00152670" w:rsidRPr="00637171" w:rsidRDefault="00152670" w:rsidP="00391599">
      <w:pPr>
        <w:jc w:val="both"/>
      </w:pPr>
    </w:p>
    <w:sectPr w:rsidR="00152670" w:rsidRPr="00637171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EB75" w14:textId="77777777" w:rsidR="00316737" w:rsidRDefault="00316737" w:rsidP="00852EF0">
      <w:pPr>
        <w:spacing w:after="0"/>
      </w:pPr>
      <w:r>
        <w:separator/>
      </w:r>
    </w:p>
  </w:endnote>
  <w:endnote w:type="continuationSeparator" w:id="0">
    <w:p w14:paraId="3168EBE4" w14:textId="77777777" w:rsidR="00316737" w:rsidRDefault="00316737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61FD2B58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98676" w14:textId="77777777" w:rsidR="00316737" w:rsidRDefault="00316737" w:rsidP="00852EF0">
      <w:pPr>
        <w:spacing w:after="0"/>
      </w:pPr>
      <w:r>
        <w:separator/>
      </w:r>
    </w:p>
  </w:footnote>
  <w:footnote w:type="continuationSeparator" w:id="0">
    <w:p w14:paraId="2906D6FC" w14:textId="77777777" w:rsidR="00316737" w:rsidRDefault="00316737" w:rsidP="00852EF0">
      <w:pPr>
        <w:spacing w:after="0"/>
      </w:pPr>
      <w:r>
        <w:continuationSeparator/>
      </w:r>
    </w:p>
  </w:footnote>
  <w:footnote w:id="1">
    <w:p w14:paraId="56E9AF78" w14:textId="77777777" w:rsidR="009C0095" w:rsidRDefault="009C0095" w:rsidP="009C0095">
      <w:pPr>
        <w:pStyle w:val="a1"/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(التوبه: 122)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BF0F" w14:textId="77777777" w:rsidR="000D5800" w:rsidRPr="00BB791D" w:rsidRDefault="00BB791D" w:rsidP="00637171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97664" behindDoc="0" locked="0" layoutInCell="1" allowOverlap="1" wp14:anchorId="5C98050F" wp14:editId="4F06E771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734D2" id="Straight Connector 2" o:spid="_x0000_s1026" style="position:absolute;flip:x;z-index:251697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 w:rsidR="0063717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637171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975512">
      <w:rPr>
        <w:rFonts w:ascii="Adobe Arabic" w:hAnsi="Adobe Arabic" w:cs="Adobe Arabic" w:hint="cs"/>
        <w:sz w:val="28"/>
        <w:szCs w:val="28"/>
        <w:rtl/>
      </w:rPr>
      <w:t>اجتهاد و تقلید</w:t>
    </w:r>
    <w:r w:rsidR="00975512">
      <w:rPr>
        <w:rFonts w:ascii="Adobe Arabic" w:hAnsi="Adobe Arabic" w:cs="Adobe Arabic"/>
        <w:sz w:val="28"/>
        <w:szCs w:val="28"/>
        <w:rtl/>
      </w:rPr>
      <w:t xml:space="preserve">     </w:t>
    </w:r>
    <w:r w:rsidR="00975512">
      <w:rPr>
        <w:rFonts w:ascii="Adobe Arabic" w:hAnsi="Adobe Arabic" w:cs="Adobe Arabic" w:hint="cs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B33BE9">
      <w:rPr>
        <w:rFonts w:ascii="Adobe Arabic" w:hAnsi="Adobe Arabic" w:cs="Adobe Arabic" w:hint="cs"/>
        <w:b/>
        <w:bCs/>
        <w:sz w:val="28"/>
        <w:szCs w:val="28"/>
        <w:rtl/>
      </w:rPr>
      <w:t>24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F123F2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63717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3E50F3">
      <w:rPr>
        <w:rFonts w:ascii="Adobe Arabic" w:hAnsi="Adobe Arabic" w:cs="Adobe Arabic" w:hint="cs"/>
        <w:sz w:val="28"/>
        <w:szCs w:val="28"/>
        <w:rtl/>
      </w:rPr>
      <w:t xml:space="preserve">حکم اجتهاد   </w:t>
    </w:r>
    <w:r w:rsidR="00DF3521">
      <w:rPr>
        <w:rFonts w:ascii="Adobe Arabic" w:hAnsi="Adobe Arabic" w:cs="Adobe Arabic" w:hint="cs"/>
        <w:sz w:val="28"/>
        <w:szCs w:val="28"/>
        <w:rtl/>
      </w:rPr>
      <w:t xml:space="preserve">     </w:t>
    </w:r>
    <w:r w:rsidR="00C37108">
      <w:rPr>
        <w:rFonts w:ascii="Adobe Arabic" w:hAnsi="Adobe Arabic" w:cs="Adobe Arabic" w:hint="cs"/>
        <w:sz w:val="28"/>
        <w:szCs w:val="28"/>
        <w:rtl/>
      </w:rPr>
      <w:t xml:space="preserve">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637171">
      <w:rPr>
        <w:rFonts w:ascii="Adobe Arabic" w:hAnsi="Adobe Arabic" w:cs="Adobe Arabic" w:hint="cs"/>
        <w:sz w:val="28"/>
        <w:szCs w:val="28"/>
        <w:rtl/>
      </w:rPr>
      <w:t xml:space="preserve"> 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C9B"/>
    <w:multiLevelType w:val="hybridMultilevel"/>
    <w:tmpl w:val="D1DC8D4E"/>
    <w:lvl w:ilvl="0" w:tplc="6A34B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EBA"/>
    <w:multiLevelType w:val="hybridMultilevel"/>
    <w:tmpl w:val="74F69684"/>
    <w:lvl w:ilvl="0" w:tplc="A826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A8E"/>
    <w:multiLevelType w:val="hybridMultilevel"/>
    <w:tmpl w:val="ED462BC6"/>
    <w:lvl w:ilvl="0" w:tplc="9CAE47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D1A008A"/>
    <w:multiLevelType w:val="hybridMultilevel"/>
    <w:tmpl w:val="FFBEC798"/>
    <w:lvl w:ilvl="0" w:tplc="78CED6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D3D0B21"/>
    <w:multiLevelType w:val="hybridMultilevel"/>
    <w:tmpl w:val="A81E2D8A"/>
    <w:lvl w:ilvl="0" w:tplc="8894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2"/>
    <w:rsid w:val="000061FF"/>
    <w:rsid w:val="000324F1"/>
    <w:rsid w:val="00050BA4"/>
    <w:rsid w:val="00052BA3"/>
    <w:rsid w:val="0006363E"/>
    <w:rsid w:val="00066280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16737"/>
    <w:rsid w:val="00340BA3"/>
    <w:rsid w:val="00366400"/>
    <w:rsid w:val="00391599"/>
    <w:rsid w:val="0039357C"/>
    <w:rsid w:val="00396F28"/>
    <w:rsid w:val="003A1A05"/>
    <w:rsid w:val="003A2654"/>
    <w:rsid w:val="003C7899"/>
    <w:rsid w:val="003D2F0A"/>
    <w:rsid w:val="003D563F"/>
    <w:rsid w:val="003E50F3"/>
    <w:rsid w:val="00405199"/>
    <w:rsid w:val="00410699"/>
    <w:rsid w:val="00414A3D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C17F5"/>
    <w:rsid w:val="005E5B64"/>
    <w:rsid w:val="00610C18"/>
    <w:rsid w:val="0061376C"/>
    <w:rsid w:val="00636EFA"/>
    <w:rsid w:val="00637171"/>
    <w:rsid w:val="0069696C"/>
    <w:rsid w:val="006A085A"/>
    <w:rsid w:val="006A1A27"/>
    <w:rsid w:val="006D3A87"/>
    <w:rsid w:val="006F01B4"/>
    <w:rsid w:val="0071053F"/>
    <w:rsid w:val="0073609B"/>
    <w:rsid w:val="00752745"/>
    <w:rsid w:val="0076665E"/>
    <w:rsid w:val="00774818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2E7E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62107"/>
    <w:rsid w:val="009753D7"/>
    <w:rsid w:val="00975512"/>
    <w:rsid w:val="00980643"/>
    <w:rsid w:val="009A4650"/>
    <w:rsid w:val="009B61C3"/>
    <w:rsid w:val="009C0095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63BA"/>
    <w:rsid w:val="00AF0F1A"/>
    <w:rsid w:val="00B15027"/>
    <w:rsid w:val="00B21CF4"/>
    <w:rsid w:val="00B24300"/>
    <w:rsid w:val="00B33BE9"/>
    <w:rsid w:val="00B46EF1"/>
    <w:rsid w:val="00B63F15"/>
    <w:rsid w:val="00BA63B0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37108"/>
    <w:rsid w:val="00C60D75"/>
    <w:rsid w:val="00C64CEA"/>
    <w:rsid w:val="00C73012"/>
    <w:rsid w:val="00C763DD"/>
    <w:rsid w:val="00C84FC0"/>
    <w:rsid w:val="00C850BC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F3521"/>
    <w:rsid w:val="00E0639C"/>
    <w:rsid w:val="00E067E6"/>
    <w:rsid w:val="00E12531"/>
    <w:rsid w:val="00E143B0"/>
    <w:rsid w:val="00E55891"/>
    <w:rsid w:val="00E6283A"/>
    <w:rsid w:val="00E71CC4"/>
    <w:rsid w:val="00E732A3"/>
    <w:rsid w:val="00E83A85"/>
    <w:rsid w:val="00E87C42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3F2"/>
    <w:rsid w:val="00F329C8"/>
    <w:rsid w:val="00F40284"/>
    <w:rsid w:val="00F4321A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F9D6317"/>
  <w15:docId w15:val="{4162C2D9-DDC2-4972-A3B8-BAE7994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37171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637171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637171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637171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637171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37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1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6371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6371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37171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37171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37171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37171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6371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637171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63717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637171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637171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637171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637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637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37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37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6371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63717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637171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637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637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637171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637171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637171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637171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637171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637171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371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637171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637171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637171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62107"/>
    <w:rPr>
      <w:vertAlign w:val="superscript"/>
    </w:rPr>
  </w:style>
  <w:style w:type="paragraph" w:styleId="aff0">
    <w:name w:val="Normal (Web)"/>
    <w:basedOn w:val="a"/>
    <w:uiPriority w:val="99"/>
    <w:unhideWhenUsed/>
    <w:rsid w:val="00962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annotation reference"/>
    <w:basedOn w:val="a2"/>
    <w:uiPriority w:val="99"/>
    <w:semiHidden/>
    <w:unhideWhenUsed/>
    <w:rsid w:val="00050BA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050BA4"/>
    <w:pPr>
      <w:spacing w:line="240" w:lineRule="auto"/>
    </w:pPr>
    <w:rPr>
      <w:sz w:val="20"/>
      <w:szCs w:val="20"/>
    </w:rPr>
  </w:style>
  <w:style w:type="character" w:customStyle="1" w:styleId="aff3">
    <w:name w:val="متن نظر نویسه"/>
    <w:basedOn w:val="a2"/>
    <w:link w:val="aff2"/>
    <w:uiPriority w:val="99"/>
    <w:semiHidden/>
    <w:rsid w:val="00050BA4"/>
    <w:rPr>
      <w:rFonts w:cs="2  Badr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050BA4"/>
    <w:rPr>
      <w:b/>
      <w:bCs/>
    </w:rPr>
  </w:style>
  <w:style w:type="character" w:customStyle="1" w:styleId="aff5">
    <w:name w:val="موضوع توضیح نویسه"/>
    <w:basedOn w:val="aff3"/>
    <w:link w:val="aff4"/>
    <w:uiPriority w:val="99"/>
    <w:semiHidden/>
    <w:rsid w:val="00050BA4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ocuments\_____%20______%20_%20___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</Template>
  <TotalTime>111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13</cp:revision>
  <dcterms:created xsi:type="dcterms:W3CDTF">2015-01-08T09:47:00Z</dcterms:created>
  <dcterms:modified xsi:type="dcterms:W3CDTF">2015-01-17T09:31:00Z</dcterms:modified>
</cp:coreProperties>
</file>