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5806595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A0D71" w:rsidRPr="006A1975" w:rsidRDefault="004A0D71" w:rsidP="006A1975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6A197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4A0D71" w:rsidRPr="006A1975" w:rsidRDefault="004A0D71" w:rsidP="006A197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6A1975">
            <w:rPr>
              <w:rFonts w:ascii="Traditional Arabic" w:hAnsi="Traditional Arabic" w:cs="Traditional Arabic"/>
            </w:rPr>
            <w:fldChar w:fldCharType="begin"/>
          </w:r>
          <w:r w:rsidRPr="006A1975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6A1975">
            <w:rPr>
              <w:rFonts w:ascii="Traditional Arabic" w:hAnsi="Traditional Arabic" w:cs="Traditional Arabic"/>
            </w:rPr>
            <w:fldChar w:fldCharType="separate"/>
          </w:r>
          <w:hyperlink w:anchor="_Toc469351577" w:history="1">
            <w:r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_Toc469351577 \h </w:instrText>
            </w:r>
            <w:r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69351578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عناو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ثانو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_Toc469351578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69351579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محورها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عناو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ثانو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_Toc469351579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69351580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_Toc469351580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351581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جهت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_Toc469351581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351582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جهت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_Toc469351582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351583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جهت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_Toc469351583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69351584" w:history="1">
            <w:r w:rsidR="00F64F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</w:t>
            </w:r>
            <w:r w:rsidR="000237E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_Toc469351584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69351585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_Toc469351585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351586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_Toc469351586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351587" w:history="1">
            <w:r w:rsidR="00806F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تقسیم‌بندی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4A0D71" w:rsidRPr="006A19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_Toc469351587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5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351588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گروه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_Toc469351588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1A514D" w:rsidP="006A1975">
          <w:pPr>
            <w:pStyle w:val="TOC5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9351589" w:history="1"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گروه</w:t>
            </w:r>
            <w:r w:rsidR="004A0D71" w:rsidRPr="006A19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A0D71" w:rsidRPr="006A19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_Toc469351589 \h </w:instrTex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4A0D71" w:rsidRPr="006A197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A0D71" w:rsidRPr="006A1975" w:rsidRDefault="004A0D71" w:rsidP="006A1975">
          <w:pPr>
            <w:spacing w:line="276" w:lineRule="auto"/>
            <w:rPr>
              <w:rFonts w:ascii="Traditional Arabic" w:hAnsi="Traditional Arabic" w:cs="Traditional Arabic"/>
            </w:rPr>
          </w:pPr>
          <w:r w:rsidRPr="006A1975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4A0D71" w:rsidRPr="006A1975" w:rsidRDefault="004A0D71" w:rsidP="008D1873">
      <w:pPr>
        <w:rPr>
          <w:rFonts w:ascii="Traditional Arabic" w:hAnsi="Traditional Arabic" w:cs="Traditional Arabic"/>
          <w:rtl/>
        </w:rPr>
      </w:pPr>
    </w:p>
    <w:p w:rsidR="004A0D71" w:rsidRPr="006A1975" w:rsidRDefault="004A0D71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/>
          <w:rtl/>
        </w:rPr>
        <w:br w:type="page"/>
      </w:r>
    </w:p>
    <w:p w:rsidR="006A1975" w:rsidRPr="00A0031F" w:rsidRDefault="006A1975" w:rsidP="006A1975">
      <w:pPr>
        <w:jc w:val="center"/>
        <w:rPr>
          <w:rFonts w:ascii="Traditional Arabic" w:hAnsi="Traditional Arabic" w:cs="Traditional Arabic"/>
          <w:rtl/>
        </w:rPr>
      </w:pPr>
      <w:r w:rsidRPr="00A0031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6A1975" w:rsidRPr="00A0031F" w:rsidRDefault="006A1975" w:rsidP="006A1975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61988926"/>
      <w:r w:rsidRPr="00A0031F">
        <w:rPr>
          <w:rFonts w:ascii="Traditional Arabic" w:hAnsi="Traditional Arabic" w:cs="Traditional Arabic"/>
          <w:color w:val="FF0000"/>
          <w:rtl/>
        </w:rPr>
        <w:t>موضوع:</w:t>
      </w:r>
      <w:r w:rsidRPr="00A0031F">
        <w:rPr>
          <w:rFonts w:ascii="Traditional Arabic" w:hAnsi="Traditional Arabic" w:cs="Traditional Arabic"/>
          <w:rtl/>
        </w:rPr>
        <w:t xml:space="preserve"> </w:t>
      </w:r>
      <w:r w:rsidRPr="00A0031F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A0031F">
        <w:rPr>
          <w:rFonts w:ascii="Traditional Arabic" w:hAnsi="Traditional Arabic" w:cs="Traditional Arabic" w:hint="cs"/>
          <w:color w:val="auto"/>
          <w:rtl/>
        </w:rPr>
        <w:t>ی</w:t>
      </w:r>
      <w:r w:rsidRPr="00A0031F">
        <w:rPr>
          <w:rFonts w:ascii="Traditional Arabic" w:hAnsi="Traditional Arabic" w:cs="Traditional Arabic" w:hint="eastAsia"/>
          <w:color w:val="auto"/>
          <w:rtl/>
        </w:rPr>
        <w:t>ت</w:t>
      </w:r>
      <w:r w:rsidRPr="00A0031F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A0031F">
        <w:rPr>
          <w:rFonts w:ascii="Traditional Arabic" w:hAnsi="Traditional Arabic" w:cs="Traditional Arabic" w:hint="cs"/>
          <w:color w:val="auto"/>
          <w:rtl/>
        </w:rPr>
        <w:t>یی</w:t>
      </w:r>
      <w:r w:rsidRPr="00A0031F">
        <w:rPr>
          <w:rFonts w:ascii="Traditional Arabic" w:hAnsi="Traditional Arabic" w:cs="Traditional Arabic"/>
          <w:color w:val="auto"/>
          <w:rtl/>
        </w:rPr>
        <w:t>/ س</w:t>
      </w:r>
      <w:r w:rsidRPr="00A0031F">
        <w:rPr>
          <w:rFonts w:ascii="Traditional Arabic" w:hAnsi="Traditional Arabic" w:cs="Traditional Arabic" w:hint="cs"/>
          <w:color w:val="auto"/>
          <w:rtl/>
        </w:rPr>
        <w:t>ی</w:t>
      </w:r>
      <w:r w:rsidRPr="00A0031F">
        <w:rPr>
          <w:rFonts w:ascii="Traditional Arabic" w:hAnsi="Traditional Arabic" w:cs="Traditional Arabic" w:hint="eastAsia"/>
          <w:color w:val="auto"/>
          <w:rtl/>
        </w:rPr>
        <w:t>ره</w:t>
      </w:r>
      <w:r w:rsidRPr="00A0031F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A0031F">
        <w:rPr>
          <w:rFonts w:ascii="Traditional Arabic" w:hAnsi="Traditional Arabic" w:cs="Traditional Arabic" w:hint="cs"/>
          <w:color w:val="auto"/>
          <w:rtl/>
        </w:rPr>
        <w:t>ی</w:t>
      </w:r>
      <w:r w:rsidRPr="00A0031F">
        <w:rPr>
          <w:rFonts w:ascii="Traditional Arabic" w:hAnsi="Traditional Arabic" w:cs="Traditional Arabic" w:hint="eastAsia"/>
          <w:color w:val="auto"/>
          <w:rtl/>
        </w:rPr>
        <w:t>ه</w:t>
      </w:r>
      <w:r w:rsidRPr="00A0031F">
        <w:rPr>
          <w:rFonts w:ascii="Traditional Arabic" w:hAnsi="Traditional Arabic" w:cs="Traditional Arabic"/>
          <w:color w:val="auto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A1975" w:rsidRPr="00A0031F" w:rsidRDefault="006A1975" w:rsidP="006A1975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3" w:name="_Toc465846671"/>
      <w:bookmarkStart w:id="14" w:name="_Toc466455068"/>
      <w:bookmarkEnd w:id="12"/>
      <w:r w:rsidRPr="00A0031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3"/>
      <w:bookmarkEnd w:id="14"/>
    </w:p>
    <w:p w:rsidR="00C32AE6" w:rsidRPr="006A1975" w:rsidRDefault="00C32AE6" w:rsidP="00C32AE6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بعد از آنکه ادله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 xml:space="preserve">که بر اساس عناوین اولیه بود مورد بررسی قرار گرفت وارد عناوین ثانویه شدیم. در بخش ادله بر اساس عناوین </w:t>
      </w:r>
      <w:r w:rsidR="000237E6">
        <w:rPr>
          <w:rFonts w:ascii="Traditional Arabic" w:hAnsi="Traditional Arabic" w:cs="Traditional Arabic" w:hint="cs"/>
          <w:rtl/>
        </w:rPr>
        <w:t>اولیه</w:t>
      </w:r>
      <w:r w:rsidRPr="006A1975">
        <w:rPr>
          <w:rFonts w:ascii="Traditional Arabic" w:hAnsi="Traditional Arabic" w:cs="Traditional Arabic" w:hint="cs"/>
          <w:rtl/>
        </w:rPr>
        <w:t xml:space="preserve"> به آیات و روایات و سیره تمسّک شد که روایات انواع و طوایفی داشت که ملاحظه شد و اگر بنا باشد که تنظیم دقیقی صورت گیرد باید به این صورت باشد که، ابتدا آیات، سپس روایات مشاوره، روایات شهرت و اخبار علاجیه و ... در کنار سایر روایات به عنوان چند طایفه قرار گیرد و نهایتاً سیر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عقلاییه مطرح شود.</w:t>
      </w:r>
    </w:p>
    <w:p w:rsidR="00C32AE6" w:rsidRPr="006A1975" w:rsidRDefault="00C32AE6" w:rsidP="00C32AE6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اینها محورهای اصلی شورای در فتوا و فتوای شورایی بود که با چهار مسأله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که قبلاً ذکر شده است در هر یک از مسائل مورد بررسی قرار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گرفت.</w:t>
      </w:r>
    </w:p>
    <w:p w:rsidR="00F66AB3" w:rsidRPr="006A1975" w:rsidRDefault="00F66AB3" w:rsidP="00F66AB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69351578"/>
      <w:r w:rsidRPr="006A1975">
        <w:rPr>
          <w:rFonts w:ascii="Traditional Arabic" w:hAnsi="Traditional Arabic" w:cs="Traditional Arabic" w:hint="cs"/>
          <w:color w:val="FF0000"/>
          <w:rtl/>
        </w:rPr>
        <w:t>دلیل پنجم: عناوین ثانویه</w:t>
      </w:r>
      <w:bookmarkEnd w:id="15"/>
    </w:p>
    <w:p w:rsidR="00C32AE6" w:rsidRPr="006A1975" w:rsidRDefault="00C32AE6" w:rsidP="00C32AE6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اما در دلیل پایانی و دلیل به عنوان ثانوی بحث چندان </w:t>
      </w:r>
      <w:r w:rsidR="000237E6">
        <w:rPr>
          <w:rFonts w:ascii="Traditional Arabic" w:hAnsi="Traditional Arabic" w:cs="Traditional Arabic" w:hint="cs"/>
          <w:rtl/>
        </w:rPr>
        <w:t>مهمی</w:t>
      </w:r>
      <w:r w:rsidRPr="006A1975">
        <w:rPr>
          <w:rFonts w:ascii="Traditional Arabic" w:hAnsi="Traditional Arabic" w:cs="Traditional Arabic" w:hint="cs"/>
          <w:rtl/>
        </w:rPr>
        <w:t xml:space="preserve"> وجود ندارد. در جلس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گذشته گفته شد که ممکن است کسی بگوید که با قطع نظر از ادل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اولیه تحت شرایطی عنوان ثانوی اقتضاء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کند که فتوا به نحو شورایی اعلام و اظهار بشود و گاهی شرایطی پدید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آید که تفرّق در فتوا و یا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و تعدد فتوا، در یک بیان موجب نوعی وهن در مذهب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شود، و یا در بیان دیگر موجب تحیّر و حیرت </w:t>
      </w:r>
      <w:r w:rsidR="000237E6">
        <w:rPr>
          <w:rFonts w:ascii="Traditional Arabic" w:hAnsi="Traditional Arabic" w:cs="Traditional Arabic" w:hint="cs"/>
          <w:rtl/>
        </w:rPr>
        <w:t>مکلفین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و در بیان سوّم گفته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که موجب تفرّق صفوف اسلامی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شود.</w:t>
      </w:r>
    </w:p>
    <w:p w:rsidR="00F66AB3" w:rsidRPr="006A1975" w:rsidRDefault="00F66AB3" w:rsidP="00F66AB3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69351579"/>
      <w:r w:rsidRPr="006A1975">
        <w:rPr>
          <w:rFonts w:ascii="Traditional Arabic" w:hAnsi="Traditional Arabic" w:cs="Traditional Arabic" w:hint="cs"/>
          <w:color w:val="FF0000"/>
          <w:rtl/>
        </w:rPr>
        <w:t>محورهای اصلی عناوین ثانویه</w:t>
      </w:r>
      <w:bookmarkEnd w:id="16"/>
    </w:p>
    <w:p w:rsidR="00C32AE6" w:rsidRPr="006A1975" w:rsidRDefault="00C32AE6" w:rsidP="00C32AE6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اینها سه عنوانی است که به نحو </w:t>
      </w:r>
      <w:r w:rsidR="000237E6">
        <w:rPr>
          <w:rFonts w:ascii="Traditional Arabic" w:hAnsi="Traditional Arabic" w:cs="Traditional Arabic" w:hint="cs"/>
          <w:rtl/>
        </w:rPr>
        <w:t>فی‌الجمله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شود در اینجا مطرح کرد که به طور خلاصه </w:t>
      </w:r>
      <w:r w:rsidR="000237E6">
        <w:rPr>
          <w:rFonts w:ascii="Traditional Arabic" w:hAnsi="Traditional Arabic" w:cs="Traditional Arabic" w:hint="cs"/>
          <w:rtl/>
        </w:rPr>
        <w:t>عبارت‌اند</w:t>
      </w:r>
      <w:r w:rsidRPr="006A1975">
        <w:rPr>
          <w:rFonts w:ascii="Traditional Arabic" w:hAnsi="Traditional Arabic" w:cs="Traditional Arabic" w:hint="cs"/>
          <w:rtl/>
        </w:rPr>
        <w:t xml:space="preserve"> از:</w:t>
      </w:r>
    </w:p>
    <w:p w:rsidR="00C85DE1" w:rsidRPr="006A1975" w:rsidRDefault="000237E6" w:rsidP="00E279C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آنچه</w:t>
      </w:r>
      <w:r w:rsidR="00E279C4" w:rsidRPr="006A1975">
        <w:rPr>
          <w:rFonts w:ascii="Traditional Arabic" w:hAnsi="Traditional Arabic" w:cs="Traditional Arabic" w:hint="cs"/>
          <w:rtl/>
        </w:rPr>
        <w:t xml:space="preserve"> موجب </w:t>
      </w:r>
      <w:r w:rsidR="00C32AE6" w:rsidRPr="006A1975">
        <w:rPr>
          <w:rFonts w:ascii="Traditional Arabic" w:hAnsi="Traditional Arabic" w:cs="Traditional Arabic" w:hint="cs"/>
          <w:rtl/>
        </w:rPr>
        <w:t>وهن شیعیان یا مسلمانان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E279C4" w:rsidRPr="006A1975">
        <w:rPr>
          <w:rFonts w:ascii="Traditional Arabic" w:hAnsi="Traditional Arabic" w:cs="Traditional Arabic" w:hint="cs"/>
          <w:rtl/>
        </w:rPr>
        <w:t>شود.</w:t>
      </w:r>
    </w:p>
    <w:p w:rsidR="00C32AE6" w:rsidRPr="006A1975" w:rsidRDefault="00E279C4" w:rsidP="000237E6">
      <w:pPr>
        <w:pStyle w:val="ListParagraph"/>
        <w:ind w:left="644"/>
        <w:rPr>
          <w:rFonts w:ascii="Traditional Arabic" w:hAnsi="Traditional Arabic" w:cs="Traditional Arabic"/>
        </w:rPr>
      </w:pPr>
      <w:r w:rsidRPr="006A1975">
        <w:rPr>
          <w:rFonts w:ascii="Traditional Arabic" w:hAnsi="Traditional Arabic" w:cs="Traditional Arabic" w:hint="cs"/>
          <w:rtl/>
        </w:rPr>
        <w:t xml:space="preserve"> </w:t>
      </w:r>
      <w:r w:rsidR="000237E6">
        <w:rPr>
          <w:rFonts w:ascii="Traditional Arabic" w:hAnsi="Traditional Arabic" w:cs="Traditional Arabic" w:hint="cs"/>
          <w:rtl/>
        </w:rPr>
        <w:t>به‌عنوان‌مثال</w:t>
      </w:r>
      <w:r w:rsidRPr="006A1975">
        <w:rPr>
          <w:rFonts w:ascii="Traditional Arabic" w:hAnsi="Traditional Arabic" w:cs="Traditional Arabic" w:hint="cs"/>
          <w:rtl/>
        </w:rPr>
        <w:t xml:space="preserve"> گاهی گفته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که صف شهریه نوعی وهن به روحانیت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 و به طور کل مواردی که تلقّی نادرستی از آن شده و شأن جایگاه مسلمانان و شیعیان و یا مجموعه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را تنزّل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دهد. این قضیه مبغوض مولی است چراکه «</w:t>
      </w:r>
      <w:r w:rsidR="000237E6" w:rsidRPr="000237E6">
        <w:rPr>
          <w:rFonts w:ascii="Traditional Arabic" w:hAnsi="Traditional Arabic" w:cs="Traditional Arabic"/>
          <w:b/>
          <w:bCs/>
          <w:color w:val="008000"/>
          <w:rtl/>
        </w:rPr>
        <w:t>وَ لِلَّهِ الْعِزَّةُ وَ لِرَسُولِهِ وَ لِلْمُؤْمِنين‏</w:t>
      </w:r>
      <w:r w:rsidRPr="006A1975">
        <w:rPr>
          <w:rFonts w:ascii="Traditional Arabic" w:hAnsi="Traditional Arabic" w:cs="Traditional Arabic" w:hint="cs"/>
          <w:rtl/>
        </w:rPr>
        <w:t>»</w:t>
      </w:r>
      <w:r w:rsidR="000237E6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6A1975">
        <w:rPr>
          <w:rFonts w:ascii="Traditional Arabic" w:hAnsi="Traditional Arabic" w:cs="Traditional Arabic" w:hint="cs"/>
          <w:rtl/>
        </w:rPr>
        <w:t xml:space="preserve"> پس </w:t>
      </w:r>
      <w:r w:rsidR="000237E6">
        <w:rPr>
          <w:rFonts w:ascii="Traditional Arabic" w:hAnsi="Traditional Arabic" w:cs="Traditional Arabic" w:hint="cs"/>
          <w:rtl/>
        </w:rPr>
        <w:t>آنچه</w:t>
      </w:r>
      <w:r w:rsidRPr="006A1975">
        <w:rPr>
          <w:rFonts w:ascii="Traditional Arabic" w:hAnsi="Traditional Arabic" w:cs="Traditional Arabic" w:hint="cs"/>
          <w:rtl/>
        </w:rPr>
        <w:t xml:space="preserve"> موجب ذلّت و یک برداشت خفّت آوری بشود و چنین تلقّی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را در اذهان ایجاد بکند، این کار درست نیست، مثل اینکه راجع به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F64F11">
        <w:rPr>
          <w:rFonts w:ascii="Traditional Arabic" w:hAnsi="Traditional Arabic" w:cs="Traditional Arabic" w:hint="cs"/>
          <w:rtl/>
        </w:rPr>
        <w:t>قمه‌زنی</w:t>
      </w:r>
      <w:r w:rsidRPr="006A1975">
        <w:rPr>
          <w:rFonts w:ascii="Traditional Arabic" w:hAnsi="Traditional Arabic" w:cs="Traditional Arabic" w:hint="cs"/>
          <w:rtl/>
        </w:rPr>
        <w:t xml:space="preserve"> با قطع نظر از عنوان اول آن، از نظر امام </w:t>
      </w:r>
      <w:r w:rsidR="00F64F11">
        <w:rPr>
          <w:rFonts w:ascii="Traditional Arabic" w:hAnsi="Traditional Arabic" w:cs="Traditional Arabic" w:hint="cs"/>
          <w:rtl/>
        </w:rPr>
        <w:t>این‌گونه</w:t>
      </w:r>
      <w:r w:rsidRPr="006A1975">
        <w:rPr>
          <w:rFonts w:ascii="Traditional Arabic" w:hAnsi="Traditional Arabic" w:cs="Traditional Arabic" w:hint="cs"/>
          <w:rtl/>
        </w:rPr>
        <w:t xml:space="preserve"> بود که: تطویر و </w:t>
      </w:r>
      <w:r w:rsidR="00F64F11">
        <w:rPr>
          <w:rFonts w:ascii="Traditional Arabic" w:hAnsi="Traditional Arabic" w:cs="Traditional Arabic" w:hint="cs"/>
          <w:rtl/>
        </w:rPr>
        <w:t>قمه‌زنی</w:t>
      </w:r>
      <w:r w:rsidRPr="006A1975">
        <w:rPr>
          <w:rFonts w:ascii="Traditional Arabic" w:hAnsi="Traditional Arabic" w:cs="Traditional Arabic" w:hint="cs"/>
          <w:rtl/>
        </w:rPr>
        <w:t xml:space="preserve"> موجب وهن مذهب و یا وهن مسلمانان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 و لو اینکه فرض گرفته شود که در عنوان اولی مسأله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در آن نباشد، همین که جامعه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اوضاع و احوال را ببینند نوعی خفّت در میان اذها</w:t>
      </w:r>
      <w:r w:rsidR="00C85DE1" w:rsidRPr="006A1975">
        <w:rPr>
          <w:rFonts w:ascii="Traditional Arabic" w:hAnsi="Traditional Arabic" w:cs="Traditional Arabic" w:hint="cs"/>
          <w:rtl/>
        </w:rPr>
        <w:t>ن ایجاد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85DE1" w:rsidRPr="006A1975">
        <w:rPr>
          <w:rFonts w:ascii="Traditional Arabic" w:hAnsi="Traditional Arabic" w:cs="Traditional Arabic" w:hint="cs"/>
          <w:rtl/>
        </w:rPr>
        <w:t xml:space="preserve">شود.  </w:t>
      </w:r>
    </w:p>
    <w:p w:rsidR="00C85DE1" w:rsidRPr="006A1975" w:rsidRDefault="000237E6" w:rsidP="00C32AE6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آنچه</w:t>
      </w:r>
      <w:r w:rsidR="00C85DE1" w:rsidRPr="006A1975">
        <w:rPr>
          <w:rFonts w:ascii="Traditional Arabic" w:hAnsi="Traditional Arabic" w:cs="Traditional Arabic" w:hint="cs"/>
          <w:rtl/>
        </w:rPr>
        <w:t xml:space="preserve"> موجب تحیّر و نوعی حیرت و ذلالت در مردم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85DE1" w:rsidRPr="006A1975">
        <w:rPr>
          <w:rFonts w:ascii="Traditional Arabic" w:hAnsi="Traditional Arabic" w:cs="Traditional Arabic" w:hint="cs"/>
          <w:rtl/>
        </w:rPr>
        <w:t>شود.</w:t>
      </w:r>
    </w:p>
    <w:p w:rsidR="00C85DE1" w:rsidRPr="006A1975" w:rsidRDefault="00C85DE1" w:rsidP="00C85DE1">
      <w:pPr>
        <w:pStyle w:val="ListParagraph"/>
        <w:ind w:left="644"/>
        <w:rPr>
          <w:rFonts w:ascii="Traditional Arabic" w:hAnsi="Traditional Arabic" w:cs="Traditional Arabic"/>
        </w:rPr>
      </w:pPr>
      <w:r w:rsidRPr="006A1975">
        <w:rPr>
          <w:rFonts w:ascii="Traditional Arabic" w:hAnsi="Traditional Arabic" w:cs="Traditional Arabic" w:hint="cs"/>
          <w:rtl/>
        </w:rPr>
        <w:lastRenderedPageBreak/>
        <w:t xml:space="preserve">که </w:t>
      </w:r>
      <w:r w:rsidR="00F64F11">
        <w:rPr>
          <w:rFonts w:ascii="Traditional Arabic" w:hAnsi="Traditional Arabic" w:cs="Traditional Arabic" w:hint="cs"/>
          <w:rtl/>
        </w:rPr>
        <w:t>همان‌طور</w:t>
      </w:r>
      <w:r w:rsidRPr="006A1975">
        <w:rPr>
          <w:rFonts w:ascii="Traditional Arabic" w:hAnsi="Traditional Arabic" w:cs="Traditional Arabic" w:hint="cs"/>
          <w:rtl/>
        </w:rPr>
        <w:t xml:space="preserve"> که مثال زده شد اختلاف فتاوا در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حج موجب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تا جامعه نوعی حیرت پیدا کرده و نتواند درک درستی از مسأله پیدا کند. به عبارت دیگر نوعی تحیّر در جامعه پدید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آید که این تحیّر موجب ضعف ایمان و بدگمانی مردم نسبت به مسائل دین و شریعت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شود. </w:t>
      </w:r>
    </w:p>
    <w:p w:rsidR="00C85DE1" w:rsidRPr="006A1975" w:rsidRDefault="000237E6" w:rsidP="00C85DE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آنچه</w:t>
      </w:r>
      <w:r w:rsidR="00C85DE1" w:rsidRPr="006A1975">
        <w:rPr>
          <w:rFonts w:ascii="Traditional Arabic" w:hAnsi="Traditional Arabic" w:cs="Traditional Arabic" w:hint="cs"/>
          <w:rtl/>
        </w:rPr>
        <w:t xml:space="preserve"> موجب تعرّض دیگران به مسلمانان و شیعیان بشود و راه را برای هجم</w:t>
      </w:r>
      <w:r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C85DE1" w:rsidRPr="006A1975">
        <w:rPr>
          <w:rFonts w:ascii="Traditional Arabic" w:hAnsi="Traditional Arabic" w:cs="Traditional Arabic" w:hint="cs"/>
          <w:rtl/>
        </w:rPr>
        <w:t>آنها باز کند.</w:t>
      </w:r>
    </w:p>
    <w:p w:rsidR="00C85DE1" w:rsidRPr="006A1975" w:rsidRDefault="00C85DE1" w:rsidP="00C85DE1">
      <w:pPr>
        <w:pStyle w:val="ListParagraph"/>
        <w:ind w:left="644"/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اگرچه در اینجا بحث وهن و...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 xml:space="preserve">باشد اما وقتی تفرّق </w:t>
      </w:r>
      <w:r w:rsidR="00F64F11">
        <w:rPr>
          <w:rFonts w:ascii="Traditional Arabic" w:hAnsi="Traditional Arabic" w:cs="Traditional Arabic" w:hint="cs"/>
          <w:rtl/>
        </w:rPr>
        <w:t>این‌چنینی</w:t>
      </w:r>
      <w:r w:rsidRPr="006A1975">
        <w:rPr>
          <w:rFonts w:ascii="Traditional Arabic" w:hAnsi="Traditional Arabic" w:cs="Traditional Arabic" w:hint="cs"/>
          <w:rtl/>
        </w:rPr>
        <w:t xml:space="preserve"> را شاهد باشند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توانند اقداماتی را انجام دهند. به خصوص در زمان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 xml:space="preserve">یی که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و ولایت و.... بسیار به هم نزدیک و چسبیده بوده است که این شرایط گاهی موجب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شد که دیگران طمع کرده و راه برای نفوذ و تعرّضشان نسبت به جامعه شیعی و مسلمانان بیشتر باز بشود.</w:t>
      </w:r>
    </w:p>
    <w:p w:rsidR="00C85DE1" w:rsidRPr="006A1975" w:rsidRDefault="00C85DE1" w:rsidP="00C85DE1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این </w:t>
      </w:r>
      <w:r w:rsidR="00F64F11">
        <w:rPr>
          <w:rFonts w:ascii="Traditional Arabic" w:hAnsi="Traditional Arabic" w:cs="Traditional Arabic" w:hint="cs"/>
          <w:rtl/>
        </w:rPr>
        <w:t>حداقل</w:t>
      </w:r>
      <w:r w:rsidRPr="006A1975">
        <w:rPr>
          <w:rFonts w:ascii="Traditional Arabic" w:hAnsi="Traditional Arabic" w:cs="Traditional Arabic" w:hint="cs"/>
          <w:rtl/>
        </w:rPr>
        <w:t xml:space="preserve"> سه عنوانی است که در این بحث متصوّر بوده که اینها عناوین ثانویه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باشند که هر چیزی مصداق یکی از این موارد بشود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تواند حکم </w:t>
      </w:r>
      <w:r w:rsidR="000237E6">
        <w:rPr>
          <w:rFonts w:ascii="Traditional Arabic" w:hAnsi="Traditional Arabic" w:cs="Traditional Arabic" w:hint="cs"/>
          <w:rtl/>
        </w:rPr>
        <w:t>اولیه</w:t>
      </w:r>
      <w:r w:rsidRPr="006A1975">
        <w:rPr>
          <w:rFonts w:ascii="Traditional Arabic" w:hAnsi="Traditional Arabic" w:cs="Traditional Arabic" w:hint="cs"/>
          <w:rtl/>
        </w:rPr>
        <w:t xml:space="preserve"> آن تغییر پیدا کند.</w:t>
      </w:r>
    </w:p>
    <w:p w:rsidR="00C85DE1" w:rsidRPr="006A1975" w:rsidRDefault="00C85DE1" w:rsidP="00F66AB3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 در این دلیل پایانی و آخرین دلیل از منظر ادله و عناوین ثانویه مفروض این است که فرض گرفته شود که در بحث قبلی به این نتیجه رسیده باشیم که به عنوان اوّلی تعییناً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فردی است و یا اینکه گفته شده باشد تخییری بین فردی و جمعی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باشد. به عبارت دیگر اگر گفته شده باشد که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فردی مورد قبول بوده و </w:t>
      </w:r>
      <w:r w:rsidR="00F64F11">
        <w:rPr>
          <w:rFonts w:ascii="Traditional Arabic" w:hAnsi="Traditional Arabic" w:cs="Traditional Arabic" w:hint="cs"/>
          <w:rtl/>
        </w:rPr>
        <w:t>افتای</w:t>
      </w:r>
      <w:r w:rsidRPr="006A1975">
        <w:rPr>
          <w:rFonts w:ascii="Traditional Arabic" w:hAnsi="Traditional Arabic" w:cs="Traditional Arabic" w:hint="cs"/>
          <w:rtl/>
        </w:rPr>
        <w:t xml:space="preserve"> انفرادی صحیح است (چه در مقام </w:t>
      </w:r>
      <w:r w:rsidR="00F64F11">
        <w:rPr>
          <w:rFonts w:ascii="Traditional Arabic" w:hAnsi="Traditional Arabic" w:cs="Traditional Arabic" w:hint="cs"/>
          <w:rtl/>
        </w:rPr>
        <w:t>افتا</w:t>
      </w:r>
      <w:r w:rsidRPr="006A1975">
        <w:rPr>
          <w:rFonts w:ascii="Traditional Arabic" w:hAnsi="Traditional Arabic" w:cs="Traditional Arabic" w:hint="cs"/>
          <w:rtl/>
        </w:rPr>
        <w:t xml:space="preserve"> و چه برای مقلّد) حالا به نحو  تعیین باشد یا به نحو تخییر</w:t>
      </w:r>
      <w:r w:rsidR="00F66AB3" w:rsidRPr="006A1975">
        <w:rPr>
          <w:rFonts w:ascii="Traditional Arabic" w:hAnsi="Traditional Arabic" w:cs="Traditional Arabic" w:hint="cs"/>
          <w:rtl/>
        </w:rPr>
        <w:t xml:space="preserve">، لکن عناوین ثانویه بیایند و بگویند که تعدد </w:t>
      </w:r>
      <w:r w:rsidR="00F64F11">
        <w:rPr>
          <w:rFonts w:ascii="Traditional Arabic" w:hAnsi="Traditional Arabic" w:cs="Traditional Arabic" w:hint="cs"/>
          <w:rtl/>
        </w:rPr>
        <w:t>مرجعیتی</w:t>
      </w:r>
      <w:r w:rsidR="00F66AB3" w:rsidRPr="006A1975">
        <w:rPr>
          <w:rFonts w:ascii="Traditional Arabic" w:hAnsi="Traditional Arabic" w:cs="Traditional Arabic" w:hint="cs"/>
          <w:rtl/>
        </w:rPr>
        <w:t xml:space="preserve"> و تفرّق فتوایی آن موجب وهن و یا حیرت و ضلالت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66AB3" w:rsidRPr="006A1975">
        <w:rPr>
          <w:rFonts w:ascii="Traditional Arabic" w:hAnsi="Traditional Arabic" w:cs="Traditional Arabic" w:hint="cs"/>
          <w:rtl/>
        </w:rPr>
        <w:t>باشد و یا ممکن است موجب پیدا شدن دشمنان و بیگانگان برای تعرّض و هجمه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66AB3" w:rsidRPr="006A1975">
        <w:rPr>
          <w:rFonts w:ascii="Traditional Arabic" w:hAnsi="Traditional Arabic" w:cs="Traditional Arabic" w:hint="cs"/>
          <w:rtl/>
        </w:rPr>
        <w:t>باشد. در این دلیل گفته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66AB3" w:rsidRPr="006A1975">
        <w:rPr>
          <w:rFonts w:ascii="Traditional Arabic" w:hAnsi="Traditional Arabic" w:cs="Traditional Arabic" w:hint="cs"/>
          <w:rtl/>
        </w:rPr>
        <w:t>شود که این شقّ به دلیل اینکه به این سه تالی فاسد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66AB3" w:rsidRPr="006A1975">
        <w:rPr>
          <w:rFonts w:ascii="Traditional Arabic" w:hAnsi="Traditional Arabic" w:cs="Traditional Arabic" w:hint="cs"/>
          <w:rtl/>
        </w:rPr>
        <w:t xml:space="preserve">باشد، عنوان ثانوی بوده و حکم 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66AB3" w:rsidRPr="006A1975">
        <w:rPr>
          <w:rFonts w:ascii="Traditional Arabic" w:hAnsi="Traditional Arabic" w:cs="Traditional Arabic" w:hint="cs"/>
          <w:rtl/>
        </w:rPr>
        <w:t>کند که این کار درست نبوده و نباید این کار را انجام داد.</w:t>
      </w:r>
    </w:p>
    <w:p w:rsidR="00F66AB3" w:rsidRPr="006A1975" w:rsidRDefault="00F66AB3" w:rsidP="006A1975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این امر شبیه به انواع مباحث و مسائل دیگری که ممکن است در جامع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اسلامی و یا در رفتارهای فردی و اجتماعی انجام بشود که فی حدّ نفسه آن رفتار یا جایز است و یا واجب است (تعییناً یا تأخیراً) اما به دلیل اینکه در این شرایط مصداقی شده است که بر آن توالی فاسدهایی مترتّب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شود، آنگاه عناوینی که روی تالی فاسده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 xml:space="preserve"> آمده است در اینجا جاری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شود. به نحوی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توان گفت که همچون قاعد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لاضرر است که مسأله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که واجب یا جایز بود حالا که ضرر شد حکم آن برداشته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شود، در اینجا نیز این امری که وجود دارد که جایز یا واجب بود تعییناً یا تخییراً، در حال حاضر به یکی از این سه تالی فاسد مذکور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انجامد -که بین آنها عموم و خصوص من وجه بوده و مانع</w:t>
      </w:r>
      <w:r w:rsidR="006A1975">
        <w:rPr>
          <w:rFonts w:ascii="Traditional Arabic" w:hAnsi="Traditional Arabic" w:cs="Traditional Arabic" w:hint="cs"/>
          <w:rtl/>
        </w:rPr>
        <w:t>ة</w:t>
      </w:r>
      <w:r w:rsidRPr="006A1975">
        <w:rPr>
          <w:rFonts w:ascii="Traditional Arabic" w:hAnsi="Traditional Arabic" w:cs="Traditional Arabic" w:hint="cs"/>
          <w:rtl/>
        </w:rPr>
        <w:t xml:space="preserve"> الجمع هم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>باشد- اگر این امر به این توالی فاسد منجر شد طبق عناوین ثانویه حکم آن برداشته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و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گوید که تفرّق در فتوا صحیح نیست.</w:t>
      </w:r>
    </w:p>
    <w:p w:rsidR="00F66AB3" w:rsidRPr="006A1975" w:rsidRDefault="00F66AB3" w:rsidP="00F66AB3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این تقریر آخرین دلیل در باب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فتوایی و شورای در فتوا و فتوای به نحو شورایی و شخصیت حقوقی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باشد.</w:t>
      </w:r>
    </w:p>
    <w:p w:rsidR="00F66AB3" w:rsidRPr="006A1975" w:rsidRDefault="00F66AB3" w:rsidP="00F66AB3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7" w:name="_Toc469351580"/>
      <w:r w:rsidRPr="006A1975">
        <w:rPr>
          <w:rFonts w:ascii="Traditional Arabic" w:hAnsi="Traditional Arabic" w:cs="Traditional Arabic" w:hint="cs"/>
          <w:color w:val="FF0000"/>
          <w:rtl/>
        </w:rPr>
        <w:t>بررسی دلیل پنجم</w:t>
      </w:r>
      <w:bookmarkEnd w:id="17"/>
    </w:p>
    <w:p w:rsidR="00F66AB3" w:rsidRPr="006A1975" w:rsidRDefault="00F66AB3" w:rsidP="00F66AB3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این دلیل از چند جهت اخصّ از مدّعا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</w:t>
      </w:r>
      <w:r w:rsidR="00ED7B6D" w:rsidRPr="006A1975">
        <w:rPr>
          <w:rFonts w:ascii="Traditional Arabic" w:hAnsi="Traditional Arabic" w:cs="Traditional Arabic" w:hint="cs"/>
          <w:rtl/>
        </w:rPr>
        <w:t>:</w:t>
      </w:r>
    </w:p>
    <w:p w:rsidR="00ED7B6D" w:rsidRPr="006A1975" w:rsidRDefault="00E27101" w:rsidP="00E2710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69351581"/>
      <w:r w:rsidRPr="006A1975">
        <w:rPr>
          <w:rFonts w:ascii="Traditional Arabic" w:hAnsi="Traditional Arabic" w:cs="Traditional Arabic" w:hint="cs"/>
          <w:color w:val="FF0000"/>
          <w:rtl/>
        </w:rPr>
        <w:lastRenderedPageBreak/>
        <w:t>جهت اول</w:t>
      </w:r>
      <w:bookmarkEnd w:id="18"/>
    </w:p>
    <w:p w:rsidR="00805E87" w:rsidRPr="006A1975" w:rsidRDefault="00E27101" w:rsidP="00E27101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بر فرض اینکه این توالی فاسده مترتب بر تعدد مرجعیت و فتاوا بشود، طبق این ادله باید کاری کرد که این تالی فاسد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 xml:space="preserve"> منتفی شوند و رفع اینها </w:t>
      </w:r>
      <w:r w:rsidR="00911371" w:rsidRPr="006A1975">
        <w:rPr>
          <w:rFonts w:ascii="Traditional Arabic" w:hAnsi="Traditional Arabic" w:cs="Traditional Arabic" w:hint="cs"/>
          <w:rtl/>
        </w:rPr>
        <w:t xml:space="preserve">بر اساس عناوین ثانویه منحصر به </w:t>
      </w:r>
      <w:r w:rsidR="00F64F11">
        <w:rPr>
          <w:rFonts w:ascii="Traditional Arabic" w:hAnsi="Traditional Arabic" w:cs="Traditional Arabic" w:hint="cs"/>
          <w:rtl/>
        </w:rPr>
        <w:t>افتا</w:t>
      </w:r>
      <w:r w:rsidR="00911371" w:rsidRPr="006A1975">
        <w:rPr>
          <w:rFonts w:ascii="Traditional Arabic" w:hAnsi="Traditional Arabic" w:cs="Traditional Arabic" w:hint="cs"/>
          <w:rtl/>
        </w:rPr>
        <w:t xml:space="preserve"> شورایی نیست بلکه راه </w:t>
      </w:r>
      <w:r w:rsidR="00805E87" w:rsidRPr="006A1975">
        <w:rPr>
          <w:rFonts w:ascii="Traditional Arabic" w:hAnsi="Traditional Arabic" w:cs="Traditional Arabic" w:hint="cs"/>
          <w:rtl/>
        </w:rPr>
        <w:t>دیگری نیز وجود دارد و آن اینکه همه با هم جمع شده و یک نفر را به عنوان مرجع اعلام کنند که خواه اعلم یا اعقل و یا هر ملاک دیگری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805E87" w:rsidRPr="006A1975">
        <w:rPr>
          <w:rFonts w:ascii="Traditional Arabic" w:hAnsi="Traditional Arabic" w:cs="Traditional Arabic" w:hint="cs"/>
          <w:rtl/>
        </w:rPr>
        <w:t>خواهد داشته باشد.</w:t>
      </w:r>
    </w:p>
    <w:p w:rsidR="00E27101" w:rsidRPr="006A1975" w:rsidRDefault="00805E87" w:rsidP="00C716FA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پس در </w:t>
      </w:r>
      <w:r w:rsidR="00B5701C" w:rsidRPr="006A1975">
        <w:rPr>
          <w:rFonts w:ascii="Traditional Arabic" w:hAnsi="Traditional Arabic" w:cs="Traditional Arabic" w:hint="cs"/>
          <w:rtl/>
        </w:rPr>
        <w:t>مناقش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B5701C" w:rsidRPr="006A1975">
        <w:rPr>
          <w:rFonts w:ascii="Traditional Arabic" w:hAnsi="Traditional Arabic" w:cs="Traditional Arabic" w:hint="cs"/>
          <w:rtl/>
        </w:rPr>
        <w:t xml:space="preserve">این دلیل عرض این است که أخصّ از مدّعا است، چراکه این سه عنوان و احیاناً </w:t>
      </w:r>
      <w:r w:rsidR="00D51B98" w:rsidRPr="006A1975">
        <w:rPr>
          <w:rFonts w:ascii="Traditional Arabic" w:hAnsi="Traditional Arabic" w:cs="Traditional Arabic" w:hint="cs"/>
          <w:rtl/>
        </w:rPr>
        <w:t>عناوین دیگری از این قبیل اگر بشود در اینجا ذکر کرد</w:t>
      </w:r>
      <w:r w:rsidR="00C716FA" w:rsidRPr="006A1975">
        <w:rPr>
          <w:rFonts w:ascii="Traditional Arabic" w:hAnsi="Traditional Arabic" w:cs="Traditional Arabic" w:hint="cs"/>
          <w:rtl/>
        </w:rPr>
        <w:t xml:space="preserve"> -همچون ضرر و حرج که با این دو عنوان پنج عنوان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716FA" w:rsidRPr="006A1975">
        <w:rPr>
          <w:rFonts w:ascii="Traditional Arabic" w:hAnsi="Traditional Arabic" w:cs="Traditional Arabic" w:hint="cs"/>
          <w:rtl/>
        </w:rPr>
        <w:t>شود- حال این چند عنوان ثانویه که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716FA" w:rsidRPr="006A1975">
        <w:rPr>
          <w:rFonts w:ascii="Traditional Arabic" w:hAnsi="Traditional Arabic" w:cs="Traditional Arabic" w:hint="cs"/>
          <w:rtl/>
        </w:rPr>
        <w:t>گویند این اقدامی که جایز یا واجب بوده است (تعییناً یا تأخیراً) الان خوب نیست</w:t>
      </w:r>
      <w:r w:rsidR="00512D6B" w:rsidRPr="006A1975">
        <w:rPr>
          <w:rFonts w:ascii="Traditional Arabic" w:hAnsi="Traditional Arabic" w:cs="Traditional Arabic" w:hint="cs"/>
          <w:rtl/>
        </w:rPr>
        <w:t xml:space="preserve">، </w:t>
      </w:r>
      <w:r w:rsidR="000237E6">
        <w:rPr>
          <w:rFonts w:ascii="Traditional Arabic" w:hAnsi="Traditional Arabic" w:cs="Traditional Arabic" w:hint="cs"/>
          <w:rtl/>
        </w:rPr>
        <w:t>آنچه</w:t>
      </w:r>
      <w:r w:rsidR="00512D6B" w:rsidRPr="006A1975">
        <w:rPr>
          <w:rFonts w:ascii="Traditional Arabic" w:hAnsi="Traditional Arabic" w:cs="Traditional Arabic" w:hint="cs"/>
          <w:rtl/>
        </w:rPr>
        <w:t xml:space="preserve"> به واسط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512D6B" w:rsidRPr="006A1975">
        <w:rPr>
          <w:rFonts w:ascii="Traditional Arabic" w:hAnsi="Traditional Arabic" w:cs="Traditional Arabic" w:hint="cs"/>
          <w:rtl/>
        </w:rPr>
        <w:t>این عناوین ثانویه رفع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512D6B" w:rsidRPr="006A1975">
        <w:rPr>
          <w:rFonts w:ascii="Traditional Arabic" w:hAnsi="Traditional Arabic" w:cs="Traditional Arabic" w:hint="cs"/>
          <w:rtl/>
        </w:rPr>
        <w:t xml:space="preserve">شود این است که </w:t>
      </w:r>
      <w:r w:rsidR="00F64F11">
        <w:rPr>
          <w:rFonts w:ascii="Traditional Arabic" w:hAnsi="Traditional Arabic" w:cs="Traditional Arabic" w:hint="cs"/>
          <w:rtl/>
        </w:rPr>
        <w:t>این‌گونه</w:t>
      </w:r>
      <w:r w:rsidR="00512D6B" w:rsidRPr="006A1975">
        <w:rPr>
          <w:rFonts w:ascii="Traditional Arabic" w:hAnsi="Traditional Arabic" w:cs="Traditional Arabic" w:hint="cs"/>
          <w:rtl/>
        </w:rPr>
        <w:t xml:space="preserve"> نباشد یعنی اختلاف فتاوا در مراسم حج یا موقعیّت دیگری عرضه نشود، اینکه چگونه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512D6B" w:rsidRPr="006A1975">
        <w:rPr>
          <w:rFonts w:ascii="Traditional Arabic" w:hAnsi="Traditional Arabic" w:cs="Traditional Arabic" w:hint="cs"/>
          <w:rtl/>
        </w:rPr>
        <w:t>شود این انجام نشود چند راه دارد:</w:t>
      </w:r>
    </w:p>
    <w:p w:rsidR="00512D6B" w:rsidRPr="006A1975" w:rsidRDefault="00512D6B" w:rsidP="00C716FA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راه اول این است که گفته شود مجتهدین واجد شرایط در کنار هم نشسته و رایزنی کرده و یک فتوای مشترک بر مبنای اتّفاق یا اکثریت ارائه کنند. در این صورت توالی فاسد همه از بین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رود.</w:t>
      </w:r>
    </w:p>
    <w:p w:rsidR="00512D6B" w:rsidRPr="006A1975" w:rsidRDefault="00512D6B" w:rsidP="00C716FA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راه دیگر این است که همه جمع شده و یک نفر را جلو بیاندازند که وقتی علم دست یک نفر باشد حرف هم </w:t>
      </w:r>
      <w:r w:rsidR="00505666" w:rsidRPr="006A1975">
        <w:rPr>
          <w:rFonts w:ascii="Traditional Arabic" w:hAnsi="Traditional Arabic" w:cs="Traditional Arabic" w:hint="cs"/>
          <w:rtl/>
        </w:rPr>
        <w:t>از یک نفر صادر شده و این اختلافات تمام شده و تفرّق و تعدد هم نخواهد بود.</w:t>
      </w:r>
    </w:p>
    <w:p w:rsidR="00505666" w:rsidRPr="006A1975" w:rsidRDefault="00505666" w:rsidP="00457C03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این نوع دوم در تاریخ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هم وجود داشته است. لازم به ذکر است که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به این صورت فراگیر مربوط به همین </w:t>
      </w:r>
      <w:r w:rsidR="00457C03" w:rsidRPr="006A1975">
        <w:rPr>
          <w:rFonts w:ascii="Traditional Arabic" w:hAnsi="Traditional Arabic" w:cs="Traditional Arabic" w:hint="cs"/>
          <w:rtl/>
        </w:rPr>
        <w:t>یک</w:t>
      </w:r>
      <w:r w:rsidRPr="006A1975">
        <w:rPr>
          <w:rFonts w:ascii="Traditional Arabic" w:hAnsi="Traditional Arabic" w:cs="Traditional Arabic" w:hint="cs"/>
          <w:rtl/>
        </w:rPr>
        <w:t xml:space="preserve"> قرن اخیر یعنی </w:t>
      </w:r>
      <w:r w:rsidR="00457C03" w:rsidRPr="006A1975">
        <w:rPr>
          <w:rFonts w:ascii="Traditional Arabic" w:hAnsi="Traditional Arabic" w:cs="Traditional Arabic" w:hint="cs"/>
          <w:rtl/>
        </w:rPr>
        <w:t xml:space="preserve">بعد از </w:t>
      </w:r>
      <w:r w:rsidRPr="006A1975">
        <w:rPr>
          <w:rFonts w:ascii="Traditional Arabic" w:hAnsi="Traditional Arabic" w:cs="Traditional Arabic" w:hint="cs"/>
          <w:rtl/>
        </w:rPr>
        <w:t>مرحوم شیخ انصاری و...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</w:t>
      </w:r>
      <w:r w:rsidR="00457C03" w:rsidRPr="006A1975">
        <w:rPr>
          <w:rFonts w:ascii="Traditional Arabic" w:hAnsi="Traditional Arabic" w:cs="Traditional Arabic" w:hint="cs"/>
          <w:rtl/>
        </w:rPr>
        <w:t xml:space="preserve">د که این شکل از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="00457C03" w:rsidRPr="006A1975">
        <w:rPr>
          <w:rFonts w:ascii="Traditional Arabic" w:hAnsi="Traditional Arabic" w:cs="Traditional Arabic" w:hint="cs"/>
          <w:rtl/>
        </w:rPr>
        <w:t xml:space="preserve"> بوده است و الا قبل از آن </w:t>
      </w:r>
      <w:r w:rsidR="00F64F11">
        <w:rPr>
          <w:rFonts w:ascii="Traditional Arabic" w:hAnsi="Traditional Arabic" w:cs="Traditional Arabic" w:hint="cs"/>
          <w:rtl/>
        </w:rPr>
        <w:t>مرجعیت‌ها</w:t>
      </w:r>
      <w:r w:rsidR="00457C03" w:rsidRPr="006A1975">
        <w:rPr>
          <w:rFonts w:ascii="Traditional Arabic" w:hAnsi="Traditional Arabic" w:cs="Traditional Arabic" w:hint="cs"/>
          <w:rtl/>
        </w:rPr>
        <w:t xml:space="preserve"> کمی محدودتر و </w:t>
      </w:r>
      <w:r w:rsidR="00F64F11">
        <w:rPr>
          <w:rFonts w:ascii="Traditional Arabic" w:hAnsi="Traditional Arabic" w:cs="Traditional Arabic" w:hint="cs"/>
          <w:rtl/>
        </w:rPr>
        <w:t>محلی‌تر</w:t>
      </w:r>
      <w:r w:rsidR="00457C03" w:rsidRPr="006A1975">
        <w:rPr>
          <w:rFonts w:ascii="Traditional Arabic" w:hAnsi="Traditional Arabic" w:cs="Traditional Arabic" w:hint="cs"/>
          <w:rtl/>
        </w:rPr>
        <w:t xml:space="preserve"> بوده است. اما در تاریخ این قضیه وجود داشته است و </w:t>
      </w:r>
      <w:r w:rsidR="00F64F11">
        <w:rPr>
          <w:rFonts w:ascii="Traditional Arabic" w:hAnsi="Traditional Arabic" w:cs="Traditional Arabic" w:hint="cs"/>
          <w:rtl/>
        </w:rPr>
        <w:t>همان‌طور</w:t>
      </w:r>
      <w:r w:rsidR="00457C03" w:rsidRPr="006A1975">
        <w:rPr>
          <w:rFonts w:ascii="Traditional Arabic" w:hAnsi="Traditional Arabic" w:cs="Traditional Arabic" w:hint="cs"/>
          <w:rtl/>
        </w:rPr>
        <w:t xml:space="preserve"> که قبلاً هم گفته شد داستان میرزای شیرازی هم از همین نوع بوده است که علمای آن زمان جمع شده و یک نفر را به عنوان مرجع انتخاب کردند که همان میرزای شیرازی بود که این انتخاب بر مبنای اعلمیت و موارد دیگری بود که قبلاً ذکر شد</w:t>
      </w:r>
      <w:r w:rsidR="0047536D" w:rsidRPr="006A1975">
        <w:rPr>
          <w:rFonts w:ascii="Traditional Arabic" w:hAnsi="Traditional Arabic" w:cs="Traditional Arabic" w:hint="cs"/>
          <w:rtl/>
        </w:rPr>
        <w:t>. بنابراین عناوین ثانویه بر فرض اینکه مصداقی هم پیدا کند روشی که به تالی فاسدها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47536D" w:rsidRPr="006A1975">
        <w:rPr>
          <w:rFonts w:ascii="Traditional Arabic" w:hAnsi="Traditional Arabic" w:cs="Traditional Arabic" w:hint="cs"/>
          <w:rtl/>
        </w:rPr>
        <w:t>انجامد سلب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47536D" w:rsidRPr="006A1975">
        <w:rPr>
          <w:rFonts w:ascii="Traditional Arabic" w:hAnsi="Traditional Arabic" w:cs="Traditional Arabic" w:hint="cs"/>
          <w:rtl/>
        </w:rPr>
        <w:t>کند اما جایگزین آن منحصر نیست.</w:t>
      </w:r>
    </w:p>
    <w:p w:rsidR="0047536D" w:rsidRPr="006A1975" w:rsidRDefault="0047536D" w:rsidP="0047536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69351582"/>
      <w:r w:rsidRPr="006A1975">
        <w:rPr>
          <w:rFonts w:ascii="Traditional Arabic" w:hAnsi="Traditional Arabic" w:cs="Traditional Arabic" w:hint="cs"/>
          <w:color w:val="FF0000"/>
          <w:rtl/>
        </w:rPr>
        <w:t>جهت دوم</w:t>
      </w:r>
      <w:bookmarkEnd w:id="19"/>
    </w:p>
    <w:p w:rsidR="0047536D" w:rsidRPr="006A1975" w:rsidRDefault="0047536D" w:rsidP="0047536D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ثانیاً این عناوین ثانویه وقتی با چهار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 xml:space="preserve">ابتدایی مقایسه شود </w:t>
      </w:r>
      <w:r w:rsidR="00F64F11">
        <w:rPr>
          <w:rFonts w:ascii="Traditional Arabic" w:hAnsi="Traditional Arabic" w:cs="Traditional Arabic" w:hint="cs"/>
          <w:rtl/>
        </w:rPr>
        <w:t>طبعاً</w:t>
      </w:r>
      <w:r w:rsidR="00FE4F1B" w:rsidRPr="006A1975">
        <w:rPr>
          <w:rFonts w:ascii="Traditional Arabic" w:hAnsi="Traditional Arabic" w:cs="Traditional Arabic" w:hint="cs"/>
          <w:rtl/>
        </w:rPr>
        <w:t xml:space="preserve"> در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FE4F1B" w:rsidRPr="006A1975">
        <w:rPr>
          <w:rFonts w:ascii="Traditional Arabic" w:hAnsi="Traditional Arabic" w:cs="Traditional Arabic" w:hint="cs"/>
          <w:rtl/>
        </w:rPr>
        <w:t>اول جواب نخواهد داد.</w:t>
      </w:r>
    </w:p>
    <w:p w:rsidR="00FE4F1B" w:rsidRPr="006A1975" w:rsidRDefault="00FE4F1B" w:rsidP="0047536D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 xml:space="preserve">اول از چهار مسأله که </w:t>
      </w:r>
      <w:r w:rsidR="00F64F11">
        <w:rPr>
          <w:rFonts w:ascii="Traditional Arabic" w:hAnsi="Traditional Arabic" w:cs="Traditional Arabic" w:hint="cs"/>
          <w:rtl/>
        </w:rPr>
        <w:t>در همه</w:t>
      </w:r>
      <w:r w:rsidRPr="006A1975">
        <w:rPr>
          <w:rFonts w:ascii="Traditional Arabic" w:hAnsi="Traditional Arabic" w:cs="Traditional Arabic" w:hint="cs"/>
          <w:rtl/>
        </w:rPr>
        <w:t xml:space="preserve"> جا مورد توجه بود این بود که، مجتهدین بایستی با هم شور کرده و فتوای آنها بر اساس مشاوره و رایزنی و بحث با یکدیگر باشد.</w:t>
      </w:r>
    </w:p>
    <w:p w:rsidR="00FE4F1B" w:rsidRPr="006A1975" w:rsidRDefault="00203EBB" w:rsidP="0047536D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با توجه به این مطلب، از عناوین ثانویه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اول خارج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>شود و در اینجا رفع تالی فاسدها به این صورت هم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شود که بدون اینکه اینها با هم بحث کنند هر کسی رأی خود را بگوید و سپس اکثریت را مبنای اعلام قرار دهند و نیاز نیست که جرّ و بحث استنباطی انجام شده و رایزنی و مباحثه در دستیابی به فتوا انجام شود چون این کار نقشی در عناوین ثانویه ندارد بلکه </w:t>
      </w:r>
      <w:r w:rsidR="000237E6">
        <w:rPr>
          <w:rFonts w:ascii="Traditional Arabic" w:hAnsi="Traditional Arabic" w:cs="Traditional Arabic" w:hint="cs"/>
          <w:rtl/>
        </w:rPr>
        <w:t>آنچه</w:t>
      </w:r>
      <w:r w:rsidRPr="006A1975">
        <w:rPr>
          <w:rFonts w:ascii="Traditional Arabic" w:hAnsi="Traditional Arabic" w:cs="Traditional Arabic" w:hint="cs"/>
          <w:rtl/>
        </w:rPr>
        <w:t xml:space="preserve"> نقش دارد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 xml:space="preserve">دوم است که گفته شود در مقام ابراز اینها با هم تشارکی داشته باشند. و الا در مقام استنباط ضرورت به </w:t>
      </w:r>
      <w:r w:rsidRPr="006A1975">
        <w:rPr>
          <w:rFonts w:ascii="Traditional Arabic" w:hAnsi="Traditional Arabic" w:cs="Traditional Arabic" w:hint="cs"/>
          <w:rtl/>
        </w:rPr>
        <w:lastRenderedPageBreak/>
        <w:t>مشورت، رایزنی، مباحثه و گفتگو نیست و این دلیل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اول را اثبات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>کند و اگر تمام باشد در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دوم که اعلام یک نظر هست،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باشد.</w:t>
      </w:r>
    </w:p>
    <w:p w:rsidR="00203EBB" w:rsidRPr="006A1975" w:rsidRDefault="00800FA1" w:rsidP="00800FA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69351583"/>
      <w:r w:rsidRPr="006A1975">
        <w:rPr>
          <w:rFonts w:ascii="Traditional Arabic" w:hAnsi="Traditional Arabic" w:cs="Traditional Arabic" w:hint="cs"/>
          <w:color w:val="FF0000"/>
          <w:rtl/>
        </w:rPr>
        <w:t>جهت سوم</w:t>
      </w:r>
      <w:bookmarkEnd w:id="20"/>
    </w:p>
    <w:p w:rsidR="00800FA1" w:rsidRPr="006A1975" w:rsidRDefault="00800FA1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مورد دیگری که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شود در اینجا به لحاظ صغروی مسأله مطرح کرد این است که، تعدد انظار و فتاوا مادامی که با ولایت و زعامت و ... همراه نباشد، </w:t>
      </w:r>
      <w:r w:rsidR="00F64F11">
        <w:rPr>
          <w:rFonts w:ascii="Traditional Arabic" w:hAnsi="Traditional Arabic" w:cs="Traditional Arabic" w:hint="cs"/>
          <w:rtl/>
        </w:rPr>
        <w:t>این‌گونه</w:t>
      </w:r>
      <w:r w:rsidRPr="006A1975">
        <w:rPr>
          <w:rFonts w:ascii="Traditional Arabic" w:hAnsi="Traditional Arabic" w:cs="Traditional Arabic" w:hint="cs"/>
          <w:rtl/>
        </w:rPr>
        <w:t xml:space="preserve"> نیست که همیشه موجب این توالی فاسد بشود. بله تعدد ولیّ یا زعیم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>شود و هم این عناوین هم غیر از اینها موارد دیگری وجود دارد که بر آن مترتّب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که در ولایت و زعامت وحدت شرط است و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 xml:space="preserve">شود تعدد داشته باشد. در فتاوا هم این تعدد همیشه </w:t>
      </w:r>
      <w:r w:rsidR="00F64F11">
        <w:rPr>
          <w:rFonts w:ascii="Traditional Arabic" w:hAnsi="Traditional Arabic" w:cs="Traditional Arabic" w:hint="cs"/>
          <w:rtl/>
        </w:rPr>
        <w:t>این‌طور</w:t>
      </w:r>
      <w:r w:rsidRPr="006A1975">
        <w:rPr>
          <w:rFonts w:ascii="Traditional Arabic" w:hAnsi="Traditional Arabic" w:cs="Traditional Arabic" w:hint="cs"/>
          <w:rtl/>
        </w:rPr>
        <w:t xml:space="preserve"> نیست که به این تالی فاسدها بیانجامد</w:t>
      </w:r>
      <w:r w:rsidR="00D87F0C" w:rsidRPr="006A1975">
        <w:rPr>
          <w:rFonts w:ascii="Traditional Arabic" w:hAnsi="Traditional Arabic" w:cs="Traditional Arabic" w:hint="cs"/>
          <w:rtl/>
        </w:rPr>
        <w:t>. اینکه چندین مرجع وجود دارند و هر کدام نظری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D87F0C" w:rsidRPr="006A1975">
        <w:rPr>
          <w:rFonts w:ascii="Traditional Arabic" w:hAnsi="Traditional Arabic" w:cs="Traditional Arabic" w:hint="cs"/>
          <w:rtl/>
        </w:rPr>
        <w:t>دهند و هر کسی بر اساس تشخیص خود از لحاظ اعلمیت و یا در جایی که مساوی هستند بر اساس تمایلی که دارد یک نفر را انتخاب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D87F0C" w:rsidRPr="006A1975">
        <w:rPr>
          <w:rFonts w:ascii="Traditional Arabic" w:hAnsi="Traditional Arabic" w:cs="Traditional Arabic" w:hint="cs"/>
          <w:rtl/>
        </w:rPr>
        <w:t xml:space="preserve">کند و زندگی فردی خود را بر آن </w:t>
      </w:r>
      <w:r w:rsidR="0077771F" w:rsidRPr="006A1975">
        <w:rPr>
          <w:rFonts w:ascii="Traditional Arabic" w:hAnsi="Traditional Arabic" w:cs="Traditional Arabic" w:hint="cs"/>
          <w:rtl/>
        </w:rPr>
        <w:t>مبتنی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77771F" w:rsidRPr="006A1975">
        <w:rPr>
          <w:rFonts w:ascii="Traditional Arabic" w:hAnsi="Traditional Arabic" w:cs="Traditional Arabic" w:hint="cs"/>
          <w:rtl/>
        </w:rPr>
        <w:t xml:space="preserve">کند (در مسائل فردی و یا حتی در مسائل خانوادگی و اجتماعی) در این قضیه به طور مطلق وهنی وجود دارد، البته </w:t>
      </w:r>
      <w:r w:rsidR="000237E6">
        <w:rPr>
          <w:rFonts w:ascii="Traditional Arabic" w:hAnsi="Traditional Arabic" w:cs="Traditional Arabic" w:hint="cs"/>
          <w:rtl/>
        </w:rPr>
        <w:t>فی‌الجمله</w:t>
      </w:r>
      <w:r w:rsidR="0077771F" w:rsidRPr="006A1975">
        <w:rPr>
          <w:rFonts w:ascii="Traditional Arabic" w:hAnsi="Traditional Arabic" w:cs="Traditional Arabic" w:hint="cs"/>
          <w:rtl/>
        </w:rPr>
        <w:t xml:space="preserve"> ممکن است در مواردی برخی از این عناوین پیدا شود. که </w:t>
      </w:r>
      <w:r w:rsidR="000237E6">
        <w:rPr>
          <w:rFonts w:ascii="Traditional Arabic" w:hAnsi="Traditional Arabic" w:cs="Traditional Arabic" w:hint="cs"/>
          <w:rtl/>
        </w:rPr>
        <w:t>آنچه</w:t>
      </w:r>
      <w:r w:rsidR="0077771F" w:rsidRPr="006A1975">
        <w:rPr>
          <w:rFonts w:ascii="Traditional Arabic" w:hAnsi="Traditional Arabic" w:cs="Traditional Arabic" w:hint="cs"/>
          <w:rtl/>
        </w:rPr>
        <w:t xml:space="preserve"> الان مطرح است در مورد حج است که گفته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77771F" w:rsidRPr="006A1975">
        <w:rPr>
          <w:rFonts w:ascii="Traditional Arabic" w:hAnsi="Traditional Arabic" w:cs="Traditional Arabic" w:hint="cs"/>
          <w:rtl/>
        </w:rPr>
        <w:t>شود وقتی جمعی از شیعیان به حج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77771F" w:rsidRPr="006A1975">
        <w:rPr>
          <w:rFonts w:ascii="Traditional Arabic" w:hAnsi="Traditional Arabic" w:cs="Traditional Arabic" w:hint="cs"/>
          <w:rtl/>
        </w:rPr>
        <w:t>روند هر کسی یک نظر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77771F" w:rsidRPr="006A1975">
        <w:rPr>
          <w:rFonts w:ascii="Traditional Arabic" w:hAnsi="Traditional Arabic" w:cs="Traditional Arabic" w:hint="cs"/>
          <w:rtl/>
        </w:rPr>
        <w:t>دهد و .... پس این قضیه کلیّت نداشته و ممکن است در برخی از موارد عمومی وجود داشته باشد که گفته شود چندین نظر در یک امر عمومی گاهی موجب این عناوین و توالی فاسد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77771F" w:rsidRPr="006A1975">
        <w:rPr>
          <w:rFonts w:ascii="Traditional Arabic" w:hAnsi="Traditional Arabic" w:cs="Traditional Arabic" w:hint="cs"/>
          <w:rtl/>
        </w:rPr>
        <w:t>شود. اما اینکه گفته شود تمام فقه و در تمام مسائلی که قرار است عامّی به مرجع مراجعه کند تعدد مراجع موجب وهن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77771F" w:rsidRPr="006A1975">
        <w:rPr>
          <w:rFonts w:ascii="Traditional Arabic" w:hAnsi="Traditional Arabic" w:cs="Traditional Arabic" w:hint="cs"/>
          <w:rtl/>
        </w:rPr>
        <w:t>شود، پذیرفته نیست</w:t>
      </w:r>
      <w:r w:rsidR="002671CC" w:rsidRPr="006A1975">
        <w:rPr>
          <w:rFonts w:ascii="Traditional Arabic" w:hAnsi="Traditional Arabic" w:cs="Traditional Arabic" w:hint="cs"/>
          <w:rtl/>
        </w:rPr>
        <w:t>. بنابراین از این جهت هم أخصّ از مدّعا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2671CC" w:rsidRPr="006A1975">
        <w:rPr>
          <w:rFonts w:ascii="Traditional Arabic" w:hAnsi="Traditional Arabic" w:cs="Traditional Arabic" w:hint="cs"/>
          <w:rtl/>
        </w:rPr>
        <w:t xml:space="preserve">باشد یعنی در تمام مسائل </w:t>
      </w:r>
      <w:r w:rsidR="00F64F11">
        <w:rPr>
          <w:rFonts w:ascii="Traditional Arabic" w:hAnsi="Traditional Arabic" w:cs="Traditional Arabic" w:hint="cs"/>
          <w:rtl/>
        </w:rPr>
        <w:t>این‌گونه</w:t>
      </w:r>
      <w:r w:rsidR="002671CC" w:rsidRPr="006A1975">
        <w:rPr>
          <w:rFonts w:ascii="Traditional Arabic" w:hAnsi="Traditional Arabic" w:cs="Traditional Arabic" w:hint="cs"/>
          <w:rtl/>
        </w:rPr>
        <w:t xml:space="preserve"> نبوده و اگر هم باشد در بعضی از مسائل است.</w:t>
      </w:r>
    </w:p>
    <w:p w:rsidR="002671CC" w:rsidRPr="006A1975" w:rsidRDefault="002671CC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ضمن اینکه در همین برخی از مسائل هم در تمام زمان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 xml:space="preserve"> و هم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مکان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 xml:space="preserve"> </w:t>
      </w:r>
      <w:r w:rsidR="00F64F11">
        <w:rPr>
          <w:rFonts w:ascii="Traditional Arabic" w:hAnsi="Traditional Arabic" w:cs="Traditional Arabic" w:hint="cs"/>
          <w:rtl/>
        </w:rPr>
        <w:t>این‌گونه</w:t>
      </w:r>
      <w:r w:rsidRPr="006A1975">
        <w:rPr>
          <w:rFonts w:ascii="Traditional Arabic" w:hAnsi="Traditional Arabic" w:cs="Traditional Arabic" w:hint="cs"/>
          <w:rtl/>
        </w:rPr>
        <w:t xml:space="preserve"> نیست </w:t>
      </w:r>
      <w:r w:rsidR="00F91A2A" w:rsidRPr="006A1975">
        <w:rPr>
          <w:rFonts w:ascii="Traditional Arabic" w:hAnsi="Traditional Arabic" w:cs="Traditional Arabic" w:hint="cs"/>
          <w:rtl/>
        </w:rPr>
        <w:t>بلکه این کمی از فرهنگ پایین است که بگویند این تعدد موجب وهن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91A2A" w:rsidRPr="006A1975">
        <w:rPr>
          <w:rFonts w:ascii="Traditional Arabic" w:hAnsi="Traditional Arabic" w:cs="Traditional Arabic" w:hint="cs"/>
          <w:rtl/>
        </w:rPr>
        <w:t xml:space="preserve">شود. این همه کارشناس در مسائل مختلف وجود دارد که هر کدام یک نظری دارند و </w:t>
      </w:r>
      <w:r w:rsidR="00F64F11">
        <w:rPr>
          <w:rFonts w:ascii="Traditional Arabic" w:hAnsi="Traditional Arabic" w:cs="Traditional Arabic" w:hint="cs"/>
          <w:rtl/>
        </w:rPr>
        <w:t>هیچ‌گونه</w:t>
      </w:r>
      <w:r w:rsidR="00F91A2A" w:rsidRPr="006A1975">
        <w:rPr>
          <w:rFonts w:ascii="Traditional Arabic" w:hAnsi="Traditional Arabic" w:cs="Traditional Arabic" w:hint="cs"/>
          <w:rtl/>
        </w:rPr>
        <w:t xml:space="preserve"> وهنی در این قضیه وجود ندارد.</w:t>
      </w:r>
    </w:p>
    <w:p w:rsidR="00F91A2A" w:rsidRPr="006A1975" w:rsidRDefault="00F91A2A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البته </w:t>
      </w:r>
      <w:r w:rsidR="00F64F11">
        <w:rPr>
          <w:rFonts w:ascii="Traditional Arabic" w:hAnsi="Traditional Arabic" w:cs="Traditional Arabic" w:hint="cs"/>
          <w:rtl/>
        </w:rPr>
        <w:t>همان‌طور</w:t>
      </w:r>
      <w:r w:rsidRPr="006A1975">
        <w:rPr>
          <w:rFonts w:ascii="Traditional Arabic" w:hAnsi="Traditional Arabic" w:cs="Traditional Arabic" w:hint="cs"/>
          <w:rtl/>
        </w:rPr>
        <w:t xml:space="preserve"> که گفته شد </w:t>
      </w:r>
      <w:r w:rsidR="00F304FC" w:rsidRPr="006A1975">
        <w:rPr>
          <w:rFonts w:ascii="Traditional Arabic" w:hAnsi="Traditional Arabic" w:cs="Traditional Arabic" w:hint="cs"/>
          <w:rtl/>
        </w:rPr>
        <w:t xml:space="preserve">اگر در جایی به مسائل امور عمومی مربوط شد که قرار بود اقداماتی بر اساس عنوان ولایی انجام داد این قضیه صادق است. </w:t>
      </w:r>
      <w:r w:rsidR="000237E6">
        <w:rPr>
          <w:rFonts w:ascii="Traditional Arabic" w:hAnsi="Traditional Arabic" w:cs="Traditional Arabic" w:hint="cs"/>
          <w:rtl/>
        </w:rPr>
        <w:t>به‌عنوان‌مثال</w:t>
      </w:r>
      <w:r w:rsidR="00F304FC" w:rsidRPr="006A1975">
        <w:rPr>
          <w:rFonts w:ascii="Traditional Arabic" w:hAnsi="Traditional Arabic" w:cs="Traditional Arabic" w:hint="cs"/>
          <w:rtl/>
        </w:rPr>
        <w:t xml:space="preserve"> قبل از انقلاب گاهی همین اتّفاق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304FC" w:rsidRPr="006A1975">
        <w:rPr>
          <w:rFonts w:ascii="Traditional Arabic" w:hAnsi="Traditional Arabic" w:cs="Traditional Arabic" w:hint="cs"/>
          <w:rtl/>
        </w:rPr>
        <w:t>افتاد و هجمه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="00F304FC" w:rsidRPr="006A1975">
        <w:rPr>
          <w:rFonts w:ascii="Traditional Arabic" w:hAnsi="Traditional Arabic" w:cs="Traditional Arabic" w:hint="cs"/>
          <w:rtl/>
        </w:rPr>
        <w:t xml:space="preserve">که از </w:t>
      </w:r>
      <w:r w:rsidR="00C9624E" w:rsidRPr="006A1975">
        <w:rPr>
          <w:rFonts w:ascii="Traditional Arabic" w:hAnsi="Traditional Arabic" w:cs="Traditional Arabic" w:hint="cs"/>
          <w:rtl/>
        </w:rPr>
        <w:t>طرف دشمن بود و از این طرف مقابله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="00C9624E" w:rsidRPr="006A1975">
        <w:rPr>
          <w:rFonts w:ascii="Traditional Arabic" w:hAnsi="Traditional Arabic" w:cs="Traditional Arabic" w:hint="cs"/>
          <w:rtl/>
        </w:rPr>
        <w:t>که بایستی اتفاق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9624E" w:rsidRPr="006A1975">
        <w:rPr>
          <w:rFonts w:ascii="Traditional Arabic" w:hAnsi="Traditional Arabic" w:cs="Traditional Arabic" w:hint="cs"/>
          <w:rtl/>
        </w:rPr>
        <w:t>افتاد نیاز به این داشت که یک تمرکزی صورت گیرد، اما در جایی که ولیّ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="00C9624E" w:rsidRPr="006A1975">
        <w:rPr>
          <w:rFonts w:ascii="Traditional Arabic" w:hAnsi="Traditional Arabic" w:cs="Traditional Arabic" w:hint="cs"/>
          <w:rtl/>
        </w:rPr>
        <w:t>وجود دارد خیلی از این عناوین هم از بین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9624E" w:rsidRPr="006A1975">
        <w:rPr>
          <w:rFonts w:ascii="Traditional Arabic" w:hAnsi="Traditional Arabic" w:cs="Traditional Arabic" w:hint="cs"/>
          <w:rtl/>
        </w:rPr>
        <w:t>رود.</w:t>
      </w:r>
    </w:p>
    <w:p w:rsidR="00C9624E" w:rsidRPr="006A1975" w:rsidRDefault="00C9624E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بنابراین نکت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 xml:space="preserve">سوم هم این است که: </w:t>
      </w:r>
    </w:p>
    <w:p w:rsidR="00C9624E" w:rsidRPr="006A1975" w:rsidRDefault="00C9624E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اولاً در تمام مسائل نیست</w:t>
      </w:r>
    </w:p>
    <w:p w:rsidR="00C9624E" w:rsidRPr="006A1975" w:rsidRDefault="00C9624E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ثانیاً در هم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شرایط نیست</w:t>
      </w:r>
    </w:p>
    <w:p w:rsidR="00C9624E" w:rsidRPr="006A1975" w:rsidRDefault="00C9624E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ثالثاً اینکه وقتی تفکیک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Pr="006A1975">
        <w:rPr>
          <w:rFonts w:ascii="Traditional Arabic" w:hAnsi="Traditional Arabic" w:cs="Traditional Arabic" w:hint="cs"/>
          <w:rtl/>
        </w:rPr>
        <w:t xml:space="preserve"> از ولایت اتّفاق بیافتد، این مسأله کمی تخفیف پیدا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کند.</w:t>
      </w:r>
    </w:p>
    <w:p w:rsidR="00C9624E" w:rsidRPr="006A1975" w:rsidRDefault="00C9624E" w:rsidP="00D87F0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بنابراین در این عنوان ثانوی که </w:t>
      </w:r>
      <w:r w:rsidR="00F91CCC" w:rsidRPr="006A1975">
        <w:rPr>
          <w:rFonts w:ascii="Traditional Arabic" w:hAnsi="Traditional Arabic" w:cs="Traditional Arabic" w:hint="cs"/>
          <w:rtl/>
        </w:rPr>
        <w:t xml:space="preserve">سه محور </w:t>
      </w:r>
      <w:r w:rsidR="00F64F11">
        <w:rPr>
          <w:rFonts w:ascii="Traditional Arabic" w:hAnsi="Traditional Arabic" w:cs="Traditional Arabic" w:hint="cs"/>
          <w:rtl/>
        </w:rPr>
        <w:t>کلی</w:t>
      </w:r>
      <w:r w:rsidR="00F91CCC" w:rsidRPr="006A1975">
        <w:rPr>
          <w:rFonts w:ascii="Traditional Arabic" w:hAnsi="Traditional Arabic" w:cs="Traditional Arabic" w:hint="cs"/>
          <w:rtl/>
        </w:rPr>
        <w:t xml:space="preserve"> آن توضیح داده شد و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91CCC" w:rsidRPr="006A1975">
        <w:rPr>
          <w:rFonts w:ascii="Traditional Arabic" w:hAnsi="Traditional Arabic" w:cs="Traditional Arabic" w:hint="cs"/>
          <w:rtl/>
        </w:rPr>
        <w:t>توان دو محور ضرر و حرج را نیز در جاهایی به آن اضافه کرد، این عناوین ثانوی از سه جهت أخص از مدّعا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F91CCC" w:rsidRPr="006A1975">
        <w:rPr>
          <w:rFonts w:ascii="Traditional Arabic" w:hAnsi="Traditional Arabic" w:cs="Traditional Arabic" w:hint="cs"/>
          <w:rtl/>
        </w:rPr>
        <w:t>باشد به همین ترتیبی که در این سه مناقش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F91CCC" w:rsidRPr="006A1975">
        <w:rPr>
          <w:rFonts w:ascii="Traditional Arabic" w:hAnsi="Traditional Arabic" w:cs="Traditional Arabic" w:hint="cs"/>
          <w:rtl/>
        </w:rPr>
        <w:t>فوق ملاحظه شد.</w:t>
      </w:r>
    </w:p>
    <w:p w:rsidR="00286ADE" w:rsidRPr="006A1975" w:rsidRDefault="00F64F11" w:rsidP="00286AD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1" w:name="_Toc469351584"/>
      <w:r>
        <w:rPr>
          <w:rFonts w:ascii="Traditional Arabic" w:hAnsi="Traditional Arabic" w:cs="Traditional Arabic" w:hint="cs"/>
          <w:color w:val="FF0000"/>
          <w:rtl/>
        </w:rPr>
        <w:lastRenderedPageBreak/>
        <w:t>جمع‌بندی</w:t>
      </w:r>
      <w:r w:rsidR="00286ADE" w:rsidRPr="006A1975">
        <w:rPr>
          <w:rFonts w:ascii="Traditional Arabic" w:hAnsi="Traditional Arabic" w:cs="Traditional Arabic" w:hint="cs"/>
          <w:color w:val="FF0000"/>
          <w:rtl/>
        </w:rPr>
        <w:t xml:space="preserve"> بحث</w:t>
      </w:r>
      <w:r w:rsidR="00895473" w:rsidRPr="006A1975">
        <w:rPr>
          <w:rFonts w:ascii="Traditional Arabic" w:hAnsi="Traditional Arabic" w:cs="Traditional Arabic" w:hint="cs"/>
          <w:color w:val="FF0000"/>
          <w:rtl/>
        </w:rPr>
        <w:t xml:space="preserve"> ادل</w:t>
      </w:r>
      <w:r w:rsidR="000237E6">
        <w:rPr>
          <w:rFonts w:ascii="Traditional Arabic" w:hAnsi="Traditional Arabic" w:cs="Traditional Arabic" w:hint="cs"/>
          <w:color w:val="FF0000"/>
          <w:rtl/>
        </w:rPr>
        <w:t>ه</w:t>
      </w:r>
      <w:r w:rsidR="00571ABD" w:rsidRPr="006A1975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895473" w:rsidRPr="006A1975">
        <w:rPr>
          <w:rFonts w:ascii="Traditional Arabic" w:hAnsi="Traditional Arabic" w:cs="Traditional Arabic" w:hint="cs"/>
          <w:color w:val="FF0000"/>
          <w:rtl/>
        </w:rPr>
        <w:t>شورا</w:t>
      </w:r>
      <w:bookmarkEnd w:id="21"/>
    </w:p>
    <w:p w:rsidR="00F91CCC" w:rsidRPr="006A1975" w:rsidRDefault="00D52E79" w:rsidP="00286ADE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پس در این مبحث تا اینجا ادله در دو محور عناوین اولیه و عنوان ثانویه باشد مورد بررسی قرار گرفت</w:t>
      </w:r>
      <w:r w:rsidR="00286ADE" w:rsidRPr="006A1975">
        <w:rPr>
          <w:rFonts w:ascii="Traditional Arabic" w:hAnsi="Traditional Arabic" w:cs="Traditional Arabic" w:hint="cs"/>
          <w:rtl/>
        </w:rPr>
        <w:t>. در عناوین اولیه ادله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="00286ADE" w:rsidRPr="006A1975">
        <w:rPr>
          <w:rFonts w:ascii="Traditional Arabic" w:hAnsi="Traditional Arabic" w:cs="Traditional Arabic" w:hint="cs"/>
          <w:rtl/>
        </w:rPr>
        <w:t>که بر این اساس بودند شامل آیات، روایات و سیره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286ADE" w:rsidRPr="006A1975">
        <w:rPr>
          <w:rFonts w:ascii="Traditional Arabic" w:hAnsi="Traditional Arabic" w:cs="Traditional Arabic" w:hint="cs"/>
          <w:rtl/>
        </w:rPr>
        <w:t>شدند و در محور دوم هم عناوین ثانویه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="00286ADE" w:rsidRPr="006A1975">
        <w:rPr>
          <w:rFonts w:ascii="Traditional Arabic" w:hAnsi="Traditional Arabic" w:cs="Traditional Arabic" w:hint="cs"/>
          <w:rtl/>
        </w:rPr>
        <w:t>بودند که سه مورد آن توضیح داده شد و ممکن است ضرر و حرج نیز به آنها اضافه شوند که مجموعاً پنج مورد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286ADE" w:rsidRPr="006A1975">
        <w:rPr>
          <w:rFonts w:ascii="Traditional Arabic" w:hAnsi="Traditional Arabic" w:cs="Traditional Arabic" w:hint="cs"/>
          <w:rtl/>
        </w:rPr>
        <w:t>شود که به آن هم جواب داده شد.</w:t>
      </w:r>
    </w:p>
    <w:p w:rsidR="00895473" w:rsidRPr="006A1975" w:rsidRDefault="00895473" w:rsidP="00286ADE">
      <w:pPr>
        <w:rPr>
          <w:rFonts w:ascii="Traditional Arabic" w:hAnsi="Traditional Arabic" w:cs="Traditional Arabic"/>
          <w:rtl/>
        </w:rPr>
      </w:pPr>
    </w:p>
    <w:p w:rsidR="00467608" w:rsidRPr="006A1975" w:rsidRDefault="007877CC" w:rsidP="00467608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به منظور توضیح بیشتر بحث اختلاف فتاوا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توان مثال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>یی ذکر کرد که یکی از آنها قانون احوال شخصیه در افغانستان و پاکستان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 که در آنها قانون احوال شخصیه چند گونه است مثلاً قانون احوال شخصیه بر مذهب جعفری، بر مذهب حنفی و .... که قوانین بر اساس مذاهب تعدد دارد که قوانین مدنی آنها بر اساس فتاوای مراجع متعدد است و هر کسی بر اساس یک قانون عمل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 xml:space="preserve">کند و </w:t>
      </w:r>
      <w:r w:rsidR="00F64F11">
        <w:rPr>
          <w:rFonts w:ascii="Traditional Arabic" w:hAnsi="Traditional Arabic" w:cs="Traditional Arabic" w:hint="cs"/>
          <w:rtl/>
        </w:rPr>
        <w:t>هیچ‌گونه</w:t>
      </w:r>
      <w:r w:rsidRPr="006A1975">
        <w:rPr>
          <w:rFonts w:ascii="Traditional Arabic" w:hAnsi="Traditional Arabic" w:cs="Traditional Arabic" w:hint="cs"/>
          <w:rtl/>
        </w:rPr>
        <w:t xml:space="preserve"> وهنی هم پیش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>آید.</w:t>
      </w:r>
      <w:r w:rsidR="00467608" w:rsidRPr="006A1975">
        <w:rPr>
          <w:rFonts w:ascii="Traditional Arabic" w:hAnsi="Traditional Arabic" w:cs="Traditional Arabic" w:hint="cs"/>
          <w:rtl/>
        </w:rPr>
        <w:t xml:space="preserve"> و حتی حالت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="00467608" w:rsidRPr="006A1975">
        <w:rPr>
          <w:rFonts w:ascii="Traditional Arabic" w:hAnsi="Traditional Arabic" w:cs="Traditional Arabic" w:hint="cs"/>
          <w:rtl/>
        </w:rPr>
        <w:t>ی تعارضی و عدم سازش هم در فتاوای مرجع تکلیفشان معیّن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467608" w:rsidRPr="006A1975">
        <w:rPr>
          <w:rFonts w:ascii="Traditional Arabic" w:hAnsi="Traditional Arabic" w:cs="Traditional Arabic" w:hint="cs"/>
          <w:rtl/>
        </w:rPr>
        <w:t>شود که این هیچ ایرادی ندارد.</w:t>
      </w:r>
    </w:p>
    <w:p w:rsidR="00E81489" w:rsidRPr="006A1975" w:rsidRDefault="00467608" w:rsidP="00E81489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مثال دیگر نظام بانکی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 که یک مرجع نظام بانکی را صحیح و دیگری ناصحیح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داند، هرکسی از هر کدام از مراجع تقلید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کنند طبق نظ</w:t>
      </w:r>
      <w:r w:rsidR="00E81489" w:rsidRPr="006A1975">
        <w:rPr>
          <w:rFonts w:ascii="Traditional Arabic" w:hAnsi="Traditional Arabic" w:cs="Traditional Arabic" w:hint="cs"/>
          <w:rtl/>
        </w:rPr>
        <w:t>ر مرجع خود عمل کرده و آنکه که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E81489" w:rsidRPr="006A1975">
        <w:rPr>
          <w:rFonts w:ascii="Traditional Arabic" w:hAnsi="Traditional Arabic" w:cs="Traditional Arabic" w:hint="cs"/>
          <w:rtl/>
        </w:rPr>
        <w:t>گوید صحیح نیست مقلدینش به این نظام بانکی عمل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="00E81489" w:rsidRPr="006A1975">
        <w:rPr>
          <w:rFonts w:ascii="Traditional Arabic" w:hAnsi="Traditional Arabic" w:cs="Traditional Arabic" w:hint="cs"/>
          <w:rtl/>
        </w:rPr>
        <w:t xml:space="preserve">کنند و مرجع دیگر بالعکس. در این قضیه هم وهن و ضلالتی وجود ندارد و حتی برای مشکلات </w:t>
      </w:r>
      <w:r w:rsidR="00C650B2" w:rsidRPr="006A1975">
        <w:rPr>
          <w:rFonts w:ascii="Traditional Arabic" w:hAnsi="Traditional Arabic" w:cs="Traditional Arabic" w:hint="cs"/>
          <w:rtl/>
        </w:rPr>
        <w:t xml:space="preserve">احتمالی هم هر مرجع راه </w:t>
      </w:r>
      <w:r w:rsidR="00F64F11">
        <w:rPr>
          <w:rFonts w:ascii="Traditional Arabic" w:hAnsi="Traditional Arabic" w:cs="Traditional Arabic" w:hint="cs"/>
          <w:rtl/>
        </w:rPr>
        <w:t>حلی</w:t>
      </w:r>
      <w:r w:rsidR="00C650B2" w:rsidRPr="006A1975">
        <w:rPr>
          <w:rFonts w:ascii="Traditional Arabic" w:hAnsi="Traditional Arabic" w:cs="Traditional Arabic" w:hint="cs"/>
          <w:rtl/>
        </w:rPr>
        <w:t xml:space="preserve"> ارائه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650B2" w:rsidRPr="006A1975">
        <w:rPr>
          <w:rFonts w:ascii="Traditional Arabic" w:hAnsi="Traditional Arabic" w:cs="Traditional Arabic" w:hint="cs"/>
          <w:rtl/>
        </w:rPr>
        <w:t>دهد و مثلاً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650B2" w:rsidRPr="006A1975">
        <w:rPr>
          <w:rFonts w:ascii="Traditional Arabic" w:hAnsi="Traditional Arabic" w:cs="Traditional Arabic" w:hint="cs"/>
          <w:rtl/>
        </w:rPr>
        <w:t>گوید اگر حرجی وجود دارد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650B2" w:rsidRPr="006A1975">
        <w:rPr>
          <w:rFonts w:ascii="Traditional Arabic" w:hAnsi="Traditional Arabic" w:cs="Traditional Arabic" w:hint="cs"/>
          <w:rtl/>
        </w:rPr>
        <w:t>تواند تعامل کند و...</w:t>
      </w:r>
    </w:p>
    <w:p w:rsidR="00C650B2" w:rsidRPr="006A1975" w:rsidRDefault="00F64F11" w:rsidP="00E81489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درعین‌حال</w:t>
      </w:r>
      <w:r w:rsidR="003A44A5" w:rsidRPr="006A1975">
        <w:rPr>
          <w:rFonts w:ascii="Traditional Arabic" w:hAnsi="Traditional Arabic" w:cs="Traditional Arabic" w:hint="cs"/>
          <w:rtl/>
        </w:rPr>
        <w:t xml:space="preserve"> در هر سه جواب داده شده به عناوین ثانویه گفته شد که دلیل اخص از مدّعا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3A44A5" w:rsidRPr="006A1975">
        <w:rPr>
          <w:rFonts w:ascii="Traditional Arabic" w:hAnsi="Traditional Arabic" w:cs="Traditional Arabic" w:hint="cs"/>
          <w:rtl/>
        </w:rPr>
        <w:t xml:space="preserve">باشد و معنای آن این است که </w:t>
      </w:r>
      <w:r w:rsidR="000237E6">
        <w:rPr>
          <w:rFonts w:ascii="Traditional Arabic" w:hAnsi="Traditional Arabic" w:cs="Traditional Arabic" w:hint="cs"/>
          <w:rtl/>
        </w:rPr>
        <w:t>فی‌الجمله</w:t>
      </w:r>
      <w:r w:rsidR="003A44A5" w:rsidRPr="006A1975">
        <w:rPr>
          <w:rFonts w:ascii="Traditional Arabic" w:hAnsi="Traditional Arabic" w:cs="Traditional Arabic" w:hint="cs"/>
          <w:rtl/>
        </w:rPr>
        <w:t xml:space="preserve"> در برخی از موارد واقعاً این مشکلات و این عناوین وجود دارد</w:t>
      </w:r>
      <w:r w:rsidR="0021487B" w:rsidRPr="006A1975">
        <w:rPr>
          <w:rFonts w:ascii="Traditional Arabic" w:hAnsi="Traditional Arabic" w:cs="Traditional Arabic" w:hint="cs"/>
          <w:rtl/>
        </w:rPr>
        <w:t xml:space="preserve"> (مثلاً برخی در مورد رؤیت هلال قائل به همین مسأل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21487B" w:rsidRPr="006A1975">
        <w:rPr>
          <w:rFonts w:ascii="Traditional Arabic" w:hAnsi="Traditional Arabic" w:cs="Traditional Arabic" w:hint="cs"/>
          <w:rtl/>
        </w:rPr>
        <w:t>وهن هستند)</w:t>
      </w:r>
      <w:r w:rsidR="003A44A5" w:rsidRPr="006A1975">
        <w:rPr>
          <w:rFonts w:ascii="Traditional Arabic" w:hAnsi="Traditional Arabic" w:cs="Traditional Arabic" w:hint="cs"/>
          <w:rtl/>
        </w:rPr>
        <w:t xml:space="preserve"> و باید در آنها یک </w:t>
      </w:r>
      <w:r w:rsidR="0021487B" w:rsidRPr="006A1975">
        <w:rPr>
          <w:rFonts w:ascii="Traditional Arabic" w:hAnsi="Traditional Arabic" w:cs="Traditional Arabic" w:hint="cs"/>
          <w:rtl/>
        </w:rPr>
        <w:t xml:space="preserve">حکم واحد </w:t>
      </w:r>
      <w:r w:rsidR="003A44A5" w:rsidRPr="006A1975">
        <w:rPr>
          <w:rFonts w:ascii="Traditional Arabic" w:hAnsi="Traditional Arabic" w:cs="Traditional Arabic" w:hint="cs"/>
          <w:rtl/>
        </w:rPr>
        <w:t>صادر شود و در حال حاضر هم در قوانینی که در کشور صادر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3A44A5" w:rsidRPr="006A1975">
        <w:rPr>
          <w:rFonts w:ascii="Traditional Arabic" w:hAnsi="Traditional Arabic" w:cs="Traditional Arabic" w:hint="cs"/>
          <w:rtl/>
        </w:rPr>
        <w:t xml:space="preserve">شود در برخی از </w:t>
      </w:r>
      <w:r>
        <w:rPr>
          <w:rFonts w:ascii="Traditional Arabic" w:hAnsi="Traditional Arabic" w:cs="Traditional Arabic" w:hint="cs"/>
          <w:rtl/>
        </w:rPr>
        <w:t>این‌گونه</w:t>
      </w:r>
      <w:r w:rsidR="003A44A5" w:rsidRPr="006A1975">
        <w:rPr>
          <w:rFonts w:ascii="Traditional Arabic" w:hAnsi="Traditional Arabic" w:cs="Traditional Arabic" w:hint="cs"/>
          <w:rtl/>
        </w:rPr>
        <w:t xml:space="preserve"> موارد فتوای مشهور و یا فتوای رهبری را ملاک قرار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3A44A5" w:rsidRPr="006A1975">
        <w:rPr>
          <w:rFonts w:ascii="Traditional Arabic" w:hAnsi="Traditional Arabic" w:cs="Traditional Arabic" w:hint="cs"/>
          <w:rtl/>
        </w:rPr>
        <w:t>دهند</w:t>
      </w:r>
      <w:r w:rsidR="005D0796" w:rsidRPr="006A1975">
        <w:rPr>
          <w:rFonts w:ascii="Traditional Arabic" w:hAnsi="Traditional Arabic" w:cs="Traditional Arabic" w:hint="cs"/>
          <w:rtl/>
        </w:rPr>
        <w:t xml:space="preserve">. پس این قضیه تأیید شده است که </w:t>
      </w:r>
      <w:r w:rsidR="000237E6">
        <w:rPr>
          <w:rFonts w:ascii="Traditional Arabic" w:hAnsi="Traditional Arabic" w:cs="Traditional Arabic" w:hint="cs"/>
          <w:rtl/>
        </w:rPr>
        <w:t>فی‌الجمله</w:t>
      </w:r>
      <w:r w:rsidR="005D0796" w:rsidRPr="006A1975">
        <w:rPr>
          <w:rFonts w:ascii="Traditional Arabic" w:hAnsi="Traditional Arabic" w:cs="Traditional Arabic" w:hint="cs"/>
          <w:rtl/>
        </w:rPr>
        <w:t xml:space="preserve"> این مشکلات و این موارد وجود دارد و مخصوصاً </w:t>
      </w:r>
      <w:r>
        <w:rPr>
          <w:rFonts w:ascii="Traditional Arabic" w:hAnsi="Traditional Arabic" w:cs="Traditional Arabic" w:hint="cs"/>
          <w:rtl/>
        </w:rPr>
        <w:t>قانون‌گذار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="005D0796" w:rsidRPr="006A1975">
        <w:rPr>
          <w:rFonts w:ascii="Traditional Arabic" w:hAnsi="Traditional Arabic" w:cs="Traditional Arabic" w:hint="cs"/>
          <w:rtl/>
        </w:rPr>
        <w:t>تواند در همه جا رعایت تعدد فتاوا بکند که ما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5D0796" w:rsidRPr="006A1975">
        <w:rPr>
          <w:rFonts w:ascii="Traditional Arabic" w:hAnsi="Traditional Arabic" w:cs="Traditional Arabic" w:hint="cs"/>
          <w:rtl/>
        </w:rPr>
        <w:t>گوییم این عناوین أخص از مدعا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89144E" w:rsidRPr="006A1975">
        <w:rPr>
          <w:rFonts w:ascii="Traditional Arabic" w:hAnsi="Traditional Arabic" w:cs="Traditional Arabic" w:hint="cs"/>
          <w:rtl/>
        </w:rPr>
        <w:t xml:space="preserve">باشد اما اینکه گفته شود باید نهاد </w:t>
      </w:r>
      <w:r w:rsidR="000237E6">
        <w:rPr>
          <w:rFonts w:ascii="Traditional Arabic" w:hAnsi="Traditional Arabic" w:cs="Traditional Arabic" w:hint="cs"/>
          <w:rtl/>
        </w:rPr>
        <w:t>مرجعیت</w:t>
      </w:r>
      <w:r w:rsidR="0089144E" w:rsidRPr="006A1975">
        <w:rPr>
          <w:rFonts w:ascii="Traditional Arabic" w:hAnsi="Traditional Arabic" w:cs="Traditional Arabic" w:hint="cs"/>
          <w:rtl/>
        </w:rPr>
        <w:t xml:space="preserve"> نهاد واحد شود و آن هم به نحو شورایی باشد، این قضیه از این ادله استنباط و استخراج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="0089144E" w:rsidRPr="006A1975">
        <w:rPr>
          <w:rFonts w:ascii="Traditional Arabic" w:hAnsi="Traditional Arabic" w:cs="Traditional Arabic" w:hint="cs"/>
          <w:rtl/>
        </w:rPr>
        <w:t>شود و الا اینکه در مواردی باید به همان شکل عمل شود پذیرفتنی است.</w:t>
      </w:r>
    </w:p>
    <w:p w:rsidR="0089144E" w:rsidRPr="006A1975" w:rsidRDefault="0089144E" w:rsidP="00A20CC6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و عناوین ثانوی هم به معنای این است که متغیّر است و الان شاید به صورت و شدت موارد یاد شده نباشد اما ممکن است به شرایطی برسد که این عنوان ثانوی حکم کند که الان اصلاً ذهنیّت جامعه این تعدد را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Pr="006A1975">
        <w:rPr>
          <w:rFonts w:ascii="Traditional Arabic" w:hAnsi="Traditional Arabic" w:cs="Traditional Arabic" w:hint="cs"/>
          <w:rtl/>
        </w:rPr>
        <w:t>پذیرد و یا ممکن است به جایی برسد که بیش از این تعدد را بپذیرد و ا</w:t>
      </w:r>
      <w:r w:rsidR="00A20CC6" w:rsidRPr="006A1975">
        <w:rPr>
          <w:rFonts w:ascii="Traditional Arabic" w:hAnsi="Traditional Arabic" w:cs="Traditional Arabic" w:hint="cs"/>
          <w:rtl/>
        </w:rPr>
        <w:t>ین امر متغیّری است.</w:t>
      </w:r>
    </w:p>
    <w:p w:rsidR="00D931C3" w:rsidRPr="006A1975" w:rsidRDefault="00D931C3" w:rsidP="00EA05E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2" w:name="_Toc469351585"/>
      <w:r w:rsidRPr="006A1975">
        <w:rPr>
          <w:rFonts w:ascii="Traditional Arabic" w:hAnsi="Traditional Arabic" w:cs="Traditional Arabic" w:hint="cs"/>
          <w:color w:val="FF0000"/>
          <w:rtl/>
        </w:rPr>
        <w:t xml:space="preserve">دلیل </w:t>
      </w:r>
      <w:r w:rsidR="00EA05EC" w:rsidRPr="006A1975">
        <w:rPr>
          <w:rFonts w:ascii="Traditional Arabic" w:hAnsi="Traditional Arabic" w:cs="Traditional Arabic" w:hint="cs"/>
          <w:color w:val="FF0000"/>
          <w:rtl/>
        </w:rPr>
        <w:t>نفی</w:t>
      </w:r>
      <w:r w:rsidRPr="006A1975">
        <w:rPr>
          <w:rFonts w:ascii="Traditional Arabic" w:hAnsi="Traditional Arabic" w:cs="Traditional Arabic" w:hint="cs"/>
          <w:color w:val="FF0000"/>
          <w:rtl/>
        </w:rPr>
        <w:t xml:space="preserve"> شورای در فتوا و اکثریت</w:t>
      </w:r>
      <w:bookmarkEnd w:id="22"/>
    </w:p>
    <w:p w:rsidR="00D60FC6" w:rsidRPr="006A1975" w:rsidRDefault="00D931C3" w:rsidP="00A20CC6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قبل از اینکه </w:t>
      </w:r>
      <w:r w:rsidR="00F64F11">
        <w:rPr>
          <w:rFonts w:ascii="Traditional Arabic" w:hAnsi="Traditional Arabic" w:cs="Traditional Arabic" w:hint="cs"/>
          <w:rtl/>
        </w:rPr>
        <w:t>جمع‌بندی</w:t>
      </w:r>
      <w:r w:rsidRPr="006A1975">
        <w:rPr>
          <w:rFonts w:ascii="Traditional Arabic" w:hAnsi="Traditional Arabic" w:cs="Traditional Arabic" w:hint="cs"/>
          <w:rtl/>
        </w:rPr>
        <w:t xml:space="preserve"> نهایی عرض شود، از طرف دیگر هم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توان به موضوع دیگری در نقط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مقابل اشاره کرد.</w:t>
      </w:r>
    </w:p>
    <w:p w:rsidR="00A20CC6" w:rsidRPr="006A1975" w:rsidRDefault="00D931C3" w:rsidP="00EA05E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lastRenderedPageBreak/>
        <w:t>تا اینجا بحث شورای در فتوا و اکثریت و... عرض شد، اما در نقط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 xml:space="preserve">مقابل دلیلی در نفی اکثریت وجود دارد که این در بحث اکثریت در مجتهدین و فتاوا شاید زیاد صحیح نباشد که کسی بخواهد این دلیل را در اینجا طرح کند اما </w:t>
      </w:r>
      <w:r w:rsidR="00F64F11">
        <w:rPr>
          <w:rFonts w:ascii="Traditional Arabic" w:hAnsi="Traditional Arabic" w:cs="Traditional Arabic" w:hint="cs"/>
          <w:rtl/>
        </w:rPr>
        <w:t>درعین‌حال</w:t>
      </w:r>
      <w:r w:rsidRPr="006A1975">
        <w:rPr>
          <w:rFonts w:ascii="Traditional Arabic" w:hAnsi="Traditional Arabic" w:cs="Traditional Arabic" w:hint="cs"/>
          <w:rtl/>
        </w:rPr>
        <w:t xml:space="preserve"> به دلیل فایده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که در آن وجود دارد عرض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شود.</w:t>
      </w:r>
    </w:p>
    <w:p w:rsidR="00EA05EC" w:rsidRPr="006A1975" w:rsidRDefault="00EA05EC" w:rsidP="00F64F11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این دلیلی که در اینجا عرض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در بحث شورا در امور عمومی یعنی شورای در انتخابات و مسائل عمومی اجتماعی که قرار است اکثریت مبنا قرار گیرد، در مقابل این قضیه این دلیل اقامه شده است، منتهی به نوعی شاید بتوان آن را در شورای در فتوا و ... نیز وارد کرد و الاّ اصل این قضیه در جایی است که قرار است انتخابات یا مشورتی انجام شده و بر اساس مشورت عمل شود، که از آیه شریفه «</w:t>
      </w:r>
      <w:r w:rsidR="00F64F11" w:rsidRPr="00F64F11">
        <w:rPr>
          <w:rFonts w:ascii="Traditional Arabic" w:hAnsi="Traditional Arabic" w:cs="Traditional Arabic"/>
          <w:b/>
          <w:bCs/>
          <w:color w:val="008000"/>
          <w:rtl/>
        </w:rPr>
        <w:t>أَمْرُهُمْ شُورى‏ بَيْنَهُم</w:t>
      </w:r>
      <w:r w:rsidR="00F64F11" w:rsidRPr="00F64F11">
        <w:rPr>
          <w:rFonts w:ascii="Traditional Arabic" w:hAnsi="Traditional Arabic" w:cs="Traditional Arabic"/>
          <w:rtl/>
        </w:rPr>
        <w:t>‏</w:t>
      </w:r>
      <w:r w:rsidRPr="006A1975">
        <w:rPr>
          <w:rFonts w:ascii="Traditional Arabic" w:hAnsi="Traditional Arabic" w:cs="Traditional Arabic" w:hint="cs"/>
          <w:rtl/>
        </w:rPr>
        <w:t>»</w:t>
      </w:r>
      <w:r w:rsidR="00F64F11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6A1975">
        <w:rPr>
          <w:rFonts w:ascii="Traditional Arabic" w:hAnsi="Traditional Arabic" w:cs="Traditional Arabic" w:hint="cs"/>
          <w:rtl/>
        </w:rPr>
        <w:t xml:space="preserve"> نیز </w:t>
      </w:r>
      <w:r w:rsidR="000237E6">
        <w:rPr>
          <w:rFonts w:ascii="Traditional Arabic" w:hAnsi="Traditional Arabic" w:cs="Traditional Arabic" w:hint="cs"/>
          <w:rtl/>
        </w:rPr>
        <w:t>فی‌الجمله</w:t>
      </w:r>
      <w:r w:rsidRPr="006A1975">
        <w:rPr>
          <w:rFonts w:ascii="Traditional Arabic" w:hAnsi="Traditional Arabic" w:cs="Traditional Arabic" w:hint="cs"/>
          <w:rtl/>
        </w:rPr>
        <w:t xml:space="preserve"> این مطلب استفاده شد</w:t>
      </w:r>
      <w:r w:rsidR="00B87725" w:rsidRPr="006A1975">
        <w:rPr>
          <w:rFonts w:ascii="Traditional Arabic" w:hAnsi="Traditional Arabic" w:cs="Traditional Arabic" w:hint="cs"/>
          <w:rtl/>
        </w:rPr>
        <w:t xml:space="preserve"> و گفته شد که در جایی که ولی نباشد یا دخالت نکند امر هم عمومی باشد که سرنوشت عمومی جامعه با آن مسأله پیوند خورده باشد با این چند قید عرض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B87725" w:rsidRPr="006A1975">
        <w:rPr>
          <w:rFonts w:ascii="Traditional Arabic" w:hAnsi="Traditional Arabic" w:cs="Traditional Arabic" w:hint="cs"/>
          <w:rtl/>
        </w:rPr>
        <w:t xml:space="preserve">شد که باید مردم با هم بنشینند و تصمیم بگیرند و به </w:t>
      </w:r>
      <w:r w:rsidR="004D6E92">
        <w:rPr>
          <w:rFonts w:ascii="Traditional Arabic" w:hAnsi="Traditional Arabic" w:cs="Traditional Arabic" w:hint="cs"/>
          <w:rtl/>
        </w:rPr>
        <w:t>اکثریت</w:t>
      </w:r>
      <w:r w:rsidR="00B87725" w:rsidRPr="006A1975">
        <w:rPr>
          <w:rFonts w:ascii="Traditional Arabic" w:hAnsi="Traditional Arabic" w:cs="Traditional Arabic" w:hint="cs"/>
          <w:rtl/>
        </w:rPr>
        <w:t xml:space="preserve"> </w:t>
      </w:r>
      <w:r w:rsidR="004D6E92">
        <w:rPr>
          <w:rFonts w:ascii="Traditional Arabic" w:hAnsi="Traditional Arabic" w:cs="Traditional Arabic"/>
          <w:rtl/>
        </w:rPr>
        <w:t>آراء</w:t>
      </w:r>
      <w:r w:rsidR="00B87725" w:rsidRPr="006A1975">
        <w:rPr>
          <w:rFonts w:ascii="Traditional Arabic" w:hAnsi="Traditional Arabic" w:cs="Traditional Arabic" w:hint="cs"/>
          <w:rtl/>
        </w:rPr>
        <w:t xml:space="preserve"> عمل کنند، در مقابل این قضیه این دلیل نفی شورا اقامه شده است.</w:t>
      </w:r>
    </w:p>
    <w:p w:rsidR="002409CC" w:rsidRPr="006A1975" w:rsidRDefault="002409CC" w:rsidP="002409C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69351586"/>
      <w:r w:rsidRPr="006A1975">
        <w:rPr>
          <w:rFonts w:ascii="Traditional Arabic" w:hAnsi="Traditional Arabic" w:cs="Traditional Arabic" w:hint="cs"/>
          <w:color w:val="FF0000"/>
          <w:rtl/>
        </w:rPr>
        <w:t>نفی اکثریت در قرآن</w:t>
      </w:r>
      <w:bookmarkEnd w:id="23"/>
    </w:p>
    <w:p w:rsidR="00882FA8" w:rsidRPr="006A1975" w:rsidRDefault="00882FA8" w:rsidP="002409C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تا اینجا ادل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مساعد و طوایف آیات و روایات و سیر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موافق و همچنین عناوین ثانویه بود و اما در نقط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مقابل هم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شود ادله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اقامه کرد که یکی ا</w:t>
      </w:r>
      <w:r w:rsidR="002409CC" w:rsidRPr="006A1975">
        <w:rPr>
          <w:rFonts w:ascii="Traditional Arabic" w:hAnsi="Traditional Arabic" w:cs="Traditional Arabic" w:hint="cs"/>
          <w:rtl/>
        </w:rPr>
        <w:t xml:space="preserve">ز آنها، </w:t>
      </w:r>
      <w:r w:rsidRPr="006A1975">
        <w:rPr>
          <w:rFonts w:ascii="Traditional Arabic" w:hAnsi="Traditional Arabic" w:cs="Traditional Arabic" w:hint="cs"/>
          <w:rtl/>
        </w:rPr>
        <w:t>نفی اکثریت در قرآن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Pr="006A1975">
        <w:rPr>
          <w:rFonts w:ascii="Traditional Arabic" w:hAnsi="Traditional Arabic" w:cs="Traditional Arabic" w:hint="cs"/>
          <w:rtl/>
        </w:rPr>
        <w:t>باشد</w:t>
      </w:r>
      <w:r w:rsidR="002409CC" w:rsidRPr="006A1975">
        <w:rPr>
          <w:rFonts w:ascii="Traditional Arabic" w:hAnsi="Traditional Arabic" w:cs="Traditional Arabic" w:hint="cs"/>
          <w:rtl/>
        </w:rPr>
        <w:t>.</w:t>
      </w:r>
    </w:p>
    <w:p w:rsidR="002409CC" w:rsidRPr="006A1975" w:rsidRDefault="004D6E92" w:rsidP="00617AB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اگر کسی به آ</w:t>
      </w:r>
      <w:r w:rsidR="002409CC" w:rsidRPr="006A1975">
        <w:rPr>
          <w:rFonts w:ascii="Traditional Arabic" w:hAnsi="Traditional Arabic" w:cs="Traditional Arabic" w:hint="cs"/>
          <w:rtl/>
        </w:rPr>
        <w:t>یات شریفه مراجعه کند ملاحظه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2409CC" w:rsidRPr="006A1975">
        <w:rPr>
          <w:rFonts w:ascii="Traditional Arabic" w:hAnsi="Traditional Arabic" w:cs="Traditional Arabic" w:hint="cs"/>
          <w:rtl/>
        </w:rPr>
        <w:t>کند که اکثریت در بسیاری از آیات قرآن اکثریت مورد عتاب و خطاب قرار گرفته است و این دلیل معارض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2409CC" w:rsidRPr="006A1975">
        <w:rPr>
          <w:rFonts w:ascii="Traditional Arabic" w:hAnsi="Traditional Arabic" w:cs="Traditional Arabic" w:hint="cs"/>
          <w:rtl/>
        </w:rPr>
        <w:t>باشد</w:t>
      </w:r>
      <w:r w:rsidR="00A87562" w:rsidRPr="006A1975">
        <w:rPr>
          <w:rFonts w:ascii="Traditional Arabic" w:hAnsi="Traditional Arabic" w:cs="Traditional Arabic" w:hint="cs"/>
          <w:rtl/>
        </w:rPr>
        <w:t xml:space="preserve"> و </w:t>
      </w:r>
      <w:r w:rsidR="00F64F11">
        <w:rPr>
          <w:rFonts w:ascii="Traditional Arabic" w:hAnsi="Traditional Arabic" w:cs="Traditional Arabic" w:hint="cs"/>
          <w:rtl/>
        </w:rPr>
        <w:t>حداقل</w:t>
      </w:r>
      <w:r w:rsidR="00A87562" w:rsidRPr="006A1975">
        <w:rPr>
          <w:rFonts w:ascii="Traditional Arabic" w:hAnsi="Traditional Arabic" w:cs="Traditional Arabic" w:hint="cs"/>
          <w:rtl/>
        </w:rPr>
        <w:t xml:space="preserve"> حدود 40 آیه در قرآن وجود دارد که به نحوی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A2167B" w:rsidRPr="006A1975">
        <w:rPr>
          <w:rFonts w:ascii="Traditional Arabic" w:hAnsi="Traditional Arabic" w:cs="Traditional Arabic" w:hint="cs"/>
          <w:rtl/>
        </w:rPr>
        <w:t xml:space="preserve">گوید که </w:t>
      </w:r>
      <w:r w:rsidR="00617ABE" w:rsidRPr="006A1975">
        <w:rPr>
          <w:rFonts w:ascii="Traditional Arabic" w:hAnsi="Traditional Arabic" w:cs="Traditional Arabic" w:hint="cs"/>
          <w:rtl/>
        </w:rPr>
        <w:t>«</w:t>
      </w:r>
      <w:r w:rsidR="00617ABE" w:rsidRPr="006A1975">
        <w:rPr>
          <w:rStyle w:val="Strong"/>
          <w:rFonts w:ascii="Traditional Arabic" w:hAnsi="Traditional Arabic" w:cs="Traditional Arabic"/>
          <w:rtl/>
        </w:rPr>
        <w:t>أ</w:t>
      </w:r>
      <w:r w:rsidR="00617ABE" w:rsidRPr="006A1975">
        <w:rPr>
          <w:rStyle w:val="Strong"/>
          <w:rFonts w:ascii="Traditional Arabic" w:hAnsi="Traditional Arabic" w:cs="Traditional Arabic"/>
          <w:color w:val="008000"/>
          <w:rtl/>
        </w:rPr>
        <w:t>َکْثَرَ النَّاسِ لَا یَعْلَمُونَ</w:t>
      </w:r>
      <w:r w:rsidR="00617ABE" w:rsidRPr="006A1975">
        <w:rPr>
          <w:rFonts w:ascii="Traditional Arabic" w:hAnsi="Traditional Arabic" w:cs="Traditional Arabic" w:hint="cs"/>
          <w:rtl/>
        </w:rPr>
        <w:t>»</w:t>
      </w:r>
      <w:r w:rsidR="00617ABE" w:rsidRPr="006A1975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617ABE" w:rsidRPr="006A1975">
        <w:rPr>
          <w:rFonts w:ascii="Traditional Arabic" w:hAnsi="Traditional Arabic" w:cs="Traditional Arabic" w:hint="cs"/>
          <w:rtl/>
        </w:rPr>
        <w:t xml:space="preserve">، </w:t>
      </w:r>
      <w:r w:rsidR="00A2167B" w:rsidRPr="006A1975">
        <w:rPr>
          <w:rFonts w:ascii="Traditional Arabic" w:hAnsi="Traditional Arabic" w:cs="Traditional Arabic" w:hint="cs"/>
          <w:rtl/>
        </w:rPr>
        <w:t>«</w:t>
      </w:r>
      <w:r w:rsidR="00617ABE" w:rsidRPr="006A1975">
        <w:rPr>
          <w:rStyle w:val="shtxt"/>
          <w:rFonts w:ascii="Traditional Arabic" w:hAnsi="Traditional Arabic" w:cs="Traditional Arabic"/>
          <w:b/>
          <w:bCs/>
          <w:color w:val="008000"/>
          <w:rtl/>
        </w:rPr>
        <w:t>أَكثَرُهُم لا يَعقِلونَ</w:t>
      </w:r>
      <w:r w:rsidR="00A87562" w:rsidRPr="006A1975">
        <w:rPr>
          <w:rFonts w:ascii="Traditional Arabic" w:hAnsi="Traditional Arabic" w:cs="Traditional Arabic" w:hint="cs"/>
          <w:rtl/>
        </w:rPr>
        <w:t>»</w:t>
      </w:r>
      <w:r w:rsidR="00617ABE" w:rsidRPr="006A1975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A87562" w:rsidRPr="006A1975">
        <w:rPr>
          <w:rFonts w:ascii="Traditional Arabic" w:hAnsi="Traditional Arabic" w:cs="Traditional Arabic" w:hint="cs"/>
          <w:rtl/>
        </w:rPr>
        <w:t>، «</w:t>
      </w:r>
      <w:r w:rsidR="00617ABE" w:rsidRPr="006A1975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أَكْثَرَهُمْ</w:t>
      </w:r>
      <w:r w:rsidR="00617ABE" w:rsidRPr="006A1975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لَا </w:t>
      </w:r>
      <w:r w:rsidR="00617ABE" w:rsidRPr="006A1975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يَشْكُرُونَ</w:t>
      </w:r>
      <w:r w:rsidR="00A87562" w:rsidRPr="006A1975">
        <w:rPr>
          <w:rFonts w:ascii="Traditional Arabic" w:hAnsi="Traditional Arabic" w:cs="Traditional Arabic" w:hint="cs"/>
          <w:rtl/>
        </w:rPr>
        <w:t>»</w:t>
      </w:r>
      <w:r w:rsidR="00617ABE" w:rsidRPr="006A1975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A87562" w:rsidRPr="006A1975">
        <w:rPr>
          <w:rFonts w:ascii="Traditional Arabic" w:hAnsi="Traditional Arabic" w:cs="Traditional Arabic" w:hint="cs"/>
          <w:rtl/>
        </w:rPr>
        <w:t>، «</w:t>
      </w:r>
      <w:r w:rsidR="00617ABE" w:rsidRPr="006A1975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أَكْثَرَ</w:t>
      </w:r>
      <w:r w:rsidR="00617ABE" w:rsidRPr="006A1975">
        <w:rPr>
          <w:rStyle w:val="ayatext"/>
          <w:rFonts w:ascii="Traditional Arabic" w:hAnsi="Traditional Arabic" w:cs="Traditional Arabic"/>
          <w:b/>
          <w:bCs/>
          <w:color w:val="008000"/>
          <w:rtl/>
        </w:rPr>
        <w:t xml:space="preserve"> النَّاسِ لَا </w:t>
      </w:r>
      <w:r w:rsidR="00617ABE" w:rsidRPr="006A1975">
        <w:rPr>
          <w:rStyle w:val="word"/>
          <w:rFonts w:ascii="Traditional Arabic" w:hAnsi="Traditional Arabic" w:cs="Traditional Arabic"/>
          <w:b/>
          <w:bCs/>
          <w:color w:val="008000"/>
          <w:rtl/>
        </w:rPr>
        <w:t>يُؤْمِنُونَ</w:t>
      </w:r>
      <w:r w:rsidR="00DA05D1" w:rsidRPr="006A1975">
        <w:rPr>
          <w:rFonts w:ascii="Traditional Arabic" w:hAnsi="Traditional Arabic" w:cs="Traditional Arabic" w:hint="cs"/>
          <w:rtl/>
        </w:rPr>
        <w:t>»</w:t>
      </w:r>
      <w:r w:rsidR="00617ABE" w:rsidRPr="006A1975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DA05D1" w:rsidRPr="006A1975">
        <w:rPr>
          <w:rFonts w:ascii="Traditional Arabic" w:hAnsi="Traditional Arabic" w:cs="Traditional Arabic" w:hint="cs"/>
          <w:rtl/>
        </w:rPr>
        <w:t>، «</w:t>
      </w:r>
      <w:r w:rsidR="00A2167B" w:rsidRPr="006A1975">
        <w:rPr>
          <w:rStyle w:val="Strong"/>
          <w:rFonts w:ascii="Traditional Arabic" w:hAnsi="Traditional Arabic" w:cs="Traditional Arabic"/>
          <w:color w:val="008000"/>
          <w:rtl/>
        </w:rPr>
        <w:t>أَکْثَرَ النَّاسِ لَا یَعْلَمُونَ</w:t>
      </w:r>
      <w:r w:rsidR="00DA05D1" w:rsidRPr="006A1975">
        <w:rPr>
          <w:rFonts w:ascii="Traditional Arabic" w:hAnsi="Traditional Arabic" w:cs="Traditional Arabic" w:hint="cs"/>
          <w:rtl/>
        </w:rPr>
        <w:t>»</w:t>
      </w:r>
      <w:r w:rsidR="00A2167B" w:rsidRPr="006A1975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="00DA05D1" w:rsidRPr="006A1975">
        <w:rPr>
          <w:rFonts w:ascii="Traditional Arabic" w:hAnsi="Traditional Arabic" w:cs="Traditional Arabic" w:hint="cs"/>
          <w:rtl/>
        </w:rPr>
        <w:t xml:space="preserve"> و حدود هشت مورد محمول بر این أکثر الناس حمل شده است که اینها مجموع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DA05D1" w:rsidRPr="006A1975">
        <w:rPr>
          <w:rFonts w:ascii="Traditional Arabic" w:hAnsi="Traditional Arabic" w:cs="Traditional Arabic" w:hint="cs"/>
          <w:rtl/>
        </w:rPr>
        <w:t>آیات است و</w:t>
      </w:r>
      <w:r w:rsidR="0075157C" w:rsidRPr="006A1975">
        <w:rPr>
          <w:rFonts w:ascii="Traditional Arabic" w:hAnsi="Traditional Arabic" w:cs="Traditional Arabic" w:hint="cs"/>
          <w:rtl/>
        </w:rPr>
        <w:t xml:space="preserve"> به نحوی در ذیل و شعاع اینها در روایات هم وجود دارد اما این یک بخش جدی در معارف قرآن است که اکثریت را مورد عتاب و خطاب ق</w:t>
      </w:r>
      <w:r w:rsidR="00B969E6" w:rsidRPr="006A1975">
        <w:rPr>
          <w:rFonts w:ascii="Traditional Arabic" w:hAnsi="Traditional Arabic" w:cs="Traditional Arabic" w:hint="cs"/>
          <w:rtl/>
        </w:rPr>
        <w:t>رار داده است و مضمون این آیات این است که اکثریت راه انحرافی را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B969E6" w:rsidRPr="006A1975">
        <w:rPr>
          <w:rFonts w:ascii="Traditional Arabic" w:hAnsi="Traditional Arabic" w:cs="Traditional Arabic" w:hint="cs"/>
          <w:rtl/>
        </w:rPr>
        <w:t>روند و مسیر کج طی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B969E6" w:rsidRPr="006A1975">
        <w:rPr>
          <w:rFonts w:ascii="Traditional Arabic" w:hAnsi="Traditional Arabic" w:cs="Traditional Arabic" w:hint="cs"/>
          <w:rtl/>
        </w:rPr>
        <w:t xml:space="preserve">کنند و هنگامی که </w:t>
      </w:r>
      <w:r>
        <w:rPr>
          <w:rFonts w:ascii="Traditional Arabic" w:hAnsi="Traditional Arabic" w:cs="Traditional Arabic" w:hint="cs"/>
          <w:rtl/>
        </w:rPr>
        <w:t>اکثریت</w:t>
      </w:r>
      <w:r w:rsidR="00B969E6" w:rsidRPr="006A1975">
        <w:rPr>
          <w:rFonts w:ascii="Traditional Arabic" w:hAnsi="Traditional Arabic" w:cs="Traditional Arabic" w:hint="cs"/>
          <w:rtl/>
        </w:rPr>
        <w:t xml:space="preserve"> </w:t>
      </w:r>
      <w:r w:rsidR="00F64F11">
        <w:rPr>
          <w:rFonts w:ascii="Traditional Arabic" w:hAnsi="Traditional Arabic" w:cs="Traditional Arabic" w:hint="cs"/>
          <w:rtl/>
        </w:rPr>
        <w:t>این‌گونه</w:t>
      </w:r>
      <w:r w:rsidR="00B969E6" w:rsidRPr="006A1975">
        <w:rPr>
          <w:rFonts w:ascii="Traditional Arabic" w:hAnsi="Traditional Arabic" w:cs="Traditional Arabic" w:hint="cs"/>
          <w:rtl/>
        </w:rPr>
        <w:t xml:space="preserve"> هستند چطور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B969E6" w:rsidRPr="006A1975">
        <w:rPr>
          <w:rFonts w:ascii="Traditional Arabic" w:hAnsi="Traditional Arabic" w:cs="Traditional Arabic" w:hint="cs"/>
          <w:rtl/>
        </w:rPr>
        <w:t xml:space="preserve">توان در مباحث حساس </w:t>
      </w:r>
      <w:r>
        <w:rPr>
          <w:rFonts w:ascii="Traditional Arabic" w:hAnsi="Traditional Arabic" w:cs="Traditional Arabic" w:hint="cs"/>
          <w:rtl/>
        </w:rPr>
        <w:t>اکثریت</w:t>
      </w:r>
      <w:r w:rsidR="00B969E6" w:rsidRPr="006A1975">
        <w:rPr>
          <w:rFonts w:ascii="Traditional Arabic" w:hAnsi="Traditional Arabic" w:cs="Traditional Arabic" w:hint="cs"/>
          <w:rtl/>
        </w:rPr>
        <w:t xml:space="preserve"> را ملاک قرار داد؟</w:t>
      </w:r>
    </w:p>
    <w:p w:rsidR="004E3A23" w:rsidRPr="006A1975" w:rsidRDefault="00806F12" w:rsidP="004E3A23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4" w:name="_Toc469351587"/>
      <w:r>
        <w:rPr>
          <w:rFonts w:ascii="Traditional Arabic" w:hAnsi="Traditional Arabic" w:cs="Traditional Arabic" w:hint="cs"/>
          <w:color w:val="FF0000"/>
          <w:rtl/>
        </w:rPr>
        <w:t>تقسیم‌بندی</w:t>
      </w:r>
      <w:r w:rsidR="004E3A23" w:rsidRPr="006A1975">
        <w:rPr>
          <w:rFonts w:ascii="Traditional Arabic" w:hAnsi="Traditional Arabic" w:cs="Traditional Arabic" w:hint="cs"/>
          <w:color w:val="FF0000"/>
          <w:rtl/>
        </w:rPr>
        <w:t xml:space="preserve"> آیات نفی اکثریت</w:t>
      </w:r>
      <w:bookmarkEnd w:id="24"/>
    </w:p>
    <w:p w:rsidR="00B969E6" w:rsidRPr="006A1975" w:rsidRDefault="00B969E6" w:rsidP="002409CC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در این آیات هم اگر کسی بحث و </w:t>
      </w:r>
      <w:r w:rsidR="00B8417F" w:rsidRPr="006A1975">
        <w:rPr>
          <w:rFonts w:ascii="Traditional Arabic" w:hAnsi="Traditional Arabic" w:cs="Traditional Arabic" w:hint="cs"/>
          <w:rtl/>
        </w:rPr>
        <w:t>غور کند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B8417F" w:rsidRPr="006A1975">
        <w:rPr>
          <w:rFonts w:ascii="Traditional Arabic" w:hAnsi="Traditional Arabic" w:cs="Traditional Arabic" w:hint="cs"/>
          <w:rtl/>
        </w:rPr>
        <w:t>توان این آیات را به طوایفی تقسیم کرد و جای توسع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B8417F" w:rsidRPr="006A1975">
        <w:rPr>
          <w:rFonts w:ascii="Traditional Arabic" w:hAnsi="Traditional Arabic" w:cs="Traditional Arabic" w:hint="cs"/>
          <w:rtl/>
        </w:rPr>
        <w:t>بحث وجود دارد که در اینجا بنا نیس</w:t>
      </w:r>
      <w:r w:rsidR="004E3A23" w:rsidRPr="006A1975">
        <w:rPr>
          <w:rFonts w:ascii="Traditional Arabic" w:hAnsi="Traditional Arabic" w:cs="Traditional Arabic" w:hint="cs"/>
          <w:rtl/>
        </w:rPr>
        <w:t>ت خیلی ریز و جزئی وارد بحث شویم اما اجمال بحث این است که در این آیات چند گروه وجود دارند.</w:t>
      </w:r>
    </w:p>
    <w:p w:rsidR="004E3A23" w:rsidRPr="006A1975" w:rsidRDefault="004E3A23" w:rsidP="004E3A23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25" w:name="_Toc469351588"/>
      <w:r w:rsidRPr="006A1975">
        <w:rPr>
          <w:rFonts w:ascii="Traditional Arabic" w:hAnsi="Traditional Arabic" w:cs="Traditional Arabic" w:hint="cs"/>
          <w:color w:val="FF0000"/>
          <w:rtl/>
        </w:rPr>
        <w:lastRenderedPageBreak/>
        <w:t>گروه اول</w:t>
      </w:r>
      <w:bookmarkEnd w:id="25"/>
    </w:p>
    <w:p w:rsidR="004E3A23" w:rsidRPr="006A1975" w:rsidRDefault="004E3A23" w:rsidP="00A85D97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یک گروه از آیات وجود دارند که در آنها عبارت «أکثر النّاس» وجود دارد که محمول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>ی مختلفی برای آن وجود دارد همچون «</w:t>
      </w:r>
      <w:r w:rsidRPr="006A1975">
        <w:rPr>
          <w:rFonts w:ascii="Traditional Arabic" w:hAnsi="Traditional Arabic" w:cs="Traditional Arabic" w:hint="cs"/>
          <w:b/>
          <w:bCs/>
          <w:color w:val="008000"/>
          <w:rtl/>
        </w:rPr>
        <w:t>لایؤمنون</w:t>
      </w:r>
      <w:r w:rsidRPr="006A1975">
        <w:rPr>
          <w:rFonts w:ascii="Traditional Arabic" w:hAnsi="Traditional Arabic" w:cs="Traditional Arabic" w:hint="cs"/>
          <w:rtl/>
        </w:rPr>
        <w:t>»، «</w:t>
      </w:r>
      <w:r w:rsidRPr="006A1975">
        <w:rPr>
          <w:rFonts w:ascii="Traditional Arabic" w:hAnsi="Traditional Arabic" w:cs="Traditional Arabic" w:hint="cs"/>
          <w:b/>
          <w:bCs/>
          <w:color w:val="008000"/>
          <w:rtl/>
        </w:rPr>
        <w:t>لا یعقلون</w:t>
      </w:r>
      <w:r w:rsidRPr="006A1975">
        <w:rPr>
          <w:rFonts w:ascii="Traditional Arabic" w:hAnsi="Traditional Arabic" w:cs="Traditional Arabic" w:hint="cs"/>
          <w:rtl/>
        </w:rPr>
        <w:t>»، «</w:t>
      </w:r>
      <w:r w:rsidRPr="006A1975">
        <w:rPr>
          <w:rFonts w:ascii="Traditional Arabic" w:hAnsi="Traditional Arabic" w:cs="Traditional Arabic" w:hint="cs"/>
          <w:b/>
          <w:bCs/>
          <w:color w:val="008000"/>
          <w:rtl/>
        </w:rPr>
        <w:t>لا یعلمون</w:t>
      </w:r>
      <w:r w:rsidRPr="006A1975">
        <w:rPr>
          <w:rFonts w:ascii="Traditional Arabic" w:hAnsi="Traditional Arabic" w:cs="Traditional Arabic" w:hint="cs"/>
          <w:rtl/>
        </w:rPr>
        <w:t>»، «</w:t>
      </w:r>
      <w:r w:rsidRPr="006A1975">
        <w:rPr>
          <w:rFonts w:ascii="Traditional Arabic" w:hAnsi="Traditional Arabic" w:cs="Traditional Arabic" w:hint="cs"/>
          <w:b/>
          <w:bCs/>
          <w:color w:val="008000"/>
          <w:rtl/>
        </w:rPr>
        <w:t>لایشکرون</w:t>
      </w:r>
      <w:r w:rsidRPr="006A1975">
        <w:rPr>
          <w:rFonts w:ascii="Traditional Arabic" w:hAnsi="Traditional Arabic" w:cs="Traditional Arabic" w:hint="cs"/>
          <w:rtl/>
        </w:rPr>
        <w:t>»، «</w:t>
      </w:r>
      <w:r w:rsidRPr="006A1975">
        <w:rPr>
          <w:rFonts w:ascii="Traditional Arabic" w:hAnsi="Traditional Arabic" w:cs="Traditional Arabic" w:hint="cs"/>
          <w:b/>
          <w:bCs/>
          <w:color w:val="008000"/>
          <w:rtl/>
        </w:rPr>
        <w:t>فاسقون</w:t>
      </w:r>
      <w:r w:rsidRPr="006A1975">
        <w:rPr>
          <w:rFonts w:ascii="Traditional Arabic" w:hAnsi="Traditional Arabic" w:cs="Traditional Arabic" w:hint="cs"/>
          <w:rtl/>
        </w:rPr>
        <w:t>»</w:t>
      </w:r>
      <w:r w:rsidR="0030718D" w:rsidRPr="006A1975">
        <w:rPr>
          <w:rFonts w:ascii="Traditional Arabic" w:hAnsi="Traditional Arabic" w:cs="Traditional Arabic" w:hint="cs"/>
          <w:rtl/>
        </w:rPr>
        <w:t>، «</w:t>
      </w:r>
      <w:r w:rsidR="00A85D97" w:rsidRPr="006A1975">
        <w:rPr>
          <w:rFonts w:ascii="Traditional Arabic" w:hAnsi="Traditional Arabic" w:cs="Traditional Arabic"/>
          <w:b/>
          <w:bCs/>
          <w:color w:val="008000"/>
          <w:rtl/>
        </w:rPr>
        <w:t>كَثِيرٌ مِنْهُمْ فاسِقُونَ</w:t>
      </w:r>
      <w:r w:rsidR="0030718D" w:rsidRPr="006A1975">
        <w:rPr>
          <w:rFonts w:ascii="Traditional Arabic" w:hAnsi="Traditional Arabic" w:cs="Traditional Arabic" w:hint="cs"/>
          <w:rtl/>
        </w:rPr>
        <w:t>»</w:t>
      </w:r>
      <w:r w:rsidR="00A85D97" w:rsidRPr="006A1975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="0030718D" w:rsidRPr="006A1975">
        <w:rPr>
          <w:rFonts w:ascii="Traditional Arabic" w:hAnsi="Traditional Arabic" w:cs="Traditional Arabic" w:hint="cs"/>
          <w:rtl/>
        </w:rPr>
        <w:t xml:space="preserve"> و امثال این عبارات که در مجموع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30718D" w:rsidRPr="006A1975">
        <w:rPr>
          <w:rFonts w:ascii="Traditional Arabic" w:hAnsi="Traditional Arabic" w:cs="Traditional Arabic" w:hint="cs"/>
          <w:rtl/>
        </w:rPr>
        <w:t>این آیات گفته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30718D" w:rsidRPr="006A1975">
        <w:rPr>
          <w:rFonts w:ascii="Traditional Arabic" w:hAnsi="Traditional Arabic" w:cs="Traditional Arabic" w:hint="cs"/>
          <w:rtl/>
        </w:rPr>
        <w:t>شود که اکثریت مسیر درستی را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="0030718D" w:rsidRPr="006A1975">
        <w:rPr>
          <w:rFonts w:ascii="Traditional Arabic" w:hAnsi="Traditional Arabic" w:cs="Traditional Arabic" w:hint="cs"/>
          <w:rtl/>
        </w:rPr>
        <w:t>روند.</w:t>
      </w:r>
    </w:p>
    <w:p w:rsidR="0030718D" w:rsidRPr="006A1975" w:rsidRDefault="0030718D" w:rsidP="00A85D97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این یک طایفه است که با تعبیر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أکثر</w:t>
      </w:r>
      <w:r w:rsidRPr="006A1975">
        <w:rPr>
          <w:rFonts w:ascii="Traditional Arabic" w:hAnsi="Traditional Arabic" w:cs="Traditional Arabic" w:hint="cs"/>
          <w:rtl/>
        </w:rPr>
        <w:t>» و گاهی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کثیر</w:t>
      </w:r>
      <w:r w:rsidRPr="006A1975">
        <w:rPr>
          <w:rFonts w:ascii="Traditional Arabic" w:hAnsi="Traditional Arabic" w:cs="Traditional Arabic" w:hint="cs"/>
          <w:rtl/>
        </w:rPr>
        <w:t>» وارد شده است همچون آیه شریفه «</w:t>
      </w:r>
      <w:r w:rsidR="00A85D97" w:rsidRPr="006A1975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وَ ما اَکْثَرُ النّاسِ وَ لَوْ حَرَصْتَ بِمُوْمِنِینَ</w:t>
      </w:r>
      <w:r w:rsidR="00C32F54" w:rsidRPr="006A1975">
        <w:rPr>
          <w:rFonts w:ascii="Traditional Arabic" w:hAnsi="Traditional Arabic" w:cs="Traditional Arabic" w:hint="cs"/>
          <w:rtl/>
        </w:rPr>
        <w:t>»</w:t>
      </w:r>
      <w:r w:rsidR="00A85D97" w:rsidRPr="006A1975">
        <w:rPr>
          <w:rStyle w:val="FootnoteReference"/>
          <w:rFonts w:ascii="Traditional Arabic" w:hAnsi="Traditional Arabic" w:cs="Traditional Arabic"/>
          <w:rtl/>
        </w:rPr>
        <w:footnoteReference w:id="9"/>
      </w:r>
      <w:r w:rsidR="00C32F54" w:rsidRPr="006A1975">
        <w:rPr>
          <w:rFonts w:ascii="Traditional Arabic" w:hAnsi="Traditional Arabic" w:cs="Traditional Arabic" w:hint="cs"/>
          <w:rtl/>
        </w:rPr>
        <w:t xml:space="preserve"> که در آن گفته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C32F54" w:rsidRPr="006A1975">
        <w:rPr>
          <w:rFonts w:ascii="Traditional Arabic" w:hAnsi="Traditional Arabic" w:cs="Traditional Arabic" w:hint="cs"/>
          <w:rtl/>
        </w:rPr>
        <w:t>شود شما هرچه تلاش کنید اما اکثریت مؤمن</w:t>
      </w:r>
      <w:r w:rsidR="00571ABD" w:rsidRPr="006A1975">
        <w:rPr>
          <w:rFonts w:ascii="Traditional Arabic" w:hAnsi="Traditional Arabic" w:cs="Traditional Arabic" w:hint="cs"/>
          <w:rtl/>
        </w:rPr>
        <w:t xml:space="preserve"> نمی‌</w:t>
      </w:r>
      <w:r w:rsidR="00C32F54" w:rsidRPr="006A1975">
        <w:rPr>
          <w:rFonts w:ascii="Traditional Arabic" w:hAnsi="Traditional Arabic" w:cs="Traditional Arabic" w:hint="cs"/>
          <w:rtl/>
        </w:rPr>
        <w:t>شوند.</w:t>
      </w:r>
    </w:p>
    <w:p w:rsidR="00C32F54" w:rsidRPr="006A1975" w:rsidRDefault="00C32F54" w:rsidP="00C32F54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26" w:name="_Toc469351589"/>
      <w:r w:rsidRPr="006A1975">
        <w:rPr>
          <w:rFonts w:ascii="Traditional Arabic" w:hAnsi="Traditional Arabic" w:cs="Traditional Arabic" w:hint="cs"/>
          <w:color w:val="FF0000"/>
          <w:rtl/>
        </w:rPr>
        <w:t>گروه دوم</w:t>
      </w:r>
      <w:bookmarkEnd w:id="26"/>
    </w:p>
    <w:p w:rsidR="00C32F54" w:rsidRPr="006A1975" w:rsidRDefault="00C32F54" w:rsidP="00C32F54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گروه و طایف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>دیگر در آیات آنهایی هستند که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أکثر</w:t>
      </w:r>
      <w:r w:rsidRPr="006A1975">
        <w:rPr>
          <w:rFonts w:ascii="Traditional Arabic" w:hAnsi="Traditional Arabic" w:cs="Traditional Arabic" w:hint="cs"/>
          <w:rtl/>
        </w:rPr>
        <w:t>» به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الناس</w:t>
      </w:r>
      <w:r w:rsidRPr="006A1975">
        <w:rPr>
          <w:rFonts w:ascii="Traditional Arabic" w:hAnsi="Traditional Arabic" w:cs="Traditional Arabic" w:hint="cs"/>
          <w:rtl/>
        </w:rPr>
        <w:t>» اضافه نشده است بلکه به گروه</w:t>
      </w:r>
      <w:r w:rsidR="00571ABD" w:rsidRPr="006A1975">
        <w:rPr>
          <w:rFonts w:ascii="Traditional Arabic" w:hAnsi="Traditional Arabic" w:cs="Traditional Arabic" w:hint="cs"/>
          <w:rtl/>
        </w:rPr>
        <w:t>‌ها</w:t>
      </w:r>
      <w:r w:rsidRPr="006A1975">
        <w:rPr>
          <w:rFonts w:ascii="Traditional Arabic" w:hAnsi="Traditional Arabic" w:cs="Traditional Arabic" w:hint="cs"/>
          <w:rtl/>
        </w:rPr>
        <w:t>ی خاصی مضاف شده است</w:t>
      </w:r>
      <w:r w:rsidR="00B20BF0" w:rsidRPr="006A1975">
        <w:rPr>
          <w:rFonts w:ascii="Traditional Arabic" w:hAnsi="Traditional Arabic" w:cs="Traditional Arabic" w:hint="cs"/>
          <w:rtl/>
        </w:rPr>
        <w:t>.</w:t>
      </w:r>
    </w:p>
    <w:p w:rsidR="00B20BF0" w:rsidRPr="006A1975" w:rsidRDefault="00B20BF0" w:rsidP="00C32F54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 xml:space="preserve">در این قسم دوم هم که </w:t>
      </w:r>
      <w:r w:rsidR="00806F12">
        <w:rPr>
          <w:rFonts w:ascii="Traditional Arabic" w:hAnsi="Traditional Arabic" w:cs="Traditional Arabic" w:hint="cs"/>
          <w:rtl/>
        </w:rPr>
        <w:t>مضاف‌الیه</w:t>
      </w:r>
      <w:r w:rsidRPr="006A1975">
        <w:rPr>
          <w:rFonts w:ascii="Traditional Arabic" w:hAnsi="Traditional Arabic" w:cs="Traditional Arabic" w:hint="cs"/>
          <w:rtl/>
        </w:rPr>
        <w:t xml:space="preserve">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أکثر</w:t>
      </w:r>
      <w:r w:rsidRPr="006A1975">
        <w:rPr>
          <w:rFonts w:ascii="Traditional Arabic" w:hAnsi="Traditional Arabic" w:cs="Traditional Arabic" w:hint="cs"/>
          <w:rtl/>
        </w:rPr>
        <w:t>» ناس به معنای عام نیست، در قرآن چند نوع است. یک نوع آن أکثر به اضاف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Pr="006A1975">
        <w:rPr>
          <w:rFonts w:ascii="Traditional Arabic" w:hAnsi="Traditional Arabic" w:cs="Traditional Arabic" w:hint="cs"/>
          <w:rtl/>
        </w:rPr>
        <w:t xml:space="preserve">ضمیر یا غیر ضمیر است که به أهل کتاب </w:t>
      </w:r>
      <w:r w:rsidR="00806F12">
        <w:rPr>
          <w:rFonts w:ascii="Traditional Arabic" w:hAnsi="Traditional Arabic" w:cs="Traditional Arabic"/>
          <w:rtl/>
        </w:rPr>
        <w:t>برم</w:t>
      </w:r>
      <w:r w:rsidR="00806F12">
        <w:rPr>
          <w:rFonts w:ascii="Traditional Arabic" w:hAnsi="Traditional Arabic" w:cs="Traditional Arabic" w:hint="cs"/>
          <w:rtl/>
        </w:rPr>
        <w:t>ی‌</w:t>
      </w:r>
      <w:r w:rsidR="00806F12">
        <w:rPr>
          <w:rFonts w:ascii="Traditional Arabic" w:hAnsi="Traditional Arabic" w:cs="Traditional Arabic" w:hint="eastAsia"/>
          <w:rtl/>
        </w:rPr>
        <w:t>گردد</w:t>
      </w:r>
      <w:r w:rsidRPr="006A1975">
        <w:rPr>
          <w:rFonts w:ascii="Traditional Arabic" w:hAnsi="Traditional Arabic" w:cs="Traditional Arabic" w:hint="cs"/>
          <w:rtl/>
        </w:rPr>
        <w:t xml:space="preserve"> و </w:t>
      </w:r>
      <w:r w:rsidR="004325B6" w:rsidRPr="006A1975">
        <w:rPr>
          <w:rFonts w:ascii="Traditional Arabic" w:hAnsi="Traditional Arabic" w:cs="Traditional Arabic" w:hint="cs"/>
          <w:rtl/>
        </w:rPr>
        <w:t xml:space="preserve">آیات </w:t>
      </w:r>
      <w:r w:rsidR="00F64F11">
        <w:rPr>
          <w:rFonts w:ascii="Traditional Arabic" w:hAnsi="Traditional Arabic" w:cs="Traditional Arabic" w:hint="cs"/>
          <w:rtl/>
        </w:rPr>
        <w:t>این‌چنینی</w:t>
      </w:r>
      <w:r w:rsidR="004325B6" w:rsidRPr="006A1975">
        <w:rPr>
          <w:rFonts w:ascii="Traditional Arabic" w:hAnsi="Traditional Arabic" w:cs="Traditional Arabic" w:hint="cs"/>
          <w:rtl/>
        </w:rPr>
        <w:t xml:space="preserve"> است که مقصود اهل کتاب</w:t>
      </w:r>
      <w:r w:rsidR="00571ABD" w:rsidRPr="006A1975">
        <w:rPr>
          <w:rFonts w:ascii="Traditional Arabic" w:hAnsi="Traditional Arabic" w:cs="Traditional Arabic" w:hint="cs"/>
          <w:rtl/>
        </w:rPr>
        <w:t xml:space="preserve"> می‌</w:t>
      </w:r>
      <w:r w:rsidR="004325B6" w:rsidRPr="006A1975">
        <w:rPr>
          <w:rFonts w:ascii="Traditional Arabic" w:hAnsi="Traditional Arabic" w:cs="Traditional Arabic" w:hint="cs"/>
          <w:rtl/>
        </w:rPr>
        <w:t>باشند. گاهی اکثر اضافه شده است به جامعه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="004325B6" w:rsidRPr="006A1975">
        <w:rPr>
          <w:rFonts w:ascii="Traditional Arabic" w:hAnsi="Traditional Arabic" w:cs="Traditional Arabic" w:hint="cs"/>
          <w:rtl/>
        </w:rPr>
        <w:t>که پیغمبر اکرم (صلی الله علیه و آله و سلم) در آن عصر با آنها مواجه بود که همان جامع</w:t>
      </w:r>
      <w:r w:rsidR="000237E6">
        <w:rPr>
          <w:rFonts w:ascii="Traditional Arabic" w:hAnsi="Traditional Arabic" w:cs="Traditional Arabic" w:hint="cs"/>
          <w:rtl/>
        </w:rPr>
        <w:t>ه</w:t>
      </w:r>
      <w:r w:rsidR="00571ABD" w:rsidRPr="006A1975">
        <w:rPr>
          <w:rFonts w:ascii="Traditional Arabic" w:hAnsi="Traditional Arabic" w:cs="Traditional Arabic" w:hint="cs"/>
          <w:rtl/>
        </w:rPr>
        <w:t xml:space="preserve"> </w:t>
      </w:r>
      <w:r w:rsidR="004325B6" w:rsidRPr="006A1975">
        <w:rPr>
          <w:rFonts w:ascii="Traditional Arabic" w:hAnsi="Traditional Arabic" w:cs="Traditional Arabic" w:hint="cs"/>
          <w:rtl/>
        </w:rPr>
        <w:t>مکّه و ... باشد</w:t>
      </w:r>
      <w:r w:rsidR="002F3838" w:rsidRPr="006A1975">
        <w:rPr>
          <w:rFonts w:ascii="Traditional Arabic" w:hAnsi="Traditional Arabic" w:cs="Traditional Arabic" w:hint="cs"/>
          <w:rtl/>
        </w:rPr>
        <w:t>.</w:t>
      </w:r>
      <w:bookmarkStart w:id="27" w:name="_GoBack"/>
      <w:bookmarkEnd w:id="27"/>
    </w:p>
    <w:p w:rsidR="002F3838" w:rsidRPr="006A1975" w:rsidRDefault="002F3838" w:rsidP="00C32F54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بنابراین در برخی از آیات -که کم هم نیستند- أکثری که با محمول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لایعلمون</w:t>
      </w:r>
      <w:r w:rsidRPr="006A1975">
        <w:rPr>
          <w:rFonts w:ascii="Traditional Arabic" w:hAnsi="Traditional Arabic" w:cs="Traditional Arabic" w:hint="cs"/>
          <w:rtl/>
        </w:rPr>
        <w:t>» و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لا یشکرون</w:t>
      </w:r>
      <w:r w:rsidRPr="006A1975">
        <w:rPr>
          <w:rFonts w:ascii="Traditional Arabic" w:hAnsi="Traditional Arabic" w:cs="Traditional Arabic" w:hint="cs"/>
          <w:rtl/>
        </w:rPr>
        <w:t>» و ... وجود دارد مضاف به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الناس</w:t>
      </w:r>
      <w:r w:rsidRPr="006A1975">
        <w:rPr>
          <w:rFonts w:ascii="Traditional Arabic" w:hAnsi="Traditional Arabic" w:cs="Traditional Arabic" w:hint="cs"/>
          <w:rtl/>
        </w:rPr>
        <w:t>» است و گروه دوم هم آنهایی هستند که «</w:t>
      </w:r>
      <w:r w:rsidRPr="00806F12">
        <w:rPr>
          <w:rFonts w:ascii="Traditional Arabic" w:hAnsi="Traditional Arabic" w:cs="Traditional Arabic" w:hint="cs"/>
          <w:b/>
          <w:bCs/>
          <w:color w:val="008000"/>
          <w:rtl/>
        </w:rPr>
        <w:t>أکثر</w:t>
      </w:r>
      <w:r w:rsidRPr="006A1975">
        <w:rPr>
          <w:rFonts w:ascii="Traditional Arabic" w:hAnsi="Traditional Arabic" w:cs="Traditional Arabic" w:hint="cs"/>
          <w:rtl/>
        </w:rPr>
        <w:t>» به طوایف خاصّه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‌ای </w:t>
      </w:r>
      <w:r w:rsidRPr="006A1975">
        <w:rPr>
          <w:rFonts w:ascii="Traditional Arabic" w:hAnsi="Traditional Arabic" w:cs="Traditional Arabic" w:hint="cs"/>
          <w:rtl/>
        </w:rPr>
        <w:t>از «ناس» اضافه شده است که این طوایف خاصّه گاهی یهود و نصارا بوده</w:t>
      </w:r>
      <w:r w:rsidR="00571ABD" w:rsidRPr="006A1975">
        <w:rPr>
          <w:rFonts w:ascii="Traditional Arabic" w:hAnsi="Traditional Arabic" w:cs="Traditional Arabic" w:hint="cs"/>
          <w:rtl/>
        </w:rPr>
        <w:t xml:space="preserve">‌اند </w:t>
      </w:r>
      <w:r w:rsidRPr="006A1975">
        <w:rPr>
          <w:rFonts w:ascii="Traditional Arabic" w:hAnsi="Traditional Arabic" w:cs="Traditional Arabic" w:hint="cs"/>
          <w:rtl/>
        </w:rPr>
        <w:t xml:space="preserve">یا </w:t>
      </w:r>
      <w:r w:rsidR="00571ABD" w:rsidRPr="006A1975">
        <w:rPr>
          <w:rFonts w:ascii="Traditional Arabic" w:hAnsi="Traditional Arabic" w:cs="Traditional Arabic" w:hint="cs"/>
          <w:rtl/>
        </w:rPr>
        <w:t>أهل مکه و طوایف دیگری از این قبیل می‌باشند.</w:t>
      </w:r>
    </w:p>
    <w:p w:rsidR="00571ABD" w:rsidRPr="006A1975" w:rsidRDefault="00571ABD" w:rsidP="00C32F54">
      <w:pPr>
        <w:rPr>
          <w:rFonts w:ascii="Traditional Arabic" w:hAnsi="Traditional Arabic" w:cs="Traditional Arabic"/>
          <w:rtl/>
        </w:rPr>
      </w:pPr>
      <w:r w:rsidRPr="006A1975">
        <w:rPr>
          <w:rFonts w:ascii="Traditional Arabic" w:hAnsi="Traditional Arabic" w:cs="Traditional Arabic" w:hint="cs"/>
          <w:rtl/>
        </w:rPr>
        <w:t>این مجموعه آیاتی است که در قرآن در این باب وارد شده است که در جلسات آینده به طور به آن می‌پردازیم.</w:t>
      </w:r>
    </w:p>
    <w:p w:rsidR="00286ADE" w:rsidRPr="006A1975" w:rsidRDefault="00286ADE" w:rsidP="00286ADE">
      <w:pPr>
        <w:rPr>
          <w:rFonts w:ascii="Traditional Arabic" w:hAnsi="Traditional Arabic" w:cs="Traditional Arabic"/>
          <w:rtl/>
        </w:rPr>
      </w:pPr>
    </w:p>
    <w:p w:rsidR="00C9624E" w:rsidRPr="006A1975" w:rsidRDefault="00C9624E" w:rsidP="00D87F0C">
      <w:pPr>
        <w:rPr>
          <w:rFonts w:ascii="Traditional Arabic" w:hAnsi="Traditional Arabic" w:cs="Traditional Arabic"/>
          <w:rtl/>
        </w:rPr>
      </w:pPr>
    </w:p>
    <w:sectPr w:rsidR="00C9624E" w:rsidRPr="006A1975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4D" w:rsidRDefault="001A514D" w:rsidP="000D5800">
      <w:pPr>
        <w:spacing w:after="0"/>
      </w:pPr>
      <w:r>
        <w:separator/>
      </w:r>
    </w:p>
  </w:endnote>
  <w:endnote w:type="continuationSeparator" w:id="0">
    <w:p w:rsidR="001A514D" w:rsidRDefault="001A51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D8" w:rsidRDefault="00DC7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4A0D71" w:rsidRDefault="004A0D7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1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D8" w:rsidRDefault="00DC7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4D" w:rsidRDefault="001A514D" w:rsidP="000D5800">
      <w:pPr>
        <w:spacing w:after="0"/>
      </w:pPr>
      <w:r>
        <w:separator/>
      </w:r>
    </w:p>
  </w:footnote>
  <w:footnote w:type="continuationSeparator" w:id="0">
    <w:p w:rsidR="001A514D" w:rsidRDefault="001A514D" w:rsidP="000D5800">
      <w:pPr>
        <w:spacing w:after="0"/>
      </w:pPr>
      <w:r>
        <w:continuationSeparator/>
      </w:r>
    </w:p>
  </w:footnote>
  <w:footnote w:id="1">
    <w:p w:rsidR="000237E6" w:rsidRDefault="000237E6" w:rsidP="00F64F11">
      <w:pPr>
        <w:pStyle w:val="FootnoteText"/>
        <w:rPr>
          <w:rFonts w:hint="cs"/>
          <w:rtl/>
        </w:rPr>
      </w:pPr>
      <w:r w:rsidRPr="000237E6">
        <w:footnoteRef/>
      </w:r>
      <w:r>
        <w:rPr>
          <w:rtl/>
        </w:rPr>
        <w:t xml:space="preserve"> </w:t>
      </w:r>
      <w:r w:rsidR="00F64F11">
        <w:rPr>
          <w:rFonts w:hint="cs"/>
          <w:rtl/>
        </w:rPr>
        <w:t xml:space="preserve">سوره </w:t>
      </w:r>
      <w:r>
        <w:rPr>
          <w:rFonts w:hint="cs"/>
          <w:rtl/>
        </w:rPr>
        <w:t>منافقون</w:t>
      </w:r>
      <w:r w:rsidR="00F64F11">
        <w:rPr>
          <w:rFonts w:hint="cs"/>
          <w:rtl/>
        </w:rPr>
        <w:t xml:space="preserve">، </w:t>
      </w:r>
      <w:r>
        <w:rPr>
          <w:rFonts w:hint="cs"/>
          <w:rtl/>
        </w:rPr>
        <w:t>8.</w:t>
      </w:r>
    </w:p>
  </w:footnote>
  <w:footnote w:id="2">
    <w:p w:rsidR="00F64F11" w:rsidRDefault="00F64F1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سوره شوری، 38.</w:t>
      </w:r>
    </w:p>
  </w:footnote>
  <w:footnote w:id="3">
    <w:p w:rsidR="00617ABE" w:rsidRDefault="00617ABE" w:rsidP="00617AB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روم، آیه 6 و 30 </w:t>
      </w:r>
      <w:r>
        <w:rPr>
          <w:rtl/>
        </w:rPr>
        <w:t>–</w:t>
      </w:r>
      <w:r>
        <w:rPr>
          <w:rFonts w:hint="cs"/>
          <w:rtl/>
        </w:rPr>
        <w:t xml:space="preserve"> سبأ، 28و 36 </w:t>
      </w:r>
      <w:r>
        <w:rPr>
          <w:rtl/>
        </w:rPr>
        <w:t>–</w:t>
      </w:r>
      <w:r>
        <w:rPr>
          <w:rFonts w:hint="cs"/>
          <w:rtl/>
        </w:rPr>
        <w:t xml:space="preserve"> غافر، 57 </w:t>
      </w:r>
      <w:r>
        <w:rPr>
          <w:rtl/>
        </w:rPr>
        <w:t>–</w:t>
      </w:r>
      <w:r>
        <w:rPr>
          <w:rFonts w:hint="cs"/>
          <w:rtl/>
        </w:rPr>
        <w:t xml:space="preserve"> جاثیه ، 26 </w:t>
      </w:r>
      <w:r>
        <w:rPr>
          <w:rtl/>
        </w:rPr>
        <w:t>–</w:t>
      </w:r>
      <w:r>
        <w:rPr>
          <w:rFonts w:hint="cs"/>
          <w:rtl/>
        </w:rPr>
        <w:t xml:space="preserve"> نحل، 38- یوسف، 21 و 40 و 68 </w:t>
      </w:r>
      <w:r>
        <w:rPr>
          <w:rtl/>
        </w:rPr>
        <w:t>–</w:t>
      </w:r>
      <w:r>
        <w:rPr>
          <w:rFonts w:hint="cs"/>
          <w:rtl/>
        </w:rPr>
        <w:t xml:space="preserve"> اعراف، 187</w:t>
      </w:r>
    </w:p>
  </w:footnote>
  <w:footnote w:id="4">
    <w:p w:rsidR="00617ABE" w:rsidRDefault="00617ABE" w:rsidP="00617AB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مائده،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عنکبوت، 63 </w:t>
      </w:r>
      <w:r>
        <w:rPr>
          <w:rtl/>
        </w:rPr>
        <w:t>–</w:t>
      </w:r>
      <w:r>
        <w:rPr>
          <w:rFonts w:hint="cs"/>
          <w:rtl/>
        </w:rPr>
        <w:t xml:space="preserve"> حجرات، 4</w:t>
      </w:r>
    </w:p>
  </w:footnote>
  <w:footnote w:id="5">
    <w:p w:rsidR="00617ABE" w:rsidRDefault="00617AB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یونس، آیه 60 </w:t>
      </w:r>
      <w:r>
        <w:rPr>
          <w:rtl/>
        </w:rPr>
        <w:t>–</w:t>
      </w:r>
      <w:r>
        <w:rPr>
          <w:rFonts w:hint="cs"/>
          <w:rtl/>
        </w:rPr>
        <w:t xml:space="preserve"> نمل، 73 - </w:t>
      </w:r>
    </w:p>
  </w:footnote>
  <w:footnote w:id="6">
    <w:p w:rsidR="00617ABE" w:rsidRDefault="00617AB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هود، آیه 17 </w:t>
      </w:r>
      <w:r>
        <w:rPr>
          <w:rtl/>
        </w:rPr>
        <w:t>–</w:t>
      </w:r>
      <w:r>
        <w:rPr>
          <w:rFonts w:hint="cs"/>
          <w:rtl/>
        </w:rPr>
        <w:t xml:space="preserve"> رعد، 1 </w:t>
      </w:r>
      <w:r>
        <w:rPr>
          <w:rtl/>
        </w:rPr>
        <w:t>–</w:t>
      </w:r>
      <w:r>
        <w:rPr>
          <w:rFonts w:hint="cs"/>
          <w:rtl/>
        </w:rPr>
        <w:t xml:space="preserve"> غافر، 59 - </w:t>
      </w:r>
    </w:p>
  </w:footnote>
  <w:footnote w:id="7">
    <w:p w:rsidR="00A2167B" w:rsidRDefault="00A2167B" w:rsidP="00A216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 xml:space="preserve">روم، آیه 6 و 30 </w:t>
      </w:r>
      <w:r>
        <w:rPr>
          <w:rtl/>
        </w:rPr>
        <w:t>–</w:t>
      </w:r>
      <w:r>
        <w:rPr>
          <w:rFonts w:hint="cs"/>
          <w:rtl/>
        </w:rPr>
        <w:t xml:space="preserve"> سبأ، 28و 36 </w:t>
      </w:r>
      <w:r>
        <w:rPr>
          <w:rtl/>
        </w:rPr>
        <w:t>–</w:t>
      </w:r>
      <w:r>
        <w:rPr>
          <w:rFonts w:hint="cs"/>
          <w:rtl/>
        </w:rPr>
        <w:t xml:space="preserve"> غافر، 57 </w:t>
      </w:r>
      <w:r>
        <w:rPr>
          <w:rtl/>
        </w:rPr>
        <w:t>–</w:t>
      </w:r>
      <w:r>
        <w:rPr>
          <w:rFonts w:hint="cs"/>
          <w:rtl/>
        </w:rPr>
        <w:t xml:space="preserve"> جاثیه ، 26 </w:t>
      </w:r>
      <w:r>
        <w:rPr>
          <w:rtl/>
        </w:rPr>
        <w:t>–</w:t>
      </w:r>
      <w:r>
        <w:rPr>
          <w:rFonts w:hint="cs"/>
          <w:rtl/>
        </w:rPr>
        <w:t xml:space="preserve"> نحل، 38- یوسف، 21 و 40 و 68 </w:t>
      </w:r>
      <w:r>
        <w:rPr>
          <w:rtl/>
        </w:rPr>
        <w:t>–</w:t>
      </w:r>
      <w:r>
        <w:rPr>
          <w:rFonts w:hint="cs"/>
          <w:rtl/>
        </w:rPr>
        <w:t xml:space="preserve"> اعراف، 187</w:t>
      </w:r>
    </w:p>
  </w:footnote>
  <w:footnote w:id="8">
    <w:p w:rsidR="00A85D97" w:rsidRDefault="00A85D9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حدید، آیه 27</w:t>
      </w:r>
    </w:p>
  </w:footnote>
  <w:footnote w:id="9">
    <w:p w:rsidR="00A85D97" w:rsidRDefault="00A85D9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یوسف، آیه 103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D8" w:rsidRDefault="00DC7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42" w:rsidRDefault="00617342" w:rsidP="00DC73D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 w:rsidR="00DC73D8"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617342" w:rsidRDefault="00617342" w:rsidP="00617342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شورایی/سیره عقلائیه)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24</w:t>
    </w:r>
    <w:r>
      <w:rPr>
        <w:rFonts w:ascii="Adobe Arabic" w:eastAsiaTheme="minorHAnsi" w:hAnsi="Adobe Arabic" w:cs="Adobe Arabic" w:hint="cs"/>
        <w:rtl/>
      </w:rPr>
      <w:t>3</w:t>
    </w:r>
  </w:p>
  <w:p w:rsidR="004A0D71" w:rsidRPr="00873379" w:rsidRDefault="004A0D71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766FC3A3" wp14:editId="38B129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12DB05" id="Straight Connector 2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D8" w:rsidRDefault="00DC7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547"/>
    <w:multiLevelType w:val="hybridMultilevel"/>
    <w:tmpl w:val="1BFCD2C8"/>
    <w:lvl w:ilvl="0" w:tplc="C7C69A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6"/>
    <w:rsid w:val="000162CE"/>
    <w:rsid w:val="000228A2"/>
    <w:rsid w:val="000237E6"/>
    <w:rsid w:val="000324F1"/>
    <w:rsid w:val="00041FE0"/>
    <w:rsid w:val="00044939"/>
    <w:rsid w:val="00047BBE"/>
    <w:rsid w:val="00052BA3"/>
    <w:rsid w:val="0006363E"/>
    <w:rsid w:val="00080DFF"/>
    <w:rsid w:val="00085ED5"/>
    <w:rsid w:val="000A1A51"/>
    <w:rsid w:val="000B6E76"/>
    <w:rsid w:val="000D2D0D"/>
    <w:rsid w:val="000D5800"/>
    <w:rsid w:val="000F1897"/>
    <w:rsid w:val="000F7E72"/>
    <w:rsid w:val="00101E2D"/>
    <w:rsid w:val="00102405"/>
    <w:rsid w:val="00102CEB"/>
    <w:rsid w:val="001116CF"/>
    <w:rsid w:val="00117955"/>
    <w:rsid w:val="00133E1D"/>
    <w:rsid w:val="0013617D"/>
    <w:rsid w:val="00136442"/>
    <w:rsid w:val="001368D2"/>
    <w:rsid w:val="00150D4B"/>
    <w:rsid w:val="00152670"/>
    <w:rsid w:val="00161427"/>
    <w:rsid w:val="00166DD8"/>
    <w:rsid w:val="001712D6"/>
    <w:rsid w:val="001757C8"/>
    <w:rsid w:val="00177934"/>
    <w:rsid w:val="00192A6A"/>
    <w:rsid w:val="00197CDD"/>
    <w:rsid w:val="001A514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03EBB"/>
    <w:rsid w:val="0021487B"/>
    <w:rsid w:val="00224C0A"/>
    <w:rsid w:val="00233777"/>
    <w:rsid w:val="00234413"/>
    <w:rsid w:val="002376A5"/>
    <w:rsid w:val="002409CC"/>
    <w:rsid w:val="002417C9"/>
    <w:rsid w:val="002529C5"/>
    <w:rsid w:val="002671CC"/>
    <w:rsid w:val="00270294"/>
    <w:rsid w:val="00286ADE"/>
    <w:rsid w:val="002914BD"/>
    <w:rsid w:val="00297263"/>
    <w:rsid w:val="002B7AD5"/>
    <w:rsid w:val="002C56FD"/>
    <w:rsid w:val="002D1652"/>
    <w:rsid w:val="002D49E4"/>
    <w:rsid w:val="002D4DCA"/>
    <w:rsid w:val="002E450B"/>
    <w:rsid w:val="002E73F9"/>
    <w:rsid w:val="002F05B9"/>
    <w:rsid w:val="002F3838"/>
    <w:rsid w:val="0030718D"/>
    <w:rsid w:val="00340BA3"/>
    <w:rsid w:val="00353F79"/>
    <w:rsid w:val="00366400"/>
    <w:rsid w:val="00395600"/>
    <w:rsid w:val="003963D7"/>
    <w:rsid w:val="00396F28"/>
    <w:rsid w:val="003A1A05"/>
    <w:rsid w:val="003A2654"/>
    <w:rsid w:val="003A44A5"/>
    <w:rsid w:val="003C06BF"/>
    <w:rsid w:val="003C15E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30C31"/>
    <w:rsid w:val="004325B6"/>
    <w:rsid w:val="0044591E"/>
    <w:rsid w:val="004476F0"/>
    <w:rsid w:val="00455B91"/>
    <w:rsid w:val="00457C03"/>
    <w:rsid w:val="004651D2"/>
    <w:rsid w:val="00465D26"/>
    <w:rsid w:val="00467608"/>
    <w:rsid w:val="004679F8"/>
    <w:rsid w:val="0047536D"/>
    <w:rsid w:val="004A0D71"/>
    <w:rsid w:val="004A4ECE"/>
    <w:rsid w:val="004B337F"/>
    <w:rsid w:val="004B60A6"/>
    <w:rsid w:val="004D3543"/>
    <w:rsid w:val="004D6E92"/>
    <w:rsid w:val="004E3A23"/>
    <w:rsid w:val="004F3596"/>
    <w:rsid w:val="00505666"/>
    <w:rsid w:val="00512D6B"/>
    <w:rsid w:val="00516274"/>
    <w:rsid w:val="00530FD7"/>
    <w:rsid w:val="00571ABD"/>
    <w:rsid w:val="00572E2D"/>
    <w:rsid w:val="00592103"/>
    <w:rsid w:val="005941DD"/>
    <w:rsid w:val="005A545E"/>
    <w:rsid w:val="005A5862"/>
    <w:rsid w:val="005B0852"/>
    <w:rsid w:val="005B2776"/>
    <w:rsid w:val="005C06AE"/>
    <w:rsid w:val="005D0796"/>
    <w:rsid w:val="005E65CD"/>
    <w:rsid w:val="00610C18"/>
    <w:rsid w:val="00612385"/>
    <w:rsid w:val="0061376C"/>
    <w:rsid w:val="00617342"/>
    <w:rsid w:val="00617ABE"/>
    <w:rsid w:val="00636EFA"/>
    <w:rsid w:val="0066229C"/>
    <w:rsid w:val="0069676A"/>
    <w:rsid w:val="0069696C"/>
    <w:rsid w:val="00696C84"/>
    <w:rsid w:val="006A085A"/>
    <w:rsid w:val="006A1975"/>
    <w:rsid w:val="006D3A87"/>
    <w:rsid w:val="006F01B4"/>
    <w:rsid w:val="00734D59"/>
    <w:rsid w:val="0073609B"/>
    <w:rsid w:val="00742828"/>
    <w:rsid w:val="0075033E"/>
    <w:rsid w:val="0075157C"/>
    <w:rsid w:val="00752745"/>
    <w:rsid w:val="0075336C"/>
    <w:rsid w:val="0076665E"/>
    <w:rsid w:val="00771FAF"/>
    <w:rsid w:val="00772185"/>
    <w:rsid w:val="007749BC"/>
    <w:rsid w:val="0077771F"/>
    <w:rsid w:val="00777F97"/>
    <w:rsid w:val="0078004B"/>
    <w:rsid w:val="00780C88"/>
    <w:rsid w:val="00780E25"/>
    <w:rsid w:val="007818F0"/>
    <w:rsid w:val="00783462"/>
    <w:rsid w:val="007877CC"/>
    <w:rsid w:val="00787B13"/>
    <w:rsid w:val="00792FAC"/>
    <w:rsid w:val="007972CA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65F"/>
    <w:rsid w:val="007F4A90"/>
    <w:rsid w:val="00800FA1"/>
    <w:rsid w:val="00803501"/>
    <w:rsid w:val="00805E87"/>
    <w:rsid w:val="00806F12"/>
    <w:rsid w:val="0080799B"/>
    <w:rsid w:val="00807BE3"/>
    <w:rsid w:val="00811F02"/>
    <w:rsid w:val="008407A4"/>
    <w:rsid w:val="00844860"/>
    <w:rsid w:val="00845CC4"/>
    <w:rsid w:val="00855804"/>
    <w:rsid w:val="008644F4"/>
    <w:rsid w:val="00873379"/>
    <w:rsid w:val="008748B8"/>
    <w:rsid w:val="00881138"/>
    <w:rsid w:val="00882FA8"/>
    <w:rsid w:val="00883733"/>
    <w:rsid w:val="0089144E"/>
    <w:rsid w:val="00895473"/>
    <w:rsid w:val="008965D2"/>
    <w:rsid w:val="008A236D"/>
    <w:rsid w:val="008B565A"/>
    <w:rsid w:val="008C3414"/>
    <w:rsid w:val="008D030F"/>
    <w:rsid w:val="008D1873"/>
    <w:rsid w:val="008D36D5"/>
    <w:rsid w:val="008E3903"/>
    <w:rsid w:val="008F63E3"/>
    <w:rsid w:val="00911371"/>
    <w:rsid w:val="00913C3B"/>
    <w:rsid w:val="00915509"/>
    <w:rsid w:val="00927388"/>
    <w:rsid w:val="009274FE"/>
    <w:rsid w:val="00936E8A"/>
    <w:rsid w:val="009401AC"/>
    <w:rsid w:val="009475B7"/>
    <w:rsid w:val="0095758E"/>
    <w:rsid w:val="009613AC"/>
    <w:rsid w:val="009671D0"/>
    <w:rsid w:val="00980643"/>
    <w:rsid w:val="009A42EF"/>
    <w:rsid w:val="009B2E52"/>
    <w:rsid w:val="009B46BC"/>
    <w:rsid w:val="009B61C3"/>
    <w:rsid w:val="009C65A5"/>
    <w:rsid w:val="009C7B4F"/>
    <w:rsid w:val="009F4EB3"/>
    <w:rsid w:val="00A06D48"/>
    <w:rsid w:val="00A20CC6"/>
    <w:rsid w:val="00A2167B"/>
    <w:rsid w:val="00A21834"/>
    <w:rsid w:val="00A241F5"/>
    <w:rsid w:val="00A31C17"/>
    <w:rsid w:val="00A31FDE"/>
    <w:rsid w:val="00A34CCD"/>
    <w:rsid w:val="00A35AC2"/>
    <w:rsid w:val="00A37C77"/>
    <w:rsid w:val="00A41C0F"/>
    <w:rsid w:val="00A5418D"/>
    <w:rsid w:val="00A725C2"/>
    <w:rsid w:val="00A769EE"/>
    <w:rsid w:val="00A810A5"/>
    <w:rsid w:val="00A831C7"/>
    <w:rsid w:val="00A85D97"/>
    <w:rsid w:val="00A87562"/>
    <w:rsid w:val="00A9616A"/>
    <w:rsid w:val="00A96F68"/>
    <w:rsid w:val="00AA2342"/>
    <w:rsid w:val="00AD0304"/>
    <w:rsid w:val="00AD27BE"/>
    <w:rsid w:val="00AD36C7"/>
    <w:rsid w:val="00AF0F1A"/>
    <w:rsid w:val="00B15027"/>
    <w:rsid w:val="00B20BF0"/>
    <w:rsid w:val="00B21CF4"/>
    <w:rsid w:val="00B24300"/>
    <w:rsid w:val="00B5701C"/>
    <w:rsid w:val="00B63F15"/>
    <w:rsid w:val="00B8417F"/>
    <w:rsid w:val="00B87725"/>
    <w:rsid w:val="00B9119B"/>
    <w:rsid w:val="00B969E6"/>
    <w:rsid w:val="00BA51A8"/>
    <w:rsid w:val="00BA5264"/>
    <w:rsid w:val="00BB5F7E"/>
    <w:rsid w:val="00BC26F6"/>
    <w:rsid w:val="00BC4833"/>
    <w:rsid w:val="00BD3122"/>
    <w:rsid w:val="00BD40DA"/>
    <w:rsid w:val="00BE71AC"/>
    <w:rsid w:val="00BF3D67"/>
    <w:rsid w:val="00C160AF"/>
    <w:rsid w:val="00C22299"/>
    <w:rsid w:val="00C2269D"/>
    <w:rsid w:val="00C250CE"/>
    <w:rsid w:val="00C25609"/>
    <w:rsid w:val="00C262D7"/>
    <w:rsid w:val="00C26607"/>
    <w:rsid w:val="00C32AE6"/>
    <w:rsid w:val="00C32F54"/>
    <w:rsid w:val="00C60D75"/>
    <w:rsid w:val="00C64CEA"/>
    <w:rsid w:val="00C650B2"/>
    <w:rsid w:val="00C716FA"/>
    <w:rsid w:val="00C73012"/>
    <w:rsid w:val="00C763DD"/>
    <w:rsid w:val="00C84FC0"/>
    <w:rsid w:val="00C85396"/>
    <w:rsid w:val="00C85DE1"/>
    <w:rsid w:val="00C9244A"/>
    <w:rsid w:val="00C9624E"/>
    <w:rsid w:val="00CB0E5D"/>
    <w:rsid w:val="00CB5DA3"/>
    <w:rsid w:val="00CC3976"/>
    <w:rsid w:val="00CE09B7"/>
    <w:rsid w:val="00CE31E6"/>
    <w:rsid w:val="00CE3B74"/>
    <w:rsid w:val="00CF42E2"/>
    <w:rsid w:val="00CF4D96"/>
    <w:rsid w:val="00CF7916"/>
    <w:rsid w:val="00D158F3"/>
    <w:rsid w:val="00D1636C"/>
    <w:rsid w:val="00D3665C"/>
    <w:rsid w:val="00D508CC"/>
    <w:rsid w:val="00D50F4B"/>
    <w:rsid w:val="00D51B98"/>
    <w:rsid w:val="00D52E79"/>
    <w:rsid w:val="00D60547"/>
    <w:rsid w:val="00D60FC6"/>
    <w:rsid w:val="00D66444"/>
    <w:rsid w:val="00D76353"/>
    <w:rsid w:val="00D83055"/>
    <w:rsid w:val="00D87F0C"/>
    <w:rsid w:val="00D931C3"/>
    <w:rsid w:val="00DA05D1"/>
    <w:rsid w:val="00DA2163"/>
    <w:rsid w:val="00DB28BB"/>
    <w:rsid w:val="00DC4274"/>
    <w:rsid w:val="00DC603F"/>
    <w:rsid w:val="00DC73D8"/>
    <w:rsid w:val="00DD3C0D"/>
    <w:rsid w:val="00DD4864"/>
    <w:rsid w:val="00DD71A2"/>
    <w:rsid w:val="00DE1DC4"/>
    <w:rsid w:val="00DE2F39"/>
    <w:rsid w:val="00E04D33"/>
    <w:rsid w:val="00E0639C"/>
    <w:rsid w:val="00E067E6"/>
    <w:rsid w:val="00E12531"/>
    <w:rsid w:val="00E143B0"/>
    <w:rsid w:val="00E21DDD"/>
    <w:rsid w:val="00E27101"/>
    <w:rsid w:val="00E279C4"/>
    <w:rsid w:val="00E37C4B"/>
    <w:rsid w:val="00E55891"/>
    <w:rsid w:val="00E6283A"/>
    <w:rsid w:val="00E732A3"/>
    <w:rsid w:val="00E81489"/>
    <w:rsid w:val="00E83A85"/>
    <w:rsid w:val="00E90FC4"/>
    <w:rsid w:val="00EA01EC"/>
    <w:rsid w:val="00EA05EC"/>
    <w:rsid w:val="00EA15B0"/>
    <w:rsid w:val="00EA5D97"/>
    <w:rsid w:val="00EB7F36"/>
    <w:rsid w:val="00EC4393"/>
    <w:rsid w:val="00ED35B6"/>
    <w:rsid w:val="00ED7B6D"/>
    <w:rsid w:val="00EE1C07"/>
    <w:rsid w:val="00EE2C91"/>
    <w:rsid w:val="00EE3979"/>
    <w:rsid w:val="00EF138C"/>
    <w:rsid w:val="00F034CE"/>
    <w:rsid w:val="00F10A0F"/>
    <w:rsid w:val="00F304FC"/>
    <w:rsid w:val="00F40284"/>
    <w:rsid w:val="00F64F11"/>
    <w:rsid w:val="00F65F29"/>
    <w:rsid w:val="00F66AB3"/>
    <w:rsid w:val="00F67976"/>
    <w:rsid w:val="00F70BE1"/>
    <w:rsid w:val="00F74ED8"/>
    <w:rsid w:val="00F85929"/>
    <w:rsid w:val="00F91A2A"/>
    <w:rsid w:val="00F91CCC"/>
    <w:rsid w:val="00FB746B"/>
    <w:rsid w:val="00FC0862"/>
    <w:rsid w:val="00FC70FB"/>
    <w:rsid w:val="00FC77CD"/>
    <w:rsid w:val="00FD143D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D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67B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A2167B"/>
    <w:rPr>
      <w:vertAlign w:val="superscript"/>
    </w:rPr>
  </w:style>
  <w:style w:type="character" w:customStyle="1" w:styleId="shtxt">
    <w:name w:val="shtxt"/>
    <w:basedOn w:val="DefaultParagraphFont"/>
    <w:rsid w:val="00617ABE"/>
  </w:style>
  <w:style w:type="character" w:customStyle="1" w:styleId="ayatext">
    <w:name w:val="ayatext"/>
    <w:basedOn w:val="DefaultParagraphFont"/>
    <w:rsid w:val="00617ABE"/>
  </w:style>
  <w:style w:type="character" w:customStyle="1" w:styleId="word">
    <w:name w:val="word"/>
    <w:basedOn w:val="DefaultParagraphFont"/>
    <w:rsid w:val="00617ABE"/>
  </w:style>
  <w:style w:type="character" w:customStyle="1" w:styleId="aye">
    <w:name w:val="aye"/>
    <w:basedOn w:val="DefaultParagraphFont"/>
    <w:rsid w:val="00A8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D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67B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A2167B"/>
    <w:rPr>
      <w:vertAlign w:val="superscript"/>
    </w:rPr>
  </w:style>
  <w:style w:type="character" w:customStyle="1" w:styleId="shtxt">
    <w:name w:val="shtxt"/>
    <w:basedOn w:val="DefaultParagraphFont"/>
    <w:rsid w:val="00617ABE"/>
  </w:style>
  <w:style w:type="character" w:customStyle="1" w:styleId="ayatext">
    <w:name w:val="ayatext"/>
    <w:basedOn w:val="DefaultParagraphFont"/>
    <w:rsid w:val="00617ABE"/>
  </w:style>
  <w:style w:type="character" w:customStyle="1" w:styleId="word">
    <w:name w:val="word"/>
    <w:basedOn w:val="DefaultParagraphFont"/>
    <w:rsid w:val="00617ABE"/>
  </w:style>
  <w:style w:type="character" w:customStyle="1" w:styleId="aye">
    <w:name w:val="aye"/>
    <w:basedOn w:val="DefaultParagraphFont"/>
    <w:rsid w:val="00A8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2E21-9C74-493A-A556-A766B6FC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203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Akbarian</cp:lastModifiedBy>
  <cp:revision>14</cp:revision>
  <dcterms:created xsi:type="dcterms:W3CDTF">2016-12-12T11:07:00Z</dcterms:created>
  <dcterms:modified xsi:type="dcterms:W3CDTF">2016-12-13T07:47:00Z</dcterms:modified>
</cp:coreProperties>
</file>