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C7" w:rsidRDefault="00BB72C7" w:rsidP="00BB72C7">
      <w:pPr>
        <w:rPr>
          <w:rtl/>
        </w:rPr>
      </w:pPr>
      <w:r w:rsidRPr="00BC1FBE">
        <w:rPr>
          <w:rFonts w:hint="cs"/>
          <w:rtl/>
        </w:rPr>
        <w:t>فهرست</w:t>
      </w:r>
      <w:r>
        <w:rPr>
          <w:rFonts w:hint="cs"/>
          <w:rtl/>
        </w:rPr>
        <w:t xml:space="preserve"> مطالب</w:t>
      </w:r>
    </w:p>
    <w:p w:rsidR="00BB72C7" w:rsidRDefault="00BB72C7" w:rsidP="00BB72C7">
      <w:pPr>
        <w:pStyle w:val="TOC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16607518" w:history="1">
        <w:r w:rsidRPr="000F1059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Toc416607518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16607519" w:history="1">
        <w:r w:rsidR="00BB72C7" w:rsidRPr="000F1059">
          <w:rPr>
            <w:rStyle w:val="Hyperlink"/>
            <w:rFonts w:hint="eastAsia"/>
            <w:noProof/>
            <w:rtl/>
          </w:rPr>
          <w:t>اقسام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تفس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ر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Toc416607519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2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16607520" w:history="1">
        <w:r w:rsidR="00BB72C7" w:rsidRPr="000F1059">
          <w:rPr>
            <w:rStyle w:val="Hyperlink"/>
            <w:rFonts w:hint="eastAsia"/>
            <w:noProof/>
            <w:rtl/>
          </w:rPr>
          <w:t>ب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ان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گر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مراحل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اقسام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تفس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ر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Toc416607520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2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16607521" w:history="1"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اول</w:t>
        </w:r>
        <w:r w:rsidR="00BB72C7" w:rsidRPr="000F1059">
          <w:rPr>
            <w:rStyle w:val="Hyperlink"/>
            <w:noProof/>
            <w:rtl/>
          </w:rPr>
          <w:t xml:space="preserve">: </w:t>
        </w:r>
        <w:r w:rsidR="00BB72C7" w:rsidRPr="000F1059">
          <w:rPr>
            <w:rStyle w:val="Hyperlink"/>
            <w:rFonts w:hint="eastAsia"/>
            <w:noProof/>
            <w:rtl/>
          </w:rPr>
          <w:t>بررس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اراده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استعمال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تصد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ق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اول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Toc416607521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2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16607522" w:history="1"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دوم</w:t>
        </w:r>
        <w:r w:rsidR="00BB72C7" w:rsidRPr="000F1059">
          <w:rPr>
            <w:rStyle w:val="Hyperlink"/>
            <w:noProof/>
            <w:rtl/>
          </w:rPr>
          <w:t xml:space="preserve">: </w:t>
        </w:r>
        <w:r w:rsidR="00BB72C7" w:rsidRPr="000F1059">
          <w:rPr>
            <w:rStyle w:val="Hyperlink"/>
            <w:rFonts w:hint="eastAsia"/>
            <w:noProof/>
            <w:rtl/>
          </w:rPr>
          <w:t>بررس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اراده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جد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تصد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ق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ثانو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Toc416607522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3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16607523" w:history="1">
        <w:r w:rsidR="00BB72C7" w:rsidRPr="000F1059">
          <w:rPr>
            <w:rStyle w:val="Hyperlink"/>
            <w:rFonts w:hint="eastAsia"/>
            <w:noProof/>
            <w:rtl/>
          </w:rPr>
          <w:t>محدوده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دامنه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فوق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Toc416607523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3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16607524" w:history="1">
        <w:r w:rsidR="00BB72C7" w:rsidRPr="000F1059">
          <w:rPr>
            <w:rStyle w:val="Hyperlink"/>
            <w:rFonts w:hint="eastAsia"/>
            <w:noProof/>
            <w:rtl/>
          </w:rPr>
          <w:t>دا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ره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فحص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دوم</w:t>
        </w:r>
        <w:r w:rsidR="00BB72C7" w:rsidRPr="000F1059">
          <w:rPr>
            <w:rStyle w:val="Hyperlink"/>
            <w:noProof/>
            <w:rtl/>
          </w:rPr>
          <w:t xml:space="preserve">: </w:t>
        </w:r>
        <w:r w:rsidR="00BB72C7" w:rsidRPr="000F1059">
          <w:rPr>
            <w:rStyle w:val="Hyperlink"/>
            <w:rFonts w:hint="eastAsia"/>
            <w:noProof/>
            <w:rtl/>
          </w:rPr>
          <w:t>ما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حتمل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القر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ن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ه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Toc416607524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4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16607525" w:history="1"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سوم</w:t>
        </w:r>
        <w:r w:rsidR="00BB72C7" w:rsidRPr="000F1059">
          <w:rPr>
            <w:rStyle w:val="Hyperlink"/>
            <w:noProof/>
            <w:rtl/>
          </w:rPr>
          <w:t xml:space="preserve">: </w:t>
        </w:r>
        <w:r w:rsidR="00BB72C7" w:rsidRPr="000F1059">
          <w:rPr>
            <w:rStyle w:val="Hyperlink"/>
            <w:rFonts w:hint="eastAsia"/>
            <w:noProof/>
            <w:rtl/>
          </w:rPr>
          <w:t>تتبع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فحص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ب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ش‌ازحد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متعارف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عقلا</w:t>
        </w:r>
        <w:r w:rsidR="00BB72C7" w:rsidRPr="000F1059">
          <w:rPr>
            <w:rStyle w:val="Hyperlink"/>
            <w:rFonts w:hint="cs"/>
            <w:noProof/>
            <w:rtl/>
          </w:rPr>
          <w:t>یی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Toc416607525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4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16607526" w:history="1">
        <w:r w:rsidR="00BB72C7" w:rsidRPr="000F1059">
          <w:rPr>
            <w:rStyle w:val="Hyperlink"/>
            <w:rFonts w:hint="eastAsia"/>
            <w:noProof/>
            <w:rtl/>
          </w:rPr>
          <w:t>لزوم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تفس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ترت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ب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موضوع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دوم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سوم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Toc416607526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4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16607527" w:history="1">
        <w:r w:rsidR="00BB72C7" w:rsidRPr="000F1059">
          <w:rPr>
            <w:rStyle w:val="Hyperlink"/>
            <w:rFonts w:hint="eastAsia"/>
            <w:noProof/>
            <w:rtl/>
          </w:rPr>
          <w:t>عدم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تق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د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به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واژه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خاص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در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تفس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موضوع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Toc416607527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5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16607528" w:history="1">
        <w:r w:rsidR="00BB72C7" w:rsidRPr="000F1059">
          <w:rPr>
            <w:rStyle w:val="Hyperlink"/>
            <w:rFonts w:hint="eastAsia"/>
            <w:noProof/>
            <w:rtl/>
          </w:rPr>
          <w:t>تفس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ر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آ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به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آ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علامه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طباطبا</w:t>
        </w:r>
        <w:r w:rsidR="00BB72C7" w:rsidRPr="000F1059">
          <w:rPr>
            <w:rStyle w:val="Hyperlink"/>
            <w:rFonts w:hint="cs"/>
            <w:noProof/>
            <w:rtl/>
          </w:rPr>
          <w:t>یی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Toc416607528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6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16607529" w:history="1"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چهارم</w:t>
        </w:r>
        <w:r w:rsidR="00BB72C7" w:rsidRPr="000F1059">
          <w:rPr>
            <w:rStyle w:val="Hyperlink"/>
            <w:noProof/>
            <w:rtl/>
          </w:rPr>
          <w:t xml:space="preserve">: </w:t>
        </w:r>
        <w:r w:rsidR="00BB72C7" w:rsidRPr="000F1059">
          <w:rPr>
            <w:rStyle w:val="Hyperlink"/>
            <w:rFonts w:hint="eastAsia"/>
            <w:noProof/>
            <w:rtl/>
          </w:rPr>
          <w:t>منظومه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ساز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موضوع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ساز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Toc416607529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6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613F9B" w:rsidP="00BB72C7">
      <w:pPr>
        <w:pStyle w:val="TOC2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416607530" w:history="1">
        <w:r w:rsidR="00BB72C7" w:rsidRPr="000F1059">
          <w:rPr>
            <w:rStyle w:val="Hyperlink"/>
            <w:rFonts w:hint="eastAsia"/>
            <w:noProof/>
            <w:rtl/>
          </w:rPr>
          <w:t>مرحله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پنجم</w:t>
        </w:r>
        <w:r w:rsidR="00BB72C7" w:rsidRPr="000F1059">
          <w:rPr>
            <w:rStyle w:val="Hyperlink"/>
            <w:noProof/>
            <w:rtl/>
          </w:rPr>
          <w:t xml:space="preserve">: </w:t>
        </w:r>
        <w:r w:rsidR="00BB72C7" w:rsidRPr="000F1059">
          <w:rPr>
            <w:rStyle w:val="Hyperlink"/>
            <w:rFonts w:hint="eastAsia"/>
            <w:noProof/>
            <w:rtl/>
          </w:rPr>
          <w:t>نظام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ساز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و</w:t>
        </w:r>
        <w:r w:rsidR="00BB72C7" w:rsidRPr="000F1059">
          <w:rPr>
            <w:rStyle w:val="Hyperlink"/>
            <w:noProof/>
            <w:rtl/>
          </w:rPr>
          <w:t xml:space="preserve"> </w:t>
        </w:r>
        <w:r w:rsidR="00BB72C7" w:rsidRPr="000F1059">
          <w:rPr>
            <w:rStyle w:val="Hyperlink"/>
            <w:rFonts w:hint="eastAsia"/>
            <w:noProof/>
            <w:rtl/>
          </w:rPr>
          <w:t>نظر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 w:rsidRPr="000F1059">
          <w:rPr>
            <w:rStyle w:val="Hyperlink"/>
            <w:rFonts w:hint="eastAsia"/>
            <w:noProof/>
            <w:rtl/>
          </w:rPr>
          <w:t>ه‌پرداز</w:t>
        </w:r>
        <w:r w:rsidR="00BB72C7" w:rsidRPr="000F1059">
          <w:rPr>
            <w:rStyle w:val="Hyperlink"/>
            <w:rFonts w:hint="cs"/>
            <w:noProof/>
            <w:rtl/>
          </w:rPr>
          <w:t>ی</w:t>
        </w:r>
        <w:r w:rsidR="00BB72C7">
          <w:rPr>
            <w:noProof/>
            <w:webHidden/>
            <w:rtl/>
          </w:rPr>
          <w:tab/>
        </w:r>
        <w:r w:rsidR="00BB72C7">
          <w:rPr>
            <w:rStyle w:val="Hyperlink"/>
            <w:noProof/>
            <w:rtl/>
          </w:rPr>
          <w:fldChar w:fldCharType="begin"/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noProof/>
            <w:webHidden/>
          </w:rPr>
          <w:instrText>PAGEREF</w:instrText>
        </w:r>
        <w:r w:rsidR="00BB72C7">
          <w:rPr>
            <w:noProof/>
            <w:webHidden/>
            <w:rtl/>
          </w:rPr>
          <w:instrText xml:space="preserve"> _</w:instrText>
        </w:r>
        <w:r w:rsidR="00BB72C7">
          <w:rPr>
            <w:noProof/>
            <w:webHidden/>
          </w:rPr>
          <w:instrText>Toc416607530 \h</w:instrText>
        </w:r>
        <w:r w:rsidR="00BB72C7">
          <w:rPr>
            <w:noProof/>
            <w:webHidden/>
            <w:rtl/>
          </w:rPr>
          <w:instrText xml:space="preserve"> </w:instrText>
        </w:r>
        <w:r w:rsidR="00BB72C7">
          <w:rPr>
            <w:rStyle w:val="Hyperlink"/>
            <w:noProof/>
            <w:rtl/>
          </w:rPr>
        </w:r>
        <w:r w:rsidR="00BB72C7">
          <w:rPr>
            <w:rStyle w:val="Hyperlink"/>
            <w:noProof/>
            <w:rtl/>
          </w:rPr>
          <w:fldChar w:fldCharType="separate"/>
        </w:r>
        <w:r w:rsidR="00BB72C7">
          <w:rPr>
            <w:noProof/>
            <w:webHidden/>
            <w:rtl/>
          </w:rPr>
          <w:t>6</w:t>
        </w:r>
        <w:r w:rsidR="00BB72C7">
          <w:rPr>
            <w:rStyle w:val="Hyperlink"/>
            <w:noProof/>
            <w:rtl/>
          </w:rPr>
          <w:fldChar w:fldCharType="end"/>
        </w:r>
      </w:hyperlink>
    </w:p>
    <w:p w:rsidR="00BB72C7" w:rsidRDefault="00BB72C7" w:rsidP="00BB72C7">
      <w:pPr>
        <w:rPr>
          <w:rtl/>
        </w:rPr>
      </w:pPr>
      <w:r>
        <w:rPr>
          <w:rtl/>
        </w:rPr>
        <w:fldChar w:fldCharType="end"/>
      </w:r>
    </w:p>
    <w:p w:rsidR="00BB72C7" w:rsidRDefault="00BB72C7" w:rsidP="00BB72C7">
      <w:pPr>
        <w:ind w:firstLine="0"/>
        <w:jc w:val="center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بسم الله الرحمن الرحيم</w:t>
      </w:r>
    </w:p>
    <w:p w:rsidR="00BB72C7" w:rsidRPr="00C03C50" w:rsidRDefault="00BB72C7" w:rsidP="00BB72C7">
      <w:pPr>
        <w:pStyle w:val="Heading1"/>
        <w:rPr>
          <w:rtl/>
        </w:rPr>
      </w:pPr>
      <w:bookmarkStart w:id="0" w:name="_Toc416607518"/>
      <w:r w:rsidRPr="00C03C50">
        <w:rPr>
          <w:rFonts w:hint="cs"/>
          <w:rtl/>
        </w:rPr>
        <w:t>مقدمه</w:t>
      </w:r>
      <w:bookmarkEnd w:id="0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 xml:space="preserve">بحث در مورد وظایف فقهی والدین در آموزش فرزندان بود آیات مرتبط با محل بحث در جلسه قبل مطرح و موردبررسی قرار گرفت. قبل از جمع‌بندی آیات </w:t>
      </w:r>
      <w:r w:rsidRPr="00C03C50">
        <w:rPr>
          <w:rtl/>
        </w:rPr>
        <w:t>استطراداً</w:t>
      </w:r>
      <w:r w:rsidRPr="00C03C50">
        <w:rPr>
          <w:rFonts w:hint="cs"/>
          <w:rtl/>
        </w:rPr>
        <w:t xml:space="preserve"> چند موضوع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مسئله مهم در تفسیر را که جزء متد و قواعد و اصول تفسیر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می‌باشد مطرح می‌کنیم. مطالبی در جلسه قبل بیان شد که به تکمیل آن‌ها می‌پردازیم.</w:t>
      </w:r>
    </w:p>
    <w:p w:rsidR="00BB72C7" w:rsidRPr="00C03C50" w:rsidRDefault="00BB72C7" w:rsidP="00BB72C7">
      <w:pPr>
        <w:ind w:firstLine="0"/>
        <w:rPr>
          <w:rtl/>
        </w:rPr>
      </w:pPr>
    </w:p>
    <w:p w:rsidR="00BB72C7" w:rsidRPr="00C03C50" w:rsidRDefault="00BB72C7" w:rsidP="00BB72C7">
      <w:pPr>
        <w:pStyle w:val="Heading1"/>
        <w:rPr>
          <w:rtl/>
        </w:rPr>
      </w:pPr>
      <w:bookmarkStart w:id="1" w:name="_Toc416607519"/>
      <w:r w:rsidRPr="00C03C50">
        <w:rPr>
          <w:rFonts w:hint="cs"/>
          <w:rtl/>
        </w:rPr>
        <w:t>اقسام تفسیر</w:t>
      </w:r>
      <w:bookmarkEnd w:id="1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>همان‌طور که در جلسه قبل بیان کردیم، تفسیر را به ترتیبی، موضوعی و موضوعی به معنای خاصی که شهید صدر مطرح کرده‌اند، تقسیم کرده‌اند.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تفسیر یک متن چه قرآن باشد و چه متون دیگر،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دو روش عام دارد یک روش این است که موضوع و محمول مانند مباحثی که در مورد استعاذه، توحید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نبوت شده است،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به‌وضوح در متن آمده باشند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هر دو از متن با دلالت مطابقی یا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التزامی استفاده شوند و روش دیگر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این است که موضوعات جدید و نوین بر متون عرضه شوند و حکم آن موضوعات، از آن متون و طبق اصول و قواعد، استفاده شود. به نظر ما این روش دوم هم در توصیفیات جاری می‌باشد و هم در تجویزیات جاری می‌باشد منتها گاهی می‌توان حکم آن را از متون استفاده کرد و گاهی نمی‌توان حکم آن را متون استفاده کرد.</w:t>
      </w:r>
    </w:p>
    <w:p w:rsidR="00BB72C7" w:rsidRPr="00C03C50" w:rsidRDefault="00BB72C7" w:rsidP="00BB72C7">
      <w:pPr>
        <w:pStyle w:val="Heading1"/>
        <w:rPr>
          <w:rtl/>
        </w:rPr>
      </w:pPr>
      <w:bookmarkStart w:id="2" w:name="_Toc416607520"/>
      <w:r w:rsidRPr="00C03C50">
        <w:rPr>
          <w:rFonts w:hint="cs"/>
          <w:rtl/>
        </w:rPr>
        <w:t>بیانی دیگر در مراحل و اقسام تفسیر</w:t>
      </w:r>
      <w:bookmarkEnd w:id="2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>در تکمیل مباحثی که در اقسام تفسیر در جلسه قبل بیان شد به بیانی دیگر به بررسی اقسام و مراحل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تفسیر می‌پردازیم.</w:t>
      </w:r>
    </w:p>
    <w:p w:rsidR="00BB72C7" w:rsidRPr="00C03C50" w:rsidRDefault="00BB72C7" w:rsidP="0014219B">
      <w:pPr>
        <w:pStyle w:val="Heading2"/>
        <w:rPr>
          <w:rtl/>
        </w:rPr>
      </w:pPr>
      <w:bookmarkStart w:id="3" w:name="_Toc416607521"/>
      <w:r w:rsidRPr="0014219B">
        <w:rPr>
          <w:rFonts w:hint="cs"/>
          <w:rtl/>
        </w:rPr>
        <w:t>مرحله</w:t>
      </w:r>
      <w:r w:rsidRPr="00C03C50">
        <w:rPr>
          <w:rFonts w:hint="cs"/>
          <w:rtl/>
        </w:rPr>
        <w:t xml:space="preserve"> اول: بررسی اراده استعمالی و تصدیقیه اولی</w:t>
      </w:r>
      <w:bookmarkEnd w:id="3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>گام اول و مرحله اول در تفسیر که تک گزاره‌ای است، این است که یک آیه به‌صورت مستقل و به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همراه قرائن متصله و فارغ از قرائن منفصله بررسی شود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 xml:space="preserve">یعنی خود آیه با قرائن متصله در چارچوب لغت، قواعد ادبی و لبی </w:t>
      </w:r>
      <w:r w:rsidRPr="00C03C50">
        <w:rPr>
          <w:rFonts w:hint="cs"/>
          <w:rtl/>
        </w:rPr>
        <w:lastRenderedPageBreak/>
        <w:t>واضح بررسی شود که نتیجه‌این بررسی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طبق آنچه در اصول تعبیر می‌کنند به دست آوردن مدلول استعمالی آیه شریفه و یا به تعبیری دیگر دلالت تصدیقیه اولی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می‌باشد که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مدلول اولیه و هسته اولیه معنا محسوب می‌شود. نتیجه‌ای که در این مرحله به دست می‌آید،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نمی‌تواند مدلول جدی و نهایی آیه محسوب شود. این مرحله و مراحل بعدی مختص به آیات قرآن کریم نیست بلکه هم در آیات و هم در روایات و هم در متون دیگر جاری می‌باشد.</w:t>
      </w:r>
    </w:p>
    <w:p w:rsidR="00BB72C7" w:rsidRPr="00C03C50" w:rsidRDefault="00BB72C7" w:rsidP="00BB72C7">
      <w:pPr>
        <w:pStyle w:val="Heading2"/>
        <w:rPr>
          <w:rtl/>
        </w:rPr>
      </w:pPr>
      <w:bookmarkStart w:id="4" w:name="_Toc416607522"/>
      <w:r w:rsidRPr="00C03C50">
        <w:rPr>
          <w:rFonts w:hint="cs"/>
          <w:rtl/>
        </w:rPr>
        <w:t>مرحله دوم: بررسی اراده جدی و تصدیقیه ثانوی</w:t>
      </w:r>
      <w:bookmarkEnd w:id="4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>گام دوم و مرحله دوم تفسیر این است که مدلول استعمالی آیه در کنار قرائن منفصل و ادله لبی غیر بدیهی قرار گیرد و بررسی شود. قرائن منفصل عبارت‌اند ازآنچه مفسر و حاکم یا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وارد و مقید و یا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مخصص و معارض یک جمله و آیه می‌باشند. پس مرحله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دوم فراتر از مرحله اول که تک گزاره‌ای بود، می‌باشد و قرائن منفصل و ادله لبی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در کلام گوینده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نیز باید ملاحظه شود و باید دید که آیا در کلام گوینده قرائن منفصله شش‌گانه‌ای که بیان شد وجود دارد یا اینکه وجود ندارد. نتیجه و مدلول به‌دست‌آمده در این مرحله این است که از مدلول و اراده استعمالی گوینده در مرحله اول به اراده جدی متکلم که حجت می‌باشد و یا به تعبیر شهید صدر از دلالت تصدیقیه اولی به دلالت تصدیقیه ثانی که حجت می‌باشد منتقل می‌شویم.</w:t>
      </w:r>
    </w:p>
    <w:p w:rsidR="00BB72C7" w:rsidRPr="00C03C50" w:rsidRDefault="00BB72C7" w:rsidP="00BB72C7">
      <w:pPr>
        <w:pStyle w:val="Heading3"/>
        <w:rPr>
          <w:rtl/>
        </w:rPr>
      </w:pPr>
      <w:bookmarkStart w:id="5" w:name="_Toc416607523"/>
      <w:r w:rsidRPr="00C03C50">
        <w:rPr>
          <w:rFonts w:hint="cs"/>
          <w:rtl/>
        </w:rPr>
        <w:t>محدوده و دامنه دو مرحله فوق</w:t>
      </w:r>
      <w:bookmarkEnd w:id="5"/>
    </w:p>
    <w:p w:rsidR="00BB72C7" w:rsidRPr="00C03C50" w:rsidRDefault="00BB72C7" w:rsidP="00BB72C7">
      <w:pPr>
        <w:ind w:firstLine="0"/>
        <w:rPr>
          <w:rtl/>
        </w:rPr>
      </w:pPr>
      <w:bookmarkStart w:id="6" w:name="_GoBack"/>
      <w:r w:rsidRPr="00C03C50">
        <w:rPr>
          <w:rFonts w:hint="cs"/>
          <w:rtl/>
        </w:rPr>
        <w:t xml:space="preserve"> پس مرحله اول و گام اول تفسیر یک مرحله تک گزاره‌ای است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در محدوده قرائن متصله و قرائن بدیهی و حافه به کلام است و نتیجه آن دلالت تصدیقیه اولی و اراده استعمالی است اما مرحله دوم و گام دوم در تفسیر باز کردن دامنه تفسیر و حوزه صبر و استقراء و تفحص بیشتر گزاره‌ها و بررسی ادله و قرائن منفصل در شش محور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مفسر و حاکم یا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وارد و مقید و یا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مخصص و معارض تا آنجا که احتمال عقلایی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وجود دارد می‌باشد. دایره اجتهاد هم نیز بر همین است که تا جایی احتمال عقلایی در وجود قرائن و ادله، داده می‌شود باید فحص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تتبع کرد و اجتهاد شخصی که بیشتر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 xml:space="preserve">به دنبال حوزه‌های مرتبط با موضوع برود، عمیق‌تر می‌باشد و آنچه در باب اجتهاد به‌عنوان استفراغ وسع گفته می‌شود همین مطالبی است که بیان شد یعنی استفراغ وسع در مرحله اول به معنای تتبع در محدوده لغت و قواعد ادبی و قرائن متصل می‌باشد اما استفراغ وسع در مرحله دوم این است که علاوه بر مرحله اول به بررسی </w:t>
      </w:r>
      <w:r w:rsidRPr="00C03C50">
        <w:rPr>
          <w:rFonts w:hint="cs"/>
          <w:rtl/>
        </w:rPr>
        <w:lastRenderedPageBreak/>
        <w:t>قرائن منفصل و ادله لبی و عقلی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 xml:space="preserve">غیر بدیهی نیز پرداخته شود مانند آنچه ممکن است در تفسیر آیه </w:t>
      </w:r>
      <w:r w:rsidRPr="00C03C50">
        <w:rPr>
          <w:b/>
          <w:bCs/>
          <w:rtl/>
        </w:rPr>
        <w:t>«</w:t>
      </w:r>
      <w:r w:rsidRPr="00C03C50">
        <w:rPr>
          <w:rFonts w:hint="cs"/>
          <w:b/>
          <w:bCs/>
          <w:rtl/>
        </w:rPr>
        <w:t>الرَّحْمنُ عَلَى الْعَرْشِ اسْتَوَى</w:t>
      </w:r>
      <w:r w:rsidRPr="00C03C50">
        <w:rPr>
          <w:b/>
          <w:bCs/>
          <w:rtl/>
        </w:rPr>
        <w:t>»</w:t>
      </w:r>
      <w:r w:rsidRPr="00C03C50">
        <w:rPr>
          <w:rFonts w:hint="cs"/>
          <w:b/>
          <w:bCs/>
          <w:rtl/>
        </w:rPr>
        <w:t xml:space="preserve"> </w:t>
      </w:r>
      <w:r w:rsidRPr="00C03C50">
        <w:rPr>
          <w:rFonts w:hint="cs"/>
          <w:b/>
          <w:bCs/>
          <w:i/>
          <w:iCs/>
          <w:rtl/>
        </w:rPr>
        <w:t>طه‏ / 5</w:t>
      </w:r>
      <w:r w:rsidRPr="00C03C50">
        <w:rPr>
          <w:rFonts w:hint="cs"/>
          <w:rtl/>
        </w:rPr>
        <w:t xml:space="preserve"> مطرح شود.</w:t>
      </w:r>
    </w:p>
    <w:p w:rsidR="00BB72C7" w:rsidRPr="00C03C50" w:rsidRDefault="00BB72C7" w:rsidP="00BB72C7">
      <w:pPr>
        <w:pStyle w:val="Heading3"/>
        <w:rPr>
          <w:rtl/>
        </w:rPr>
      </w:pPr>
      <w:bookmarkStart w:id="7" w:name="_Toc416607524"/>
      <w:bookmarkEnd w:id="6"/>
      <w:r w:rsidRPr="00C03C50">
        <w:rPr>
          <w:rFonts w:hint="cs"/>
          <w:rtl/>
        </w:rPr>
        <w:t>دایره فحص در مرحله دوم: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ما یحتمل القرینیه</w:t>
      </w:r>
      <w:bookmarkEnd w:id="7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>مطلبی که در مرحله دوم وجود دارد این است که دایره فحص از قرائن منفصل و ادله لبی در این مرحله، ما یحتمل القرینیه می‌باشد یعنی تا حد متعارفی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که عقلا احتمال وجود قرینه و دلیل را می‌دهند باید فحص و تتبع کرد البته این مطلب در زمان‌ها و مکانه‌ای مختلف متفاوت می‌باشد به‌طور مثال امروز ه که نرم‌افزارهای علمی وجود دارد، ضمن آنکه تفحص آسان‌تر شده است،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نمی‌توان در حدی که در قدیم تفحص می‌کردند، تفحص کرد بلکه باید به‌طور گسترده‌تری تفحص صورت بگیرد و دامنه تفحص و تتبع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گسترده‌تر می‌باشد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اگر شخصی احتمال دهد که در نرم‌افزاری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قرائن منفصله‌ای وجود دارد باید آن‌ها را بررسی کند.</w:t>
      </w:r>
    </w:p>
    <w:p w:rsidR="00BB72C7" w:rsidRPr="00C03C50" w:rsidRDefault="00BB72C7" w:rsidP="00BB72C7">
      <w:pPr>
        <w:pStyle w:val="Heading2"/>
        <w:rPr>
          <w:rtl/>
        </w:rPr>
      </w:pPr>
      <w:bookmarkStart w:id="8" w:name="_Toc416607525"/>
      <w:r w:rsidRPr="00C03C50">
        <w:rPr>
          <w:rFonts w:hint="cs"/>
          <w:rtl/>
        </w:rPr>
        <w:t>مرحله سوم: تتبع و فحص بیش‌ازحد متعارف عقلایی</w:t>
      </w:r>
      <w:bookmarkEnd w:id="8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 xml:space="preserve"> نکته‌ای که در اینجا وجود دارد این است که کشف اراده جدی،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ی</w:t>
      </w:r>
      <w:r w:rsidRPr="00C03C50">
        <w:rPr>
          <w:rFonts w:hint="eastAsia"/>
          <w:rtl/>
        </w:rPr>
        <w:t>ک</w:t>
      </w:r>
      <w:r w:rsidRPr="00C03C50">
        <w:rPr>
          <w:rFonts w:hint="cs"/>
          <w:rtl/>
        </w:rPr>
        <w:t xml:space="preserve"> امر تشکیکی است یعنی کشف اراده جدی بر پایه مراجعه به قرائن و ادله منفصل و سائر ادله مرتبط می‌باشد و یک امر نسبی است و تا حدی از آن‌که حد متعارف عقلایی است،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واجب می‌باشد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اما بیش از آن هرچند واجب نیست اما چه‌بسا اگر شخصی که بیش‌ازاندازه وجوب که حد متعارف عقلایی است، تفحص کنند ممکن به مطالب و نکات مهمی دست یابد و نتیجه بررسی‌های او قابل‌اعتمادتر می‌باشد. لذا می‌توان با توجه به تشکیکی بودن کشف اراده جدی،</w:t>
      </w:r>
      <w:r w:rsidRPr="00C03C50">
        <w:rPr>
          <w:rtl/>
        </w:rPr>
        <w:t xml:space="preserve"> ا</w:t>
      </w:r>
      <w:r w:rsidRPr="00C03C50">
        <w:rPr>
          <w:rFonts w:hint="cs"/>
          <w:rtl/>
        </w:rPr>
        <w:t>ی</w:t>
      </w:r>
      <w:r w:rsidRPr="00C03C50">
        <w:rPr>
          <w:rFonts w:hint="eastAsia"/>
          <w:rtl/>
        </w:rPr>
        <w:t>ن</w:t>
      </w:r>
      <w:r w:rsidRPr="00C03C50">
        <w:rPr>
          <w:rFonts w:hint="cs"/>
          <w:rtl/>
        </w:rPr>
        <w:t xml:space="preserve"> تفحص و تتبع افزون از حد وجوب را مرحله سوم تفسیر قرار داد و این مرحله می‌تواند دامنه جدیدی از مدلول‌ها و مفاهیم را به دست انسان دهد اما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حد واجب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تفحص و تتبع، حد متعارف عقلایی می‌باشد.</w:t>
      </w:r>
    </w:p>
    <w:p w:rsidR="00BB72C7" w:rsidRPr="00C03C50" w:rsidRDefault="00BB72C7" w:rsidP="00BB72C7">
      <w:pPr>
        <w:pStyle w:val="Heading3"/>
        <w:rPr>
          <w:rtl/>
        </w:rPr>
      </w:pPr>
      <w:bookmarkStart w:id="9" w:name="_Toc416607526"/>
      <w:r w:rsidRPr="00C03C50">
        <w:rPr>
          <w:rFonts w:hint="cs"/>
          <w:rtl/>
        </w:rPr>
        <w:t>لزوم تفسیر ترتیبی و موضوعی در مرحله دوم و سوم</w:t>
      </w:r>
      <w:bookmarkEnd w:id="9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 xml:space="preserve">مطلبی که در اینجا باید به </w:t>
      </w:r>
      <w:r w:rsidRPr="00C03C50">
        <w:rPr>
          <w:rtl/>
        </w:rPr>
        <w:t>آن</w:t>
      </w:r>
      <w:r w:rsidRPr="00C03C50">
        <w:rPr>
          <w:rFonts w:hint="cs"/>
          <w:rtl/>
        </w:rPr>
        <w:t xml:space="preserve"> توجه شود، این است که اگر بخواهیم در تفسیر وارد دو مرحله دوم و سوم شویم، تفسیر باید ترتیبی باشد یا موضوعی؟ در پاسخ باید گفت که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 xml:space="preserve">لازم است هم تفسیر ترتیبی صورت گیرد و هم تفسیر موضوعی انجام شود و هر دو نوع تفسیر لازم است منتهی با قیود و حدودی که ذکر می‌شود. مراد از تفسیر ترتیبی </w:t>
      </w:r>
      <w:r w:rsidRPr="00C03C50">
        <w:rPr>
          <w:rFonts w:hint="cs"/>
          <w:rtl/>
        </w:rPr>
        <w:lastRenderedPageBreak/>
        <w:t xml:space="preserve">در اینجا این است که ترتیب یک آیه هم در سوره ملاحظه شود و آیات قبل و بعد آن بررسی شود و هم اینکه آن آیه در سیر و ترتیب نزولی موردتوجه قرار گیرد و تفسیر ترتیبی یعنی ترتیب در سوره و ترتیب در سیر نزولی بسیار مهم است. ترتیبی در یک سوره </w:t>
      </w:r>
      <w:r w:rsidRPr="00C03C50">
        <w:rPr>
          <w:rtl/>
        </w:rPr>
        <w:t>بنا بر</w:t>
      </w:r>
      <w:r w:rsidRPr="00C03C50">
        <w:rPr>
          <w:rFonts w:hint="cs"/>
          <w:rtl/>
        </w:rPr>
        <w:t xml:space="preserve"> نظریه‌ای که کلیت یک سوره را توقیفی می‌داند و نظریه درستی هم هست ازاین‌جهت مهم است چون احتمال اینکه در این ترتیب قرائن سیاقی و یا غیر سیاقی وجود داشته باشد، وجود دارد و یا اینکه احتمال وجود سیاق و قرائنی در آیاتی که در یک مورد نازل‌شده‌اند و نزول آن‌ها دفعی می‌باشد وجود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دارد و این احتمال، یک احتمال عقلایی است که باید حتماً بررسی شود. پس مراد از تفسیر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ترتیبی،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بررسی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آیات قبل و بعد در یک سوره و در سیر نزولی می‌باشد نه اینکه مراد از تفسیر ترتیبی این باشد که از اول قرآن تا آخر آن را تفسیر کند و علت آن احتمال وجود سیاق و قرینه است که نه مطلقا آن را می‌توان نفی کرد و نه اینکه مطلقا آن را اثبات کنیم اما درهرصورت،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احتمال عقلایی وجود دارد و احتمال تأثیر آن نیز زیاد است و منجز می‌باشد. تفسیر موضوعی هم لازم است بدین خاطر که جدای از بحث تفسیر ترتیبی،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وقتی در مورد موضوعی بحث می‌شود مثلاً وقتی در مورد استعاذه بحث می‌شود و یا اینکه مثلاً آیه</w:t>
      </w:r>
      <w:r w:rsidRPr="00C03C50">
        <w:rPr>
          <w:rtl/>
        </w:rPr>
        <w:t xml:space="preserve"> </w:t>
      </w:r>
      <w:r w:rsidRPr="00C03C50">
        <w:rPr>
          <w:b/>
          <w:bCs/>
          <w:rtl/>
        </w:rPr>
        <w:t>«</w:t>
      </w:r>
      <w:r w:rsidRPr="00C03C50">
        <w:rPr>
          <w:rFonts w:hint="cs"/>
          <w:b/>
          <w:bCs/>
          <w:rtl/>
        </w:rPr>
        <w:t>قُلْ هُوَ اللَّهُ أَحَدٌ</w:t>
      </w:r>
      <w:r w:rsidRPr="00C03C50">
        <w:rPr>
          <w:b/>
          <w:bCs/>
          <w:rtl/>
        </w:rPr>
        <w:t>»</w:t>
      </w:r>
      <w:r w:rsidRPr="00C03C50">
        <w:rPr>
          <w:rFonts w:hint="cs"/>
          <w:b/>
          <w:bCs/>
          <w:rtl/>
        </w:rPr>
        <w:t xml:space="preserve"> </w:t>
      </w:r>
      <w:r w:rsidRPr="00C03C50">
        <w:rPr>
          <w:rFonts w:hint="cs"/>
          <w:b/>
          <w:bCs/>
          <w:i/>
          <w:iCs/>
          <w:rtl/>
        </w:rPr>
        <w:t>الإخلاص‏ / 1</w:t>
      </w:r>
      <w:r w:rsidRPr="00C03C50">
        <w:rPr>
          <w:rFonts w:hint="cs"/>
          <w:rtl/>
        </w:rPr>
        <w:t xml:space="preserve"> را بخواهیم تفسیر کنیم و اراده جدی متکلم را کشف کنیم باید همه آیات بلکه روایات و ادله عقلیه مرتبط که حداقل آن ما یحتمل القرینیه در حد متعارف عقلایی می‌باشد و احتمال وجود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مقید، مخصص، مفسر، حاکم، وارد، مورود، ناسخ و یا مبین در آن‌ها وجود دارد، را باید بررسی کنیم و حتی شأن نزول آیه و شرایط اجتماعی و تاریخی زمان نزول آیه نیز باید بررسی شود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فقط اختصاص به آیات قرآن هم ندارد بلکه همه روایات اعم از روایاتی که در ذیل آیه واردشده باشند و دیگر روایات هم باید بررسی شوند، تا به یک اراده روشن و واضحی برسیم. پس در مرحله دوم و سوم تفسیر هم تفسیر ترتیبی و موضوعی با توضیحاتی که ذکر شد به خاطر رسیدن به یک تفسیر اجتهادی متقن لازم می‌باشد. و حد واجب آن یک حد متعارف عقلایی در مواردی است که احتمال وجود سیاق، قرینه و دلیل باشد.</w:t>
      </w:r>
    </w:p>
    <w:p w:rsidR="00BB72C7" w:rsidRPr="00C03C50" w:rsidRDefault="00BB72C7" w:rsidP="00BB72C7">
      <w:pPr>
        <w:pStyle w:val="Heading3"/>
        <w:rPr>
          <w:rtl/>
        </w:rPr>
      </w:pPr>
      <w:bookmarkStart w:id="10" w:name="_Toc416607527"/>
      <w:r w:rsidRPr="00C03C50">
        <w:rPr>
          <w:rFonts w:hint="cs"/>
          <w:rtl/>
        </w:rPr>
        <w:t>عدم تقید به واژه خاص در تفسیر موضوعی</w:t>
      </w:r>
      <w:bookmarkEnd w:id="10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>نکته</w:t>
      </w:r>
      <w:r w:rsidRPr="00C03C50">
        <w:rPr>
          <w:rFonts w:hint="eastAsia"/>
          <w:rtl/>
        </w:rPr>
        <w:t>‌</w:t>
      </w:r>
      <w:r w:rsidRPr="00C03C50">
        <w:rPr>
          <w:rFonts w:hint="cs"/>
          <w:rtl/>
        </w:rPr>
        <w:t>ای که در اینجا وجود دارد این است که در تفسیر موضوعی هیچ‌گاه نمی‌توان مقید به واژه خاصی شد مثلاً در تفسیر استعاذه نمی‌توان فقط کلمه اعوذ را بررسی کرد و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بلکه باید الفاظ و واژه مختلفی که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در قرآن و روایات مرتبط با آن معنی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هستند مانند إلتجا و فرار نیز باید بررسی و تحلیل مفهومی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شود.</w:t>
      </w:r>
    </w:p>
    <w:p w:rsidR="00BB72C7" w:rsidRPr="00C03C50" w:rsidRDefault="00BB72C7" w:rsidP="00BB72C7">
      <w:pPr>
        <w:pStyle w:val="Heading3"/>
        <w:rPr>
          <w:rtl/>
        </w:rPr>
      </w:pPr>
      <w:bookmarkStart w:id="11" w:name="_Toc416607528"/>
      <w:r w:rsidRPr="00C03C50">
        <w:rPr>
          <w:rFonts w:hint="cs"/>
          <w:rtl/>
        </w:rPr>
        <w:lastRenderedPageBreak/>
        <w:t>تفسیر آیه به آیه علامه طباطبایی</w:t>
      </w:r>
      <w:bookmarkEnd w:id="11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>با توضیحاتی که در مورد مرحله دوم و سوم تفسیر داده شد و اینکه لازم است در این مراحل هم تفسیر ترتیبی صورت گیرد و هم تفسیر موضوعی، مشخص می‌شود که تفسیر آیه به آیه‌ای که علامه طباطبایی مطرح کرده‌اند و بر اساس آن تفسیر المیزان را نوشته‌اند،</w:t>
      </w:r>
      <w:r w:rsidRPr="00C03C50">
        <w:rPr>
          <w:rtl/>
        </w:rPr>
        <w:t xml:space="preserve"> درواقع</w:t>
      </w:r>
      <w:r w:rsidRPr="00C03C50">
        <w:rPr>
          <w:rFonts w:hint="cs"/>
          <w:rtl/>
        </w:rPr>
        <w:t xml:space="preserve"> جزئی از همین متد و شیوه تفسیر و در مجموعه کشف اراده جدی می‌باشد و علت تفسیر آیه‌ای به آیه‌ای دیگر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این است که احتمال می‌دهد این آیات مفسر، مقید، مخصص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ناسخ یا مبین و یا موجب تعمیم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آیه دیگر باشد که با بررسی آن‌ها اراده جدی مولا کشف می‌شود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و صرف وجود این احتمالات مفسر را ملزم به بررسی آیات دیگر می‌کند. این سبک و متد هرچند در تفسیر امری جدید و نو است اما ریشه در سبک اجتهادی فقهی دارد و امری فاخر و بزرگ می‌باشد.</w:t>
      </w:r>
    </w:p>
    <w:p w:rsidR="00BB72C7" w:rsidRPr="00C03C50" w:rsidRDefault="00BB72C7" w:rsidP="00BB72C7">
      <w:pPr>
        <w:pStyle w:val="Heading2"/>
        <w:rPr>
          <w:rtl/>
        </w:rPr>
      </w:pPr>
      <w:bookmarkStart w:id="12" w:name="_Toc416607529"/>
      <w:r w:rsidRPr="00C03C50">
        <w:rPr>
          <w:rFonts w:hint="cs"/>
          <w:rtl/>
        </w:rPr>
        <w:t>مرحله چهارم: منظومه سازی و موضوع سازی</w:t>
      </w:r>
      <w:bookmarkEnd w:id="12"/>
    </w:p>
    <w:p w:rsidR="00BB72C7" w:rsidRPr="00C03C50" w:rsidRDefault="00BB72C7" w:rsidP="00BB72C7">
      <w:pPr>
        <w:ind w:firstLine="0"/>
        <w:rPr>
          <w:rtl/>
        </w:rPr>
      </w:pPr>
      <w:r w:rsidRPr="00C03C50">
        <w:rPr>
          <w:rFonts w:hint="cs"/>
          <w:rtl/>
        </w:rPr>
        <w:t xml:space="preserve">مرحله چهارم تفسیر، مرحله منظومه سازی و سامان‌دهی و تنظیم مجموعه بحث شده در یک فهرست می‌باشد به‌طور مثال وقتی آیه </w:t>
      </w:r>
      <w:r w:rsidRPr="00C03C50">
        <w:rPr>
          <w:b/>
          <w:bCs/>
          <w:rtl/>
        </w:rPr>
        <w:t>«</w:t>
      </w:r>
      <w:r w:rsidRPr="00C03C50">
        <w:rPr>
          <w:rFonts w:hint="cs"/>
          <w:b/>
          <w:bCs/>
          <w:rtl/>
        </w:rPr>
        <w:t>قُلْ هُوَ اللَّهُ أَحَدٌ</w:t>
      </w:r>
      <w:r w:rsidRPr="00C03C50">
        <w:rPr>
          <w:b/>
          <w:bCs/>
          <w:rtl/>
        </w:rPr>
        <w:t>»</w:t>
      </w:r>
      <w:r w:rsidRPr="00C03C50">
        <w:rPr>
          <w:rFonts w:hint="cs"/>
          <w:b/>
          <w:bCs/>
          <w:rtl/>
        </w:rPr>
        <w:t xml:space="preserve"> </w:t>
      </w:r>
      <w:r w:rsidRPr="00C03C50">
        <w:rPr>
          <w:rFonts w:hint="cs"/>
          <w:b/>
          <w:bCs/>
          <w:i/>
          <w:iCs/>
          <w:rtl/>
        </w:rPr>
        <w:t>الإخلاص‏ / 1</w:t>
      </w:r>
      <w:r w:rsidRPr="00C03C50">
        <w:rPr>
          <w:rFonts w:hint="cs"/>
          <w:rtl/>
        </w:rPr>
        <w:t xml:space="preserve"> با همه قرائن متصل و منفصل عقلی حدیثی و قرآنی بحث شد همه این مباحث در کنار یکدیگر قرار گیرد و در یک منظومه که مرتبط با بحث توحید است قرار گیرد. این منظومه سازی،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همان اصطلاح تفسیر موضوعی به معنای متعارف و قدیمی آن می‌باشد که دارای ارزش و اهمیت زیاد است که خود دارای درجات و مراتب مختلفی می‌باشد و شبیه آن کاری است که در فقه صورت می‌گیرد به‌طور مثال مانند بحث تزیین که در فقه می‌باشد که در این مجموعه گاهی تزیین حرام و گاهی نیز مکروه می‌باشد. این منظومه سازی در مباحث فقهی و اخلاقی و یا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 xml:space="preserve">کلامی بسیار جالب و </w:t>
      </w:r>
      <w:r w:rsidRPr="00C03C50">
        <w:rPr>
          <w:rtl/>
        </w:rPr>
        <w:t>دربردارنده</w:t>
      </w:r>
      <w:r w:rsidRPr="00C03C50">
        <w:rPr>
          <w:rFonts w:hint="cs"/>
          <w:rtl/>
        </w:rPr>
        <w:t xml:space="preserve"> نکات تازه‌ای می‌باشد. این منظومه سازی در مباحث تفسیری همان تفسیر موضوعی به معنای متعارف آن می‌باشد که ذو مراتب و تشکیک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 xml:space="preserve">می‌باشد که </w:t>
      </w:r>
      <w:r w:rsidRPr="00C03C50">
        <w:rPr>
          <w:rtl/>
        </w:rPr>
        <w:t>بنا بر</w:t>
      </w:r>
      <w:r w:rsidRPr="00C03C50">
        <w:rPr>
          <w:rFonts w:hint="cs"/>
          <w:rtl/>
        </w:rPr>
        <w:t xml:space="preserve"> معنایی از آن به نظام سازی هم تعبیر می‌شود.</w:t>
      </w:r>
    </w:p>
    <w:p w:rsidR="00BB72C7" w:rsidRPr="00C03C50" w:rsidRDefault="00BB72C7" w:rsidP="00BB72C7">
      <w:pPr>
        <w:pStyle w:val="Heading2"/>
        <w:rPr>
          <w:rtl/>
        </w:rPr>
      </w:pPr>
      <w:bookmarkStart w:id="13" w:name="_Toc416607530"/>
      <w:r w:rsidRPr="00C03C50">
        <w:rPr>
          <w:rFonts w:hint="cs"/>
          <w:rtl/>
        </w:rPr>
        <w:t>مرحله پنجم: نظام سازی و نظریه‌پردازی</w:t>
      </w:r>
      <w:bookmarkEnd w:id="13"/>
    </w:p>
    <w:p w:rsidR="00BB72C7" w:rsidRPr="00C03C50" w:rsidRDefault="00BB72C7" w:rsidP="00BB72C7">
      <w:pPr>
        <w:ind w:firstLine="0"/>
      </w:pPr>
      <w:r w:rsidRPr="00C03C50">
        <w:rPr>
          <w:rFonts w:hint="cs"/>
          <w:rtl/>
        </w:rPr>
        <w:t>مرحله و گام پنجم در تفسیر،</w:t>
      </w:r>
      <w:r w:rsidRPr="00C03C50">
        <w:rPr>
          <w:rtl/>
        </w:rPr>
        <w:t xml:space="preserve"> نظام</w:t>
      </w:r>
      <w:r w:rsidRPr="00C03C50">
        <w:rPr>
          <w:rFonts w:hint="cs"/>
          <w:rtl/>
        </w:rPr>
        <w:t xml:space="preserve"> سازی و نظریه‌پردازی می‌باشد و مقصود از آن در اینجا این است که ما این منظومه‌ها را مثلاً در فقه با منظومه‌های کلامی مرتبط می‌کنیم و کل آن را در یک چارچوب کلان و اصلی می‌آوریم مثلاً می‌گوییم اقتصاد اسلامی فقط یک اقتصاد دولتی نیست بلکه یک اقتصاد مزدوج است و هم دولتی است و هم </w:t>
      </w:r>
      <w:r w:rsidRPr="00C03C50">
        <w:rPr>
          <w:rFonts w:hint="cs"/>
          <w:rtl/>
        </w:rPr>
        <w:lastRenderedPageBreak/>
        <w:t xml:space="preserve">عمومی و هم شخصی و خصوصی است که همان </w:t>
      </w:r>
      <w:r w:rsidRPr="00C03C50">
        <w:rPr>
          <w:rtl/>
        </w:rPr>
        <w:t>تئور</w:t>
      </w:r>
      <w:r w:rsidRPr="00C03C50">
        <w:rPr>
          <w:rFonts w:hint="cs"/>
          <w:rtl/>
        </w:rPr>
        <w:t>ی‌</w:t>
      </w:r>
      <w:r w:rsidRPr="00C03C50">
        <w:rPr>
          <w:rFonts w:hint="eastAsia"/>
          <w:rtl/>
        </w:rPr>
        <w:t>ها</w:t>
      </w:r>
      <w:r w:rsidRPr="00C03C50">
        <w:rPr>
          <w:rFonts w:hint="cs"/>
          <w:rtl/>
        </w:rPr>
        <w:t>ی عام و فراگیر می‌باشد و یا مثلاً در بحث تزیین که در مکاسب مطرح است،</w:t>
      </w:r>
      <w:r w:rsidRPr="00C03C50">
        <w:rPr>
          <w:rtl/>
        </w:rPr>
        <w:t xml:space="preserve"> </w:t>
      </w:r>
      <w:r w:rsidRPr="00C03C50">
        <w:rPr>
          <w:rFonts w:hint="cs"/>
          <w:rtl/>
        </w:rPr>
        <w:t>در این مرحله پنجم می‌گوییم که اسلام به آن نگاه روانشناسی انسان و زیبا خواهی و زیبا طلبی انسان پاسخ می‌دهد ولی با قیودی و حدودی که ذکر می‌شود. از این مرحله به مرحله نظام سازی و نظریه‌پردازی تعبیر می‌شود که وارد شدن به این مرحله کاری دشوار و سخت می‌باشد.</w:t>
      </w:r>
    </w:p>
    <w:p w:rsidR="00BB72C7" w:rsidRPr="00C03C50" w:rsidRDefault="00BB72C7" w:rsidP="00BB72C7">
      <w:pPr>
        <w:ind w:firstLine="0"/>
        <w:rPr>
          <w:rtl/>
        </w:rPr>
      </w:pPr>
    </w:p>
    <w:p w:rsidR="00BB72C7" w:rsidRPr="00C03C50" w:rsidRDefault="00BB72C7" w:rsidP="00BB72C7">
      <w:pPr>
        <w:ind w:firstLine="0"/>
        <w:rPr>
          <w:rtl/>
        </w:rPr>
      </w:pPr>
    </w:p>
    <w:p w:rsidR="00BB72C7" w:rsidRPr="00DF5D98" w:rsidRDefault="00BB72C7" w:rsidP="00BB72C7">
      <w:pPr>
        <w:ind w:firstLine="0"/>
        <w:rPr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8"/>
      <w:footerReference w:type="default" r:id="rId9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9B" w:rsidRDefault="00613F9B" w:rsidP="000D5800">
      <w:pPr>
        <w:spacing w:after="0"/>
      </w:pPr>
      <w:r>
        <w:separator/>
      </w:r>
    </w:p>
  </w:endnote>
  <w:endnote w:type="continuationSeparator" w:id="0">
    <w:p w:rsidR="00613F9B" w:rsidRDefault="00613F9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19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9B" w:rsidRDefault="00613F9B" w:rsidP="000D5800">
      <w:pPr>
        <w:spacing w:after="0"/>
      </w:pPr>
      <w:r>
        <w:separator/>
      </w:r>
    </w:p>
  </w:footnote>
  <w:footnote w:type="continuationSeparator" w:id="0">
    <w:p w:rsidR="00613F9B" w:rsidRDefault="00613F9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BB72C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268F85F" wp14:editId="600D076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</w:rPr>
      <w:drawing>
        <wp:inline distT="0" distB="0" distL="0" distR="0" wp14:anchorId="6EE1479D" wp14:editId="53854C6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B72C7">
      <w:rPr>
        <w:rFonts w:ascii="IranNastaliq" w:hAnsi="IranNastaliq" w:cs="IranNastaliq" w:hint="cs"/>
        <w:sz w:val="40"/>
        <w:szCs w:val="40"/>
        <w:rtl/>
      </w:rPr>
      <w:t>1697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C7"/>
    <w:rsid w:val="000228A2"/>
    <w:rsid w:val="000324F1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219B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06D37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76555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13F9B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C66FB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B72C7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4219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4219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4219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4219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4219B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4219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14219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4219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4219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4219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4219B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4219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4219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4219B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4219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4219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219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4219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4219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4219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4219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4219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4219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14219B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14219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4219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4219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2  Badr" w:hAnsi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4219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14219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4219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14219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14219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219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4219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4219B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4219B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4219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4219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4219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4219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4219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4219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4219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4219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4219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4219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2  Badr" w:hAnsi="2  Badr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2  Badr" w:hAnsi="2  Badr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uiPriority w:val="99"/>
    <w:rsid w:val="00BB7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4219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4219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4219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4219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4219B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4219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14219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4219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4219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4219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4219B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4219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4219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4219B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4219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4219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219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4219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4219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4219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4219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4219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4219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14219B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14219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4219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4219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2  Badr" w:hAnsi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4219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14219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4219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14219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unhideWhenUsed/>
    <w:qFormat/>
    <w:rsid w:val="0014219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219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4219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4219B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4219B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4219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4219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4219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14219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4219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4219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4219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4219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4219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4219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2  Badr" w:hAnsi="2  Badr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2  Badr" w:hAnsi="2  Badr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uiPriority w:val="99"/>
    <w:rsid w:val="00BB7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2</cp:revision>
  <dcterms:created xsi:type="dcterms:W3CDTF">2015-04-13T03:13:00Z</dcterms:created>
  <dcterms:modified xsi:type="dcterms:W3CDTF">2015-04-13T03:25:00Z</dcterms:modified>
</cp:coreProperties>
</file>