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09" w:rsidRPr="00834EC1" w:rsidRDefault="004C1209" w:rsidP="004C1209">
      <w:pPr>
        <w:ind w:firstLine="0"/>
        <w:jc w:val="center"/>
        <w:rPr>
          <w:rFonts w:ascii="Traditional Arabic" w:hAnsi="Traditional Arabic" w:cs="Traditional Arabic"/>
          <w:rtl/>
        </w:rPr>
      </w:pPr>
      <w:r w:rsidRPr="00834EC1">
        <w:rPr>
          <w:rFonts w:ascii="Traditional Arabic" w:hAnsi="Traditional Arabic" w:cs="Traditional Arabic" w:hint="cs"/>
          <w:rtl/>
        </w:rPr>
        <w:t>بسم الله الرحمن الرحيم</w:t>
      </w:r>
    </w:p>
    <w:p w:rsidR="00834EC1" w:rsidRPr="00CC2878" w:rsidRDefault="00834EC1" w:rsidP="00834EC1">
      <w:pPr>
        <w:pStyle w:val="Heading2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bookmarkStart w:id="0" w:name="_Toc410652758"/>
      <w:bookmarkStart w:id="1" w:name="_Toc368973637"/>
      <w:bookmarkStart w:id="2" w:name="_Toc369067133"/>
      <w:bookmarkStart w:id="3" w:name="_Toc371521768"/>
      <w:r w:rsidRPr="00CC2878">
        <w:rPr>
          <w:rFonts w:ascii="Traditional Arabic" w:hAnsi="Traditional Arabic" w:cs="Traditional Arabic" w:hint="cs"/>
          <w:color w:val="FF0000"/>
          <w:rtl/>
        </w:rPr>
        <w:t xml:space="preserve">موضوع: </w:t>
      </w:r>
      <w:bookmarkEnd w:id="1"/>
      <w:r w:rsidRPr="00CC2878">
        <w:rPr>
          <w:rFonts w:ascii="Traditional Arabic" w:hAnsi="Traditional Arabic" w:cs="Traditional Arabic" w:hint="cs"/>
          <w:rtl/>
        </w:rPr>
        <w:t>احکام / امربه معروف و نهی از منکر</w:t>
      </w:r>
    </w:p>
    <w:bookmarkEnd w:id="2"/>
    <w:bookmarkEnd w:id="3"/>
    <w:p w:rsidR="004C1209" w:rsidRPr="00834EC1" w:rsidRDefault="004C1209" w:rsidP="004C1209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834EC1">
        <w:rPr>
          <w:rFonts w:ascii="Traditional Arabic" w:hAnsi="Traditional Arabic" w:cs="Traditional Arabic" w:hint="cs"/>
          <w:color w:val="FF0000"/>
          <w:rtl/>
        </w:rPr>
        <w:t>وحدت یا تعدد مخاطب در تکلیف امربه‌معروف</w:t>
      </w:r>
      <w:bookmarkEnd w:id="0"/>
    </w:p>
    <w:p w:rsidR="004C1209" w:rsidRPr="00834EC1" w:rsidRDefault="004C1209" w:rsidP="004C1209">
      <w:pPr>
        <w:spacing w:after="200" w:line="276" w:lineRule="auto"/>
        <w:ind w:firstLine="0"/>
        <w:contextualSpacing w:val="0"/>
        <w:rPr>
          <w:rFonts w:ascii="Traditional Arabic" w:eastAsia="Calibri" w:hAnsi="Traditional Arabic" w:cs="Traditional Arabic"/>
          <w:sz w:val="28"/>
          <w:rtl/>
        </w:rPr>
      </w:pPr>
      <w:r w:rsidRPr="00834EC1">
        <w:rPr>
          <w:rFonts w:ascii="Traditional Arabic" w:eastAsia="Calibri" w:hAnsi="Traditional Arabic" w:cs="Traditional Arabic" w:hint="cs"/>
          <w:sz w:val="28"/>
          <w:rtl/>
        </w:rPr>
        <w:t>بحث دیگری که در مبحث امربه‌معروف و نهی از منکر وجود دارد این است که آیا مکلف و مخاطب در تکلیف امربه‌معروف و نهی از منکر،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مکلف و مخاطب واحد می‌باشد یا اینکه مخاطب و مکلف‌های متعدد می‌باشد؟</w:t>
      </w:r>
    </w:p>
    <w:p w:rsidR="004C1209" w:rsidRPr="00834EC1" w:rsidRDefault="004C1209" w:rsidP="004C1209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4" w:name="_Toc410652759"/>
      <w:r w:rsidRPr="00834EC1">
        <w:rPr>
          <w:rFonts w:ascii="Traditional Arabic" w:hAnsi="Traditional Arabic" w:cs="Traditional Arabic" w:hint="cs"/>
          <w:color w:val="FF0000"/>
          <w:rtl/>
        </w:rPr>
        <w:t>رویکرد اول: وحدت خطاب</w:t>
      </w:r>
      <w:bookmarkEnd w:id="4"/>
    </w:p>
    <w:p w:rsidR="004C1209" w:rsidRPr="00834EC1" w:rsidRDefault="004C1209" w:rsidP="004C1209">
      <w:pPr>
        <w:spacing w:after="200" w:line="276" w:lineRule="auto"/>
        <w:ind w:firstLine="0"/>
        <w:contextualSpacing w:val="0"/>
        <w:rPr>
          <w:rFonts w:ascii="Traditional Arabic" w:eastAsia="Calibri" w:hAnsi="Traditional Arabic" w:cs="Traditional Arabic"/>
          <w:sz w:val="28"/>
          <w:rtl/>
        </w:rPr>
      </w:pPr>
      <w:r w:rsidRPr="00834EC1">
        <w:rPr>
          <w:rFonts w:ascii="Traditional Arabic" w:eastAsia="Calibri" w:hAnsi="Traditional Arabic" w:cs="Traditional Arabic" w:hint="cs"/>
          <w:sz w:val="28"/>
          <w:rtl/>
        </w:rPr>
        <w:t>بیان و رویکرد اول در این مسئله که در موسوعه و کلمات برخی فقها وجود دارد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این است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که خطاب در تکلیف امربه‌معروف و نهی از منکر یکی است و مخاطب هم همان مطلق مکلفین با همان شرایط عامه می‌باشند و خطاب یکی و ناظر به همه مسلمین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می‌باشد البته در مقام فعلیت و تنجز و امتثال،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طبقاتی از مکلفین در جامعه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مانند علما و صاحبان قدرت به دلیل وجود علم و قدرت و نفوذ آن‌ها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مصداقیت بیشتری برای این خطاب واحد دارند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ولی درهرحال یک خطاب علی‌السویه برای همه مکلفین وجود دارد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و واجب کفایی واحد وجود دارد که بالعرض چه‌بسا با توجه به شرایطی برای اشخاصی مانند فرهیختگان و صاحبان قدرت، این وجوب کفایی تعین پیدا می‌کند و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عینی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می‌شود و دایره شمول آن بیشتر می‌شود و علت این امر هم وجود علم و آگاهی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این طبقات، داشتن قدرت برای این دسته که بالتبع موجب کاهش ضرر و زیان‌های احتمالی و همچنین احتمال تأثیر و نفوذ بیشتر امربه‌معروف توسط این افراد نسبت به دیگر اشخاص،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می‌شود.</w:t>
      </w:r>
    </w:p>
    <w:p w:rsidR="004C1209" w:rsidRPr="00834EC1" w:rsidRDefault="004C1209" w:rsidP="004C1209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5" w:name="_Toc410652760"/>
      <w:r w:rsidRPr="00834EC1">
        <w:rPr>
          <w:rFonts w:ascii="Traditional Arabic" w:hAnsi="Traditional Arabic" w:cs="Traditional Arabic" w:hint="cs"/>
          <w:color w:val="FF0000"/>
          <w:rtl/>
        </w:rPr>
        <w:t>رویکرد دوم: تعدد خطاب در تکلیف امربه‌معروف</w:t>
      </w:r>
      <w:bookmarkEnd w:id="5"/>
    </w:p>
    <w:p w:rsidR="004C1209" w:rsidRPr="00834EC1" w:rsidRDefault="004C1209" w:rsidP="004C1209">
      <w:pPr>
        <w:spacing w:after="200" w:line="276" w:lineRule="auto"/>
        <w:ind w:firstLine="0"/>
        <w:contextualSpacing w:val="0"/>
        <w:rPr>
          <w:rFonts w:ascii="Traditional Arabic" w:eastAsia="Calibri" w:hAnsi="Traditional Arabic" w:cs="Traditional Arabic"/>
          <w:sz w:val="28"/>
          <w:rtl/>
        </w:rPr>
      </w:pPr>
      <w:r w:rsidRPr="00834EC1">
        <w:rPr>
          <w:rFonts w:ascii="Traditional Arabic" w:eastAsia="Calibri" w:hAnsi="Traditional Arabic" w:cs="Traditional Arabic" w:hint="cs"/>
          <w:sz w:val="28"/>
          <w:rtl/>
        </w:rPr>
        <w:t xml:space="preserve">رویکرد دوم در این مسئله این است که خطاب در تکلیف امربه‌معروف و نهی از منکر، خطاب واحدی نیست بلکه خطاب‌های متعدد وجود دارد و حداقل این است که در مورد چهار گروه متنفذین و علما و حکومت و خانواده خطاب‌های متفاوتی نسبت به خطاب‌های مطلق امربه‌معروف و نهی از منکر وجود دارد. در برخی از آیات و روایات خطاب‌های مستقلی نسبت به علما وجود دارد و در برخی از آیات نیز خطاب مستقلی نسبت به صاحبان قدرت و حکومت وجود دارد مانند آیه </w:t>
      </w:r>
      <w:r w:rsidRPr="00834EC1">
        <w:rPr>
          <w:rFonts w:ascii="Traditional Arabic" w:eastAsia="Calibri" w:hAnsi="Traditional Arabic" w:cs="Traditional Arabic"/>
          <w:b/>
          <w:bCs/>
          <w:sz w:val="28"/>
          <w:rtl/>
        </w:rPr>
        <w:t>«</w:t>
      </w:r>
      <w:bookmarkStart w:id="6" w:name="_GoBack"/>
      <w:r w:rsidRPr="00834EC1">
        <w:rPr>
          <w:rFonts w:ascii="Traditional Arabic" w:eastAsia="Calibri" w:hAnsi="Traditional Arabic" w:cs="Traditional Arabic" w:hint="cs"/>
          <w:color w:val="008000"/>
          <w:sz w:val="28"/>
          <w:rtl/>
        </w:rPr>
        <w:t>الَّذِينَ إِنْ مَكَّنَّاهُمْ فِي الْأَرْضِ أَقَامُوا الصَّلاَةَ وَ آتَوُا الزَّكَاةَ وَ أَمَرُوا بِالْمَعْرُوفِ وَ نَهَوْا عَنِ الْمُنْكَرِ وَ لِلَّهِ عَاقِبَةُ الْأُمُورِ</w:t>
      </w:r>
      <w:bookmarkEnd w:id="6"/>
      <w:r w:rsidRPr="00834EC1">
        <w:rPr>
          <w:rFonts w:ascii="Traditional Arabic" w:eastAsia="Calibri" w:hAnsi="Traditional Arabic" w:cs="Traditional Arabic"/>
          <w:b/>
          <w:bCs/>
          <w:sz w:val="28"/>
          <w:rtl/>
        </w:rPr>
        <w:t>»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b/>
          <w:bCs/>
          <w:i/>
          <w:iCs/>
          <w:sz w:val="20"/>
          <w:szCs w:val="20"/>
          <w:rtl/>
        </w:rPr>
        <w:t>حج/41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 xml:space="preserve"> در بحث حکومت بیان شد که حکومت وظایف متعددی دارد و بیان شد که نگاه اسلام به حکومت صرفاً یک نگاه و دید رفاهی نیست بلکه حکومت درزمینهٔ فرهنگ هم دارای وظیفه می‌باشد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و اصولاً این احتمال که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حکومت در مباحث فرهنگی وظیفه‌ای ندارد احتمالی ناصحیح و به‌اصطلاح نیش قولی می‌باشد و حتی حکومت‌های لیبرالیستی هم در حکومتشان توجه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دید فرهنگی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 xml:space="preserve">وجود دارد. در مورد علما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lastRenderedPageBreak/>
        <w:t>هم خطابات ویژه‌ای نسبت به امربه‌معروف و نهی از منکر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در روایات وجود دارد مانند آنچه امام حسین در قیامشان به آن استناد می‌کردند و یا روایات معتبری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 xml:space="preserve">در ذیل آیه </w:t>
      </w:r>
      <w:r w:rsidRPr="00834EC1">
        <w:rPr>
          <w:rFonts w:ascii="Traditional Arabic" w:eastAsia="Calibri" w:hAnsi="Traditional Arabic" w:cs="Traditional Arabic"/>
          <w:b/>
          <w:bCs/>
          <w:sz w:val="28"/>
          <w:rtl/>
        </w:rPr>
        <w:t>«</w:t>
      </w:r>
      <w:r w:rsidRPr="00834EC1">
        <w:rPr>
          <w:rFonts w:ascii="Traditional Arabic" w:eastAsia="Calibri" w:hAnsi="Traditional Arabic" w:cs="Traditional Arabic" w:hint="cs"/>
          <w:color w:val="008000"/>
          <w:sz w:val="28"/>
          <w:rtl/>
        </w:rPr>
        <w:t>يَا أَيُّهَا الَّذِينَ آمَنُوا قُوا أَنْفُسَكُمْ وَ أَهْلِيكُمْ نَاراً</w:t>
      </w:r>
      <w:r w:rsidRPr="00834EC1">
        <w:rPr>
          <w:rFonts w:ascii="Traditional Arabic" w:eastAsia="Calibri" w:hAnsi="Traditional Arabic" w:cs="Traditional Arabic"/>
          <w:b/>
          <w:bCs/>
          <w:sz w:val="28"/>
          <w:rtl/>
        </w:rPr>
        <w:t>»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b/>
          <w:bCs/>
          <w:i/>
          <w:iCs/>
          <w:sz w:val="20"/>
          <w:szCs w:val="20"/>
          <w:rtl/>
        </w:rPr>
        <w:t>التحريم‏/6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 xml:space="preserve"> آمده است که مراد از این آیه، امربه‌معروف و نهی از منکر نسبت به اعضای خانواده می‌باشد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و در موسوعه نیز در مورد خانواده به وجود خطابات مستقل اشاره‌شده است.</w:t>
      </w:r>
    </w:p>
    <w:p w:rsidR="004C1209" w:rsidRPr="00834EC1" w:rsidRDefault="004C1209" w:rsidP="004C120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7" w:name="_Toc410652761"/>
      <w:r w:rsidRPr="00834EC1">
        <w:rPr>
          <w:rFonts w:ascii="Traditional Arabic" w:hAnsi="Traditional Arabic" w:cs="Traditional Arabic" w:hint="cs"/>
          <w:color w:val="FF0000"/>
          <w:rtl/>
        </w:rPr>
        <w:t>تفاوت دوروی کرد فوق</w:t>
      </w:r>
      <w:bookmarkEnd w:id="7"/>
    </w:p>
    <w:p w:rsidR="004C1209" w:rsidRPr="00834EC1" w:rsidRDefault="004C1209" w:rsidP="004C1209">
      <w:pPr>
        <w:spacing w:after="200" w:line="276" w:lineRule="auto"/>
        <w:ind w:firstLine="0"/>
        <w:contextualSpacing w:val="0"/>
        <w:rPr>
          <w:rFonts w:ascii="Traditional Arabic" w:eastAsia="Calibri" w:hAnsi="Traditional Arabic" w:cs="Traditional Arabic"/>
          <w:sz w:val="28"/>
          <w:rtl/>
        </w:rPr>
      </w:pPr>
      <w:r w:rsidRPr="00834EC1">
        <w:rPr>
          <w:rFonts w:ascii="Traditional Arabic" w:eastAsia="Calibri" w:hAnsi="Traditional Arabic" w:cs="Traditional Arabic" w:hint="cs"/>
          <w:sz w:val="28"/>
          <w:rtl/>
        </w:rPr>
        <w:t xml:space="preserve"> تفاوتی که در این دو رویکرد وجود دارد این است که در صورت تعدد خطاب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علاوه بر اینکه وقتی دو خطاب در یکجا جمع شوند، تأکدی نسبت به وجوب به وجود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می‌آید، چه‌بسا خطاب خاص دارای شرایط ویژه‌ای نسبت به خطاب عام باشد مثلاً بگوییم احتمال ضرر و زیان مانع فعلیت یا تنجز حکم نمی‌شود ولی اگر خطاب را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در همه موارد یکی دانستیم همه شرایط عامه امربه‌معروف و نهی از منکر حتی در مورد علما و صاحبان قدرت هم وجود دارد و در مورد این طبقات شرایط خاصی نسبت به دیگران وجود ندارد.</w:t>
      </w:r>
    </w:p>
    <w:p w:rsidR="004C1209" w:rsidRPr="00834EC1" w:rsidRDefault="004C1209" w:rsidP="004C1209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8" w:name="_Toc410652762"/>
      <w:r w:rsidRPr="00834EC1">
        <w:rPr>
          <w:rFonts w:ascii="Traditional Arabic" w:hAnsi="Traditional Arabic" w:cs="Traditional Arabic" w:hint="cs"/>
          <w:color w:val="FF0000"/>
          <w:rtl/>
        </w:rPr>
        <w:t>نظر استاد: تعدد خطاب در امربه‌معروف و نهی از منکر</w:t>
      </w:r>
      <w:bookmarkEnd w:id="8"/>
    </w:p>
    <w:p w:rsidR="004C1209" w:rsidRPr="00834EC1" w:rsidRDefault="004C1209" w:rsidP="004C1209">
      <w:pPr>
        <w:spacing w:after="200" w:line="276" w:lineRule="auto"/>
        <w:ind w:firstLine="0"/>
        <w:contextualSpacing w:val="0"/>
        <w:rPr>
          <w:rFonts w:ascii="Traditional Arabic" w:eastAsia="Calibri" w:hAnsi="Traditional Arabic" w:cs="Traditional Arabic"/>
          <w:sz w:val="28"/>
          <w:rtl/>
        </w:rPr>
      </w:pPr>
      <w:r w:rsidRPr="00834EC1">
        <w:rPr>
          <w:rFonts w:ascii="Traditional Arabic" w:eastAsia="Calibri" w:hAnsi="Traditional Arabic" w:cs="Traditional Arabic" w:hint="cs"/>
          <w:sz w:val="28"/>
          <w:rtl/>
        </w:rPr>
        <w:t>در این مسئله ما احتمال و روی کرد دوم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 xml:space="preserve">که وجود خطابات مستقل علاوه بر خطاب عام را ترجیح می‌دهیم. بنابراین علاوه بر خطاب و فرمان عمومی امربه‌معروف و نهی از منکر، خطابات خاصی نسبت به علما، حکام، متنفذین و همچنین خانواده وجود دارد که می‌شود پنج خطاب و در مواردی که این خطابات جمع شود، وجوب، تأکد پیدا می‌کند البته تفاوت‌هایی هم بین این عناوین وجود دارد مثلاً در خطاب خاص نسبت به خانواده دایره شمول خاص و نسبت به خانواده است ولی در دیگر خطابات دایره شمول آن عام است. این بحث تعدد یا وحدت خطاب در مورد آیه </w:t>
      </w:r>
      <w:r w:rsidRPr="00834EC1">
        <w:rPr>
          <w:rFonts w:ascii="Traditional Arabic" w:eastAsia="Calibri" w:hAnsi="Traditional Arabic" w:cs="Traditional Arabic"/>
          <w:b/>
          <w:bCs/>
          <w:sz w:val="28"/>
          <w:rtl/>
        </w:rPr>
        <w:t>«</w:t>
      </w:r>
      <w:r w:rsidRPr="00834EC1">
        <w:rPr>
          <w:rFonts w:ascii="Traditional Arabic" w:eastAsia="Calibri" w:hAnsi="Traditional Arabic" w:cs="Traditional Arabic" w:hint="cs"/>
          <w:color w:val="008000"/>
          <w:sz w:val="28"/>
          <w:rtl/>
        </w:rPr>
        <w:t>وَ أَنْذِرْ عَشِيرَتَكَ الْأَقْرَبِينَ</w:t>
      </w:r>
      <w:r w:rsidRPr="00834EC1">
        <w:rPr>
          <w:rFonts w:ascii="Traditional Arabic" w:eastAsia="Calibri" w:hAnsi="Traditional Arabic" w:cs="Traditional Arabic"/>
          <w:b/>
          <w:bCs/>
          <w:sz w:val="28"/>
          <w:rtl/>
        </w:rPr>
        <w:t>»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b/>
          <w:bCs/>
          <w:i/>
          <w:iCs/>
          <w:sz w:val="20"/>
          <w:szCs w:val="20"/>
          <w:rtl/>
        </w:rPr>
        <w:t>الشعراء /214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 xml:space="preserve"> نیز وجود دارد. در مورد این آیه این سؤال وجود دارد که در مورد عشیره پیامبر خطاب خاصی نسبت به انذار وجود داشته و پس‌ازآن حکم به عمومیت انذار شده است و یا اینکه حکم عام بوده و وحدت خطاب وجود دارد منتها با توجه به شرایط به پیامبر امر شده که از خانواده خود انذار را شروع کند.</w:t>
      </w:r>
    </w:p>
    <w:p w:rsidR="004C1209" w:rsidRPr="00834EC1" w:rsidRDefault="004C1209" w:rsidP="004C1209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9" w:name="_Toc410652763"/>
      <w:r w:rsidRPr="00834EC1">
        <w:rPr>
          <w:rFonts w:ascii="Traditional Arabic" w:hAnsi="Traditional Arabic" w:cs="Traditional Arabic" w:hint="cs"/>
          <w:color w:val="FF0000"/>
          <w:rtl/>
        </w:rPr>
        <w:t>موارد اتصاف حرمت به</w:t>
      </w:r>
      <w:r w:rsidRPr="00834EC1">
        <w:rPr>
          <w:rFonts w:ascii="Traditional Arabic" w:hAnsi="Traditional Arabic" w:cs="Traditional Arabic"/>
          <w:color w:val="FF0000"/>
          <w:rtl/>
        </w:rPr>
        <w:t xml:space="preserve"> </w:t>
      </w:r>
      <w:r w:rsidRPr="00834EC1">
        <w:rPr>
          <w:rFonts w:ascii="Traditional Arabic" w:hAnsi="Traditional Arabic" w:cs="Traditional Arabic" w:hint="cs"/>
          <w:color w:val="FF0000"/>
          <w:rtl/>
        </w:rPr>
        <w:t>امربه‌معروف و نهی از منکر</w:t>
      </w:r>
      <w:bookmarkEnd w:id="9"/>
    </w:p>
    <w:p w:rsidR="004C1209" w:rsidRPr="00834EC1" w:rsidRDefault="004C1209" w:rsidP="004C1209">
      <w:pPr>
        <w:spacing w:after="200" w:line="276" w:lineRule="auto"/>
        <w:ind w:firstLine="0"/>
        <w:contextualSpacing w:val="0"/>
        <w:rPr>
          <w:rFonts w:ascii="Traditional Arabic" w:eastAsia="Calibri" w:hAnsi="Traditional Arabic" w:cs="Traditional Arabic"/>
          <w:sz w:val="28"/>
          <w:rtl/>
        </w:rPr>
      </w:pPr>
      <w:r w:rsidRPr="00834EC1">
        <w:rPr>
          <w:rFonts w:ascii="Traditional Arabic" w:eastAsia="Calibri" w:hAnsi="Traditional Arabic" w:cs="Traditional Arabic" w:hint="cs"/>
          <w:sz w:val="28"/>
          <w:rtl/>
        </w:rPr>
        <w:t>بیان شد که امربه‌معروف در مواردی واجب و در مواردی مستحب می‌باشد. سؤالی که در اینجا وجود دارد این است که آیا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امربه‌معروف و نهی از منکر علاوه بر اتصاف به وجوب و استحباب به سه حکم حرم و کراهت و اباحه هم متصف می‌شود یا خیر؟ در مورد حرمت باید گفت آری در مواردی امربه‌معروف متصف به حرمت می‌شود.</w:t>
      </w:r>
    </w:p>
    <w:p w:rsidR="004C1209" w:rsidRPr="00834EC1" w:rsidRDefault="004C1209" w:rsidP="004C1209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0" w:name="_Toc410652764"/>
      <w:r w:rsidRPr="00834EC1">
        <w:rPr>
          <w:rFonts w:ascii="Traditional Arabic" w:hAnsi="Traditional Arabic" w:cs="Traditional Arabic" w:hint="cs"/>
          <w:color w:val="FF0000"/>
          <w:rtl/>
        </w:rPr>
        <w:lastRenderedPageBreak/>
        <w:t>مورد اول:</w:t>
      </w:r>
      <w:r w:rsidRPr="00834EC1">
        <w:rPr>
          <w:rFonts w:ascii="Traditional Arabic" w:hAnsi="Traditional Arabic" w:cs="Traditional Arabic"/>
          <w:color w:val="FF0000"/>
          <w:rtl/>
        </w:rPr>
        <w:t xml:space="preserve"> </w:t>
      </w:r>
      <w:r w:rsidRPr="00834EC1">
        <w:rPr>
          <w:rFonts w:ascii="Traditional Arabic" w:hAnsi="Traditional Arabic" w:cs="Traditional Arabic" w:hint="cs"/>
          <w:color w:val="FF0000"/>
          <w:rtl/>
        </w:rPr>
        <w:t>وجود عناوین ثانویه اهم و حرام</w:t>
      </w:r>
      <w:bookmarkEnd w:id="10"/>
    </w:p>
    <w:p w:rsidR="004C1209" w:rsidRPr="00834EC1" w:rsidRDefault="004C1209" w:rsidP="004C1209">
      <w:pPr>
        <w:spacing w:after="200" w:line="276" w:lineRule="auto"/>
        <w:ind w:firstLine="0"/>
        <w:contextualSpacing w:val="0"/>
        <w:rPr>
          <w:rFonts w:ascii="Traditional Arabic" w:eastAsia="Calibri" w:hAnsi="Traditional Arabic" w:cs="Traditional Arabic"/>
          <w:sz w:val="28"/>
          <w:rtl/>
        </w:rPr>
      </w:pPr>
      <w:r w:rsidRPr="00834EC1">
        <w:rPr>
          <w:rFonts w:ascii="Traditional Arabic" w:eastAsia="Calibri" w:hAnsi="Traditional Arabic" w:cs="Traditional Arabic" w:hint="cs"/>
          <w:sz w:val="28"/>
          <w:rtl/>
        </w:rPr>
        <w:t>یکی از مواردی که امربه‌معروف و نهی از منکر متصف به حرمت می‌شود جایی است که عناوین ثانویه محرمی عارض بر امربه‌معروف و نهی از منکر شود و آن عنوان ثانوی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اهم باشد. مانند اینکه درجایی امربه‌معروف موجب فتنه و آشفتگی اجتماعی وسیع شود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و یا اینکه موجب وهن اسلام و یا قتل شود در این موارد امربه‌معروف و نهی از منکر حرام می‌باشد. برای نمونه کم نبوده مواردی که امام علی علیه‌السلام باآنکه در قدرت بوده است و یا اینکه می‌توانسته امربه‌معروف و نهی از منکر کند اما به علت وجود همین عناوین ثانویه، امربه‌معروف و نهی از منکر نکرده است. ابن ابی الحدید می‌گوید در سیاست امیرالمؤمنین و زیرکی سیاسی او همین کافی است که در فتنه قتل عثمان که کل جامعه دو گروه شد و به‌شدت یکدیگر را متهم به کفر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و قتل می‌کردند و فاصله زیادی بین مردم به وجود آمده بود، تا سال‌ها و مدت‌ها دو طرف با امیرالمؤمنین خیلی خوب بودند. امیرالمؤمنین با هر دو رابطه داشت، تا رسید به‌جاهایی که دیگر نمی‌شد. در این مورد نظر امام مشخص بود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ظلم را جایز نمی‌دانست و هرچند فی حد نفسه می‌توانست امربه‌معروف کند اما برای وجود عناوین ثانویه امربه‌معروف نمی‌کردند.</w:t>
      </w:r>
    </w:p>
    <w:p w:rsidR="004C1209" w:rsidRPr="00834EC1" w:rsidRDefault="004C1209" w:rsidP="004C120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1" w:name="_Toc410652765"/>
      <w:r w:rsidRPr="00834EC1">
        <w:rPr>
          <w:rFonts w:ascii="Traditional Arabic" w:hAnsi="Traditional Arabic" w:cs="Traditional Arabic" w:hint="cs"/>
          <w:color w:val="FF0000"/>
          <w:rtl/>
        </w:rPr>
        <w:t>تزاحم امربه‌معروف و ایذا مؤمن</w:t>
      </w:r>
      <w:bookmarkEnd w:id="11"/>
    </w:p>
    <w:p w:rsidR="004C1209" w:rsidRPr="00834EC1" w:rsidRDefault="004C1209" w:rsidP="004C1209">
      <w:pPr>
        <w:spacing w:after="200" w:line="276" w:lineRule="auto"/>
        <w:ind w:firstLine="0"/>
        <w:contextualSpacing w:val="0"/>
        <w:rPr>
          <w:rFonts w:ascii="Traditional Arabic" w:eastAsia="Calibri" w:hAnsi="Traditional Arabic" w:cs="Traditional Arabic"/>
          <w:sz w:val="28"/>
          <w:rtl/>
        </w:rPr>
      </w:pPr>
      <w:r w:rsidRPr="00834EC1">
        <w:rPr>
          <w:rFonts w:ascii="Traditional Arabic" w:eastAsia="Calibri" w:hAnsi="Traditional Arabic" w:cs="Traditional Arabic" w:hint="cs"/>
          <w:sz w:val="28"/>
          <w:rtl/>
        </w:rPr>
        <w:t>سؤال و نکته‌ای که در اینجا مطرح است در مورد تزاحم امربه‌معروف و نهی از منکر با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عناوینی مانند ایذا و آزار دیگران می‌باشد. به‌طورقطع اگر امکان اینکه امربه‌معروف به‌گونه‌ای انجام شود که مستلزم این عناوین نباشند مثل‌اینکه در خفا انجام شود، در این صورت باید به همان شیوه امربه‌معروف و نهی از منکر صورت گیرد اما آیا عنوان ایذا مؤمن این اندازه اهمیت دارد که مانند قتل، فتنه و فساد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مطلقا قائل به تقدم آن بر امربه‌معروف شویم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حتی در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درجات پایین ایذا یا خیر؟ در جواب باید گفت این قاعده کلیت ندارد چون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درهرصورت امربه‌معروف و نهی از منکر مقتضی درجه و نوعی از ایذا و آزار دیگران می‌باشد و در غالب موارد این درجه پایین آن وجود دارد لذا باید نسبت به مصادیق آن اهمیت هرکدام را سنجید. امربه‌معروف و نهی از منکر دارای درجات و مراتبی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است و به خلاف برخی دیگر از محرمات و واجبات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مانند شرب خمر و نماز که تقریباً درجه واحدی دارند و در مقام رفع تزاحم به‌آسانی می‌توان حکم کلی به تقدم یکی از طرفین کرد اما در مورد امربه‌معروف نمی‌توان به‌راحتی حکم کلی به تقدم یکی از طرفین دارد و مصادیق باید ملاحظه شود مثلاً چه‌بسا در مورد حرمت تراشیدن ریش که گناه صغیره است چه‌بسا حرمت ایذا غیر مقدم باشد اما در مورد شرب خمر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یا بدعت،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امربه‌معروف مقدم بر حرمت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ایذا غیر باشد.</w:t>
      </w:r>
    </w:p>
    <w:p w:rsidR="004C1209" w:rsidRPr="00834EC1" w:rsidRDefault="004C1209" w:rsidP="004C1209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2" w:name="_Toc410652766"/>
      <w:r w:rsidRPr="00834EC1">
        <w:rPr>
          <w:rFonts w:ascii="Traditional Arabic" w:hAnsi="Traditional Arabic" w:cs="Traditional Arabic" w:hint="cs"/>
          <w:color w:val="FF0000"/>
          <w:rtl/>
        </w:rPr>
        <w:lastRenderedPageBreak/>
        <w:t>مورد دوم: انتفاء برخی شرایط جواز امربه‌معروف</w:t>
      </w:r>
      <w:bookmarkEnd w:id="12"/>
    </w:p>
    <w:p w:rsidR="004C1209" w:rsidRPr="00834EC1" w:rsidRDefault="004C1209" w:rsidP="004C1209">
      <w:pPr>
        <w:spacing w:after="200" w:line="276" w:lineRule="auto"/>
        <w:ind w:firstLine="0"/>
        <w:contextualSpacing w:val="0"/>
        <w:rPr>
          <w:rFonts w:ascii="Traditional Arabic" w:eastAsia="Calibri" w:hAnsi="Traditional Arabic" w:cs="Traditional Arabic"/>
          <w:sz w:val="28"/>
          <w:rtl/>
        </w:rPr>
      </w:pPr>
      <w:r w:rsidRPr="00834EC1">
        <w:rPr>
          <w:rFonts w:ascii="Traditional Arabic" w:eastAsia="Calibri" w:hAnsi="Traditional Arabic" w:cs="Traditional Arabic" w:hint="cs"/>
          <w:sz w:val="28"/>
          <w:rtl/>
        </w:rPr>
        <w:t>یکی دیگر از مواردی که امربه‌معروف و نهی از منکر متصف به حرمت می‌شود جایی است که برخی شرایط جواز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امربه‌معروف و نهی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از منکر وجود نداشته باشد. در مبحث آینده بیان خواهد شد که برخی از شرایط امربه‌معروف و نهی از منکر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شرط جواز و برخی دیگر شرط وجوب امربه‌معروف و نهی از منکر می‌باشند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که در صورت عدم وجود شرایط جواز مانند عدم ضرر (حداقل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در برخی مراتب) حکم به حرمت امربه‌معروف و نهی از منکر می‌شود.</w:t>
      </w:r>
    </w:p>
    <w:p w:rsidR="004C1209" w:rsidRPr="00834EC1" w:rsidRDefault="004C1209" w:rsidP="004C1209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3" w:name="_Toc410652767"/>
      <w:r w:rsidRPr="00834EC1">
        <w:rPr>
          <w:rFonts w:ascii="Traditional Arabic" w:hAnsi="Traditional Arabic" w:cs="Traditional Arabic" w:hint="cs"/>
          <w:color w:val="FF0000"/>
          <w:rtl/>
        </w:rPr>
        <w:t>مباح بودن امربه‌معروف در تزاحم با عناوین ثانویه مساوی</w:t>
      </w:r>
      <w:bookmarkEnd w:id="13"/>
    </w:p>
    <w:p w:rsidR="00152670" w:rsidRPr="00834EC1" w:rsidRDefault="004C1209" w:rsidP="004C1209">
      <w:pPr>
        <w:spacing w:after="200" w:line="276" w:lineRule="auto"/>
        <w:ind w:firstLine="0"/>
        <w:contextualSpacing w:val="0"/>
        <w:rPr>
          <w:rFonts w:ascii="Traditional Arabic" w:eastAsia="Calibri" w:hAnsi="Traditional Arabic" w:cs="Traditional Arabic"/>
          <w:sz w:val="28"/>
          <w:rtl/>
        </w:rPr>
      </w:pPr>
      <w:r w:rsidRPr="00834EC1">
        <w:rPr>
          <w:rFonts w:ascii="Traditional Arabic" w:eastAsia="Calibri" w:hAnsi="Traditional Arabic" w:cs="Traditional Arabic" w:hint="cs"/>
          <w:sz w:val="28"/>
          <w:rtl/>
        </w:rPr>
        <w:t>در مواردی که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امربه‌معروف و نهی از منکر با عناوین ثانویه محرمه تزاحم کنند و یکی از آن دو نسبت به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دیگری اهم نباشد و متساویین باشند، حکم به مباح بودن امربه‌معروف و نهی از منکر می‌شود و تبعا شخص مخیر به انجام طرفین می‌باشد. همان‌طور که سابقاً نیز گفتیم بخشی از اختلافاتی که گاهی مراجع و برخی علما در مسائل اجتماعی دارند مثل‌اینکه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یکی امربه‌معروف می‌کند و دیگر سکوت می‌کند به خاطر</w:t>
      </w:r>
      <w:r w:rsidRPr="00834EC1">
        <w:rPr>
          <w:rFonts w:ascii="Traditional Arabic" w:eastAsia="Calibri" w:hAnsi="Traditional Arabic" w:cs="Traditional Arabic"/>
          <w:sz w:val="28"/>
          <w:rtl/>
        </w:rPr>
        <w:t xml:space="preserve"> </w:t>
      </w:r>
      <w:r w:rsidRPr="00834EC1">
        <w:rPr>
          <w:rFonts w:ascii="Traditional Arabic" w:eastAsia="Calibri" w:hAnsi="Traditional Arabic" w:cs="Traditional Arabic" w:hint="cs"/>
          <w:sz w:val="28"/>
          <w:rtl/>
        </w:rPr>
        <w:t>همین مطلب است که در تزاحم و تساوی طرفین هرکدام طرفی را برمی‌گزیند البته گاهی نیز به خاطر کارشناسی فقهی یکی از علما طرفی را اهم می‌داند و عالمی دیگر طرف دیگر را اهم می‌داند و گاهی نیز این اختلاف به خاطر کارشناسی‌های موضوعی می‌باشد.</w:t>
      </w:r>
    </w:p>
    <w:sectPr w:rsidR="00152670" w:rsidRPr="00834EC1" w:rsidSect="007B0062">
      <w:headerReference w:type="default" r:id="rId7"/>
      <w:footerReference w:type="default" r:id="rId8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F4" w:rsidRDefault="00F804F4" w:rsidP="000D5800">
      <w:pPr>
        <w:spacing w:after="0"/>
      </w:pPr>
      <w:r>
        <w:separator/>
      </w:r>
    </w:p>
  </w:endnote>
  <w:endnote w:type="continuationSeparator" w:id="0">
    <w:p w:rsidR="00F804F4" w:rsidRDefault="00F804F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EC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F4" w:rsidRDefault="00F804F4" w:rsidP="000D5800">
      <w:pPr>
        <w:spacing w:after="0"/>
      </w:pPr>
      <w:r>
        <w:separator/>
      </w:r>
    </w:p>
  </w:footnote>
  <w:footnote w:type="continuationSeparator" w:id="0">
    <w:p w:rsidR="00F804F4" w:rsidRDefault="00F804F4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4C1209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B24FB20" wp14:editId="34C2E88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4" w:name="OLE_LINK1"/>
    <w:bookmarkStart w:id="15" w:name="OLE_LINK2"/>
    <w:r>
      <w:rPr>
        <w:noProof/>
      </w:rPr>
      <w:drawing>
        <wp:inline distT="0" distB="0" distL="0" distR="0" wp14:anchorId="3460083E" wp14:editId="63291401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4C1209">
      <w:rPr>
        <w:rFonts w:ascii="IranNastaliq" w:hAnsi="IranNastaliq" w:cs="IranNastaliq" w:hint="cs"/>
        <w:sz w:val="40"/>
        <w:szCs w:val="40"/>
        <w:rtl/>
      </w:rPr>
      <w:t>3745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09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22C0C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B337F"/>
    <w:rsid w:val="004C1209"/>
    <w:rsid w:val="004F3596"/>
    <w:rsid w:val="00530FD7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34EC1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0E5D"/>
    <w:rsid w:val="00CB5DA3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804F4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C1209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4C12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C1209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4C1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Eshragh</cp:lastModifiedBy>
  <cp:revision>2</cp:revision>
  <dcterms:created xsi:type="dcterms:W3CDTF">2015-02-03T06:18:00Z</dcterms:created>
  <dcterms:modified xsi:type="dcterms:W3CDTF">2015-05-09T07:06:00Z</dcterms:modified>
</cp:coreProperties>
</file>