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17" w:rsidRPr="005C1E6E" w:rsidRDefault="008F5C17" w:rsidP="008C2CA6">
      <w:pPr>
        <w:pStyle w:val="3"/>
        <w:rPr>
          <w:rtl/>
        </w:rPr>
      </w:pPr>
      <w:r w:rsidRPr="005C1E6E">
        <w:rPr>
          <w:rFonts w:hint="cs"/>
          <w:rtl/>
        </w:rPr>
        <w:t>ادامه شرط دوم: تنجز تکلیف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در شرط دوم از شرایط مأمور و منهی «تنجز تکلیف» با اختلاف اجتهادی بحث می</w:t>
      </w:r>
      <w:r w:rsidRPr="005C1E6E">
        <w:rPr>
          <w:rtl/>
        </w:rPr>
        <w:softHyphen/>
      </w:r>
      <w:r w:rsidRPr="005C1E6E">
        <w:rPr>
          <w:rFonts w:hint="cs"/>
          <w:rtl/>
        </w:rPr>
        <w:t>شد.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وقتی سروکار مجتهد با مجتهد دیگر باشد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که واجبی را ترک یا محرمی را مرتکب می</w:t>
      </w:r>
      <w:r w:rsidRPr="005C1E6E">
        <w:rPr>
          <w:rtl/>
        </w:rPr>
        <w:softHyphen/>
      </w:r>
      <w:r w:rsidRPr="005C1E6E">
        <w:rPr>
          <w:rFonts w:hint="cs"/>
          <w:rtl/>
        </w:rPr>
        <w:t>شود که از دید مرتکب معصیت نیست اما از دیدگاه آمر و ناهی معصیت است. از نگاه آمر و ناهی اجتهادش خطا است اما از دیدگاه مأمور و منهی چنین نیست. در این صورت اطلاقات ارشاد و امرونهی شامل می</w:t>
      </w:r>
      <w:r w:rsidRPr="005C1E6E">
        <w:rPr>
          <w:rtl/>
        </w:rPr>
        <w:softHyphen/>
      </w:r>
      <w:r w:rsidRPr="005C1E6E">
        <w:rPr>
          <w:rFonts w:hint="cs"/>
          <w:rtl/>
        </w:rPr>
        <w:t xml:space="preserve">شود. 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اما عمده مسئله در صورتی است که اجتهاد را طی نموده باشد و مقصر نباشد بلکه قاصر و معذور باشد. لذا این اجتهادِ اشتباه، مبنای عمل اشتباه شده است؛ آیا باید امربه‌معروف و نهی از منکر نماید؟ این اجتهاد که بر روال عادی باشد و موجب ترک واجبی باشد، آیا اطلاقات شامل می</w:t>
      </w:r>
      <w:r w:rsidRPr="005C1E6E">
        <w:rPr>
          <w:rtl/>
        </w:rPr>
        <w:softHyphen/>
      </w:r>
      <w:r w:rsidRPr="005C1E6E">
        <w:rPr>
          <w:rFonts w:hint="cs"/>
          <w:rtl/>
        </w:rPr>
        <w:t>شود و امربه‌معروف و نهی از منکر لازم است؟ وجهی برای لزوم امربه‌معروف و نهی از منکر اطلاقات است.</w:t>
      </w:r>
    </w:p>
    <w:p w:rsidR="008F5C17" w:rsidRPr="005C1E6E" w:rsidRDefault="008F5C17" w:rsidP="008C2CA6">
      <w:pPr>
        <w:pStyle w:val="4"/>
        <w:rPr>
          <w:rtl/>
        </w:rPr>
      </w:pPr>
      <w:r w:rsidRPr="005C1E6E">
        <w:rPr>
          <w:rFonts w:hint="cs"/>
          <w:rtl/>
        </w:rPr>
        <w:t>وجوه عدم شمول اطلاقات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وجه عدم شمول اطلاقات این است که</w:t>
      </w:r>
      <w:r w:rsidR="008C2CA6">
        <w:rPr>
          <w:rFonts w:hint="cs"/>
          <w:rtl/>
        </w:rPr>
        <w:t>: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1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ـ این مورد مصداقاً منکر نیست؛ زیرا مستند به اجتهاد فرد است. در مثال نماز جمعه، ترک نماز جمعه، مصداق ترک معروف نیست؛ زیرا معذوریت، در معروف و منکر اثر دارد.</w:t>
      </w:r>
    </w:p>
    <w:p w:rsidR="008F5C17" w:rsidRPr="005C1E6E" w:rsidRDefault="008C2CA6" w:rsidP="005C1E6E">
      <w:pPr>
        <w:rPr>
          <w:rtl/>
        </w:rPr>
      </w:pPr>
      <w:r w:rsidRPr="008C2CA6">
        <w:rPr>
          <w:rFonts w:hint="cs"/>
          <w:b/>
          <w:bCs/>
          <w:rtl/>
        </w:rPr>
        <w:t>بررسی</w:t>
      </w:r>
      <w:r>
        <w:rPr>
          <w:rFonts w:hint="cs"/>
          <w:rtl/>
        </w:rPr>
        <w:t xml:space="preserve">: </w:t>
      </w:r>
      <w:r w:rsidR="008F5C17" w:rsidRPr="005C1E6E">
        <w:rPr>
          <w:rFonts w:hint="cs"/>
          <w:rtl/>
        </w:rPr>
        <w:t>قائل شدن به این وجه، مشکل است؛ زیرا ازنظر او که واقع را می‌بیند، در این وجه ممکن است که بین حالات آمر و ناهی تفصیل قائل شویم. اگر آمر و ناهی علم قطعی دارد، شاید امربه‌معروف و نهی از منکر لازم باشد؛ زیرا معروف و منکر هست؛ اما اگر علم قطعی نداشته باشد، معروف و منکر  نیست؛ و درنتیجه محل امربه‌معروف و نهی از منکر نیست.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lastRenderedPageBreak/>
        <w:t>2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ـ ادله ارشاد جاهل، مربوط به جاهل است؛ یا مربوط به کسی است که راه را اشتباه رفته باشد؛ لذا این مورد شامل نمی</w:t>
      </w:r>
      <w:r w:rsidRPr="005C1E6E">
        <w:rPr>
          <w:rtl/>
        </w:rPr>
        <w:softHyphen/>
      </w:r>
      <w:r w:rsidRPr="005C1E6E">
        <w:rPr>
          <w:rFonts w:hint="cs"/>
          <w:rtl/>
        </w:rPr>
        <w:t>شود.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3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 xml:space="preserve">ـ  ادله معذوریت و اینکه مجتهد در عمل خود، به رأیی که موافق با دیدگاه دیگری نباشد، عمل نماید؛ و این ادله معذوریت، ناظر و حاکم بر ادله ارشاد جاهل و امربه‌معروف و نهی از منکر است. 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درمجموع، انصراف وجه درست است. علی‌الاصول در تبادرات عرفی نمی</w:t>
      </w:r>
      <w:r w:rsidRPr="005C1E6E">
        <w:rPr>
          <w:rtl/>
        </w:rPr>
        <w:softHyphen/>
      </w:r>
      <w:r w:rsidRPr="005C1E6E">
        <w:rPr>
          <w:rFonts w:hint="cs"/>
          <w:rtl/>
        </w:rPr>
        <w:t>آید که مجتهدی که روال عادی را طی نموده باشد، اطلاقات امربه‌معروف و نهی از منکر شامل آن شود.</w:t>
      </w:r>
    </w:p>
    <w:p w:rsidR="008F5C17" w:rsidRPr="005C1E6E" w:rsidRDefault="008F5C17" w:rsidP="008C2CA6">
      <w:pPr>
        <w:pStyle w:val="4"/>
        <w:rPr>
          <w:rtl/>
        </w:rPr>
      </w:pPr>
      <w:r w:rsidRPr="005C1E6E">
        <w:rPr>
          <w:rFonts w:hint="cs"/>
          <w:rtl/>
        </w:rPr>
        <w:t>موارد استثناء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1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 xml:space="preserve">ـ امرونهی مجتهد دیگر لازم نیست، مگر اینکه موضوع، از موضوعات خیلی مهم باشد که موجب هتک شریعت شود. ممکن است امربه‌معروف و نهی از منکر در این صورت لازم باشد. 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2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ـ اگر شاذ و نادر باشد و حرف جدید زدن نیز ممکن باشد؛ امرونهی را لازم بدانیم؛ اما در حالات طبیعی و اینکه مثلاً فردی برای جبران خطایش کفاره بدهد یا ندهد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و به‌خصوص اگر مسئله اختلافی باشد، انصراف قوی است.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3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ـ اگر فردی از دید خودش گناه کند و از دیدگاه شخص بیرونی معصیت نباشد، در این صورت امربه‌معروف و نهی از منکر لازم نیست؛ زیرا از دید آمر و ناهی، ترک معروف و انجام منکر نشده است.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البته اگر کسی قائل به حرمت تجری باشد، باید نهی از تجری نماید؛ و یا اگر توبه را واجب دانستیم، فرد را وادار به توبه نماید.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نکته دیگر، بحث بدعت است که بعداً مطرح می</w:t>
      </w:r>
      <w:r w:rsidRPr="005C1E6E">
        <w:rPr>
          <w:rFonts w:hint="cs"/>
          <w:rtl/>
        </w:rPr>
        <w:softHyphen/>
        <w:t>کنیم.</w:t>
      </w:r>
    </w:p>
    <w:p w:rsidR="008F5C17" w:rsidRPr="005C1E6E" w:rsidRDefault="008F5C17" w:rsidP="008C2CA6">
      <w:pPr>
        <w:pStyle w:val="3"/>
        <w:rPr>
          <w:rtl/>
        </w:rPr>
      </w:pPr>
      <w:r w:rsidRPr="005C1E6E">
        <w:rPr>
          <w:rFonts w:hint="cs"/>
          <w:rtl/>
        </w:rPr>
        <w:lastRenderedPageBreak/>
        <w:t>شرط سوم: اصرار بر معصیت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اصرار بر معصیت، شرط وجوب امربه‌معروف و نهی از منکر دانسته شده است. در کتاب شرایع و قبل از آن، این شرط مطرح بوده است. در مورد این شرط، روایت و دلیل نقلی نداریم؛ بلکه شرط، شرط اجتهادی است.</w:t>
      </w:r>
    </w:p>
    <w:p w:rsidR="008F5C17" w:rsidRPr="008C2CA6" w:rsidRDefault="008F5C17" w:rsidP="005C1E6E">
      <w:pPr>
        <w:rPr>
          <w:b/>
          <w:bCs/>
          <w:rtl/>
        </w:rPr>
      </w:pPr>
      <w:r w:rsidRPr="008C2CA6">
        <w:rPr>
          <w:rFonts w:hint="cs"/>
          <w:b/>
          <w:bCs/>
          <w:rtl/>
        </w:rPr>
        <w:t>سیر تحول شرط سوم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در بیان این شرط، شاهد تغییراتی در چگونگی تبیین آن هستیم:</w:t>
      </w:r>
    </w:p>
    <w:p w:rsidR="008F5C17" w:rsidRPr="005C1E6E" w:rsidRDefault="008F5C17" w:rsidP="005C1E6E">
      <w:r w:rsidRPr="005C1E6E">
        <w:rPr>
          <w:rFonts w:hint="cs"/>
          <w:rtl/>
        </w:rPr>
        <w:t>طرح عنوان «اصرار»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و اینکه ترک نماز یا شُرب شراب انجام‌شده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>و عمل و زمان آن تمام‌شده باشد، نسبت به آینده در صورتی نهی و امر لازم است که قصد اصرار و تکرار داشته باشد</w:t>
      </w:r>
      <w:r w:rsidRPr="005C1E6E">
        <w:rPr>
          <w:rtl/>
        </w:rPr>
        <w:t xml:space="preserve"> </w:t>
      </w:r>
      <w:r w:rsidRPr="005C1E6E">
        <w:rPr>
          <w:rFonts w:hint="cs"/>
          <w:rtl/>
        </w:rPr>
        <w:t xml:space="preserve">و اگر قصد تکرار نداشته باشد نه‌تنها امربه‌معروف و نهی از منکر لازم نیست بلکه گاهی حرام نیز </w:t>
      </w:r>
      <w:r w:rsidRPr="005C1E6E">
        <w:rPr>
          <w:rFonts w:hint="eastAsia"/>
          <w:rtl/>
        </w:rPr>
        <w:t>م</w:t>
      </w:r>
      <w:r w:rsidRPr="005C1E6E">
        <w:rPr>
          <w:rFonts w:hint="cs"/>
          <w:rtl/>
        </w:rPr>
        <w:t>ی‌</w:t>
      </w:r>
      <w:r w:rsidRPr="005C1E6E">
        <w:rPr>
          <w:rFonts w:hint="eastAsia"/>
          <w:rtl/>
        </w:rPr>
        <w:t>باشد</w:t>
      </w:r>
      <w:r w:rsidRPr="005C1E6E">
        <w:rPr>
          <w:rFonts w:hint="cs"/>
          <w:rtl/>
        </w:rPr>
        <w:t xml:space="preserve">. </w:t>
      </w:r>
    </w:p>
    <w:p w:rsidR="008F5C17" w:rsidRPr="005C1E6E" w:rsidRDefault="008F5C17" w:rsidP="005C1E6E">
      <w:r w:rsidRPr="005C1E6E">
        <w:rPr>
          <w:rFonts w:hint="cs"/>
          <w:rtl/>
        </w:rPr>
        <w:t xml:space="preserve">اصرار گاه حالت تکرار دارد (مانند ترک نمازهای متعدد و </w:t>
      </w:r>
      <w:r w:rsidRPr="005C1E6E">
        <w:rPr>
          <w:rFonts w:hint="eastAsia"/>
          <w:rtl/>
        </w:rPr>
        <w:t>شرب‌ها</w:t>
      </w:r>
      <w:r w:rsidRPr="005C1E6E">
        <w:rPr>
          <w:rFonts w:hint="cs"/>
          <w:rtl/>
        </w:rPr>
        <w:t xml:space="preserve">ی متعدد) و گاهی تکرار نیست بلکه استمرار است </w:t>
      </w:r>
      <w:r w:rsidRPr="005C1E6E">
        <w:rPr>
          <w:rFonts w:hint="eastAsia"/>
          <w:rtl/>
        </w:rPr>
        <w:t>مثلاً</w:t>
      </w:r>
      <w:r w:rsidRPr="005C1E6E">
        <w:rPr>
          <w:rFonts w:hint="cs"/>
          <w:rtl/>
        </w:rPr>
        <w:t xml:space="preserve"> چیزی را غصب نموده و آن را استمرار می</w:t>
      </w:r>
      <w:r w:rsidRPr="005C1E6E">
        <w:rPr>
          <w:rtl/>
        </w:rPr>
        <w:softHyphen/>
      </w:r>
      <w:r w:rsidRPr="005C1E6E">
        <w:rPr>
          <w:rFonts w:hint="cs"/>
          <w:rtl/>
        </w:rPr>
        <w:t>دهد.  اصرار بر معصیت هر دو مورد را شامل می</w:t>
      </w:r>
      <w:r w:rsidRPr="005C1E6E">
        <w:rPr>
          <w:rtl/>
        </w:rPr>
        <w:softHyphen/>
      </w:r>
      <w:r w:rsidRPr="005C1E6E">
        <w:rPr>
          <w:rFonts w:hint="cs"/>
          <w:rtl/>
        </w:rPr>
        <w:t>شود. پس عنوان اصرار بر معصیت، اعم از تکرار و استمرار است.</w:t>
      </w:r>
    </w:p>
    <w:p w:rsidR="008F5C17" w:rsidRPr="005C1E6E" w:rsidRDefault="008F5C17" w:rsidP="005C1E6E">
      <w:r w:rsidRPr="005C1E6E">
        <w:rPr>
          <w:rFonts w:hint="cs"/>
          <w:rtl/>
        </w:rPr>
        <w:t xml:space="preserve">برخی بر این باورند که ملاک امربه‌معروف و نهی از منکر قصد گناه است نه تکرار یا استمرار؛ و لو اینکه تابه‌حال تکرار ننموده باشد، شرط فقط اصرار بر تکرار یا استمرار نیست بلکه جامع همه </w:t>
      </w:r>
      <w:r w:rsidRPr="005C1E6E">
        <w:rPr>
          <w:rFonts w:hint="eastAsia"/>
          <w:rtl/>
        </w:rPr>
        <w:t>ا</w:t>
      </w:r>
      <w:r w:rsidRPr="005C1E6E">
        <w:rPr>
          <w:rFonts w:hint="cs"/>
          <w:rtl/>
        </w:rPr>
        <w:t>ی</w:t>
      </w:r>
      <w:r w:rsidRPr="005C1E6E">
        <w:rPr>
          <w:rFonts w:hint="eastAsia"/>
          <w:rtl/>
        </w:rPr>
        <w:t>ن‌ها</w:t>
      </w:r>
      <w:r w:rsidRPr="005C1E6E">
        <w:rPr>
          <w:rFonts w:hint="cs"/>
          <w:rtl/>
        </w:rPr>
        <w:t>، قصد گناه است. موضوع امربه‌معروف و نهی از منکر آن است که اگر فردی در آستانه وقوع گناه باشد، باید جلوگیری نمود، نخستین بار یا دومین بار یا در تداوم گناه و ... باشد یا نباشد، فرق نمی</w:t>
      </w:r>
      <w:r w:rsidRPr="005C1E6E">
        <w:rPr>
          <w:rtl/>
        </w:rPr>
        <w:softHyphen/>
      </w:r>
      <w:r w:rsidRPr="005C1E6E">
        <w:rPr>
          <w:rFonts w:hint="cs"/>
          <w:rtl/>
        </w:rPr>
        <w:t>کند.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 xml:space="preserve">عده‌ای بر این باورند که قصد موضوعیت ندارد؛ نه قصد تکرار، نه قصد استمرار و نه قصد صدور معصیت بلکه موضوع امربه‌معروف و نهی از منکر، «وقوع عمل» است لذا اگر در شُرف انجام عمل باشد، </w:t>
      </w:r>
      <w:r w:rsidRPr="005C1E6E">
        <w:rPr>
          <w:rFonts w:hint="cs"/>
          <w:rtl/>
        </w:rPr>
        <w:lastRenderedPageBreak/>
        <w:t>امربه‌معروف و نهی از منکر واجب است. حتی اگر قبل از انجام گناه قصد نداشته و فقط در آغاز انجام گناه، قصد می</w:t>
      </w:r>
      <w:r w:rsidRPr="005C1E6E">
        <w:rPr>
          <w:rtl/>
        </w:rPr>
        <w:softHyphen/>
      </w:r>
      <w:r w:rsidRPr="005C1E6E">
        <w:rPr>
          <w:rFonts w:hint="cs"/>
          <w:rtl/>
        </w:rPr>
        <w:t>کند، باید امرونهی نمود. حتی حالتی که قبل از انجام غافل بوده است، باید امربه‌معروف و نهی از منکر نمود.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البته بحث احراز لازم است و یا صِرف احتمال کافی است، در اینکه فرد گناه می</w:t>
      </w:r>
      <w:r w:rsidRPr="005C1E6E">
        <w:rPr>
          <w:rFonts w:hint="cs"/>
          <w:rtl/>
        </w:rPr>
        <w:softHyphen/>
        <w:t>کند، بحث جداگانه</w:t>
      </w:r>
      <w:r w:rsidRPr="005C1E6E">
        <w:rPr>
          <w:rtl/>
        </w:rPr>
        <w:softHyphen/>
      </w:r>
      <w:r w:rsidRPr="005C1E6E">
        <w:rPr>
          <w:rFonts w:hint="cs"/>
          <w:rtl/>
        </w:rPr>
        <w:t>ای است، فعلاً شما صورت احراز (قدر متیقن) در نظر بگیرید.</w:t>
      </w:r>
      <w:r w:rsidRPr="005C1E6E">
        <w:rPr>
          <w:rtl/>
        </w:rPr>
        <w:footnoteReference w:id="1"/>
      </w:r>
      <w:r w:rsidRPr="005C1E6E">
        <w:rPr>
          <w:rFonts w:hint="cs"/>
          <w:rtl/>
        </w:rPr>
        <w:t xml:space="preserve"> شرط اصلی احراز وقوع فعل است. در صورت عدم قصد یا عدم وقوع فعل، موضوع برای امربه‌معروف و نهی از منکر وجود ندارد؛ این شرط، شرط محقِّق موضوع است.</w:t>
      </w:r>
    </w:p>
    <w:p w:rsidR="008F5C17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بحث جلسه آینده</w:t>
      </w:r>
    </w:p>
    <w:p w:rsidR="00B42AA1" w:rsidRPr="005C1E6E" w:rsidRDefault="008F5C17" w:rsidP="005C1E6E">
      <w:pPr>
        <w:rPr>
          <w:rtl/>
        </w:rPr>
      </w:pPr>
      <w:r w:rsidRPr="005C1E6E">
        <w:rPr>
          <w:rFonts w:hint="cs"/>
          <w:rtl/>
        </w:rPr>
        <w:t>در این مورد مداقه بیشتر خواهیم داشت. چه چیزی شرط است؟ قصد یا وقوع، قصد تکرار یا استمرار و ... جای بحث دارد.</w:t>
      </w:r>
    </w:p>
    <w:p w:rsidR="00D919D6" w:rsidRPr="005C1E6E" w:rsidRDefault="00D919D6" w:rsidP="005C1E6E">
      <w:bookmarkStart w:id="0" w:name="_GoBack"/>
      <w:bookmarkEnd w:id="0"/>
    </w:p>
    <w:sectPr w:rsidR="00D919D6" w:rsidRPr="005C1E6E" w:rsidSect="00EA71A7">
      <w:headerReference w:type="default" r:id="rId8"/>
      <w:footerReference w:type="default" r:id="rId9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15" w:rsidRDefault="00097515" w:rsidP="000D5800">
      <w:pPr>
        <w:spacing w:after="0"/>
      </w:pPr>
      <w:r>
        <w:separator/>
      </w:r>
    </w:p>
  </w:endnote>
  <w:endnote w:type="continuationSeparator" w:id="0">
    <w:p w:rsidR="00097515" w:rsidRDefault="0009751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F52F75" w:rsidP="00F52F75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A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15" w:rsidRDefault="00097515" w:rsidP="000D5800">
      <w:pPr>
        <w:spacing w:after="0"/>
      </w:pPr>
      <w:r>
        <w:separator/>
      </w:r>
    </w:p>
  </w:footnote>
  <w:footnote w:type="continuationSeparator" w:id="0">
    <w:p w:rsidR="00097515" w:rsidRDefault="00097515" w:rsidP="000D5800">
      <w:pPr>
        <w:spacing w:after="0"/>
      </w:pPr>
      <w:r>
        <w:continuationSeparator/>
      </w:r>
    </w:p>
  </w:footnote>
  <w:footnote w:id="1">
    <w:p w:rsidR="008F5C17" w:rsidRPr="00A266A2" w:rsidRDefault="008F5C17" w:rsidP="008F5C17">
      <w:pPr>
        <w:pStyle w:val="a1"/>
        <w:rPr>
          <w:b/>
          <w:bCs/>
          <w:rtl/>
        </w:rPr>
      </w:pPr>
      <w:r w:rsidRPr="00A266A2">
        <w:rPr>
          <w:rStyle w:val="aff0"/>
          <w:rFonts w:eastAsia="2  Lotus"/>
          <w:b/>
          <w:bCs/>
        </w:rPr>
        <w:footnoteRef/>
      </w:r>
      <w:r>
        <w:rPr>
          <w:rFonts w:hint="cs"/>
          <w:b/>
          <w:bCs/>
          <w:rtl/>
        </w:rPr>
        <w:t>-</w:t>
      </w:r>
      <w:r w:rsidRPr="00A266A2">
        <w:rPr>
          <w:rFonts w:hint="cs"/>
          <w:b/>
          <w:bCs/>
          <w:rtl/>
        </w:rPr>
        <w:t xml:space="preserve"> رک: فقه امر به معروف و نهی از منکر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D6" w:rsidRPr="00B46EB8" w:rsidRDefault="005E14D6" w:rsidP="005C52F2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5D12C156" wp14:editId="338FF368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فقه </w:t>
    </w:r>
    <w:r>
      <w:rPr>
        <w:rFonts w:ascii="Adobe Arabic" w:hAnsi="Adobe Arabic" w:cs="Adobe Arabic" w:hint="cs"/>
        <w:b/>
        <w:bCs/>
        <w:sz w:val="28"/>
        <w:szCs w:val="28"/>
        <w:rtl/>
      </w:rPr>
      <w:t>تربیتی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</w:t>
    </w:r>
    <w:r w:rsidR="008F5C17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1A4309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Pr="008F5C17">
      <w:rPr>
        <w:rFonts w:ascii="Adobe Arabic" w:hAnsi="Adobe Arabic" w:cs="Adobe Arabic"/>
        <w:b/>
        <w:bCs/>
        <w:sz w:val="28"/>
        <w:szCs w:val="28"/>
        <w:rtl/>
      </w:rPr>
      <w:t xml:space="preserve">عنوان اصلی: </w:t>
    </w:r>
    <w:r w:rsidR="005C52F2" w:rsidRPr="00C915E5">
      <w:rPr>
        <w:rFonts w:ascii="Adobe Arabic" w:hAnsi="Adobe Arabic" w:cs="Adobe Arabic"/>
        <w:sz w:val="28"/>
        <w:szCs w:val="28"/>
        <w:rtl/>
      </w:rPr>
      <w:t>امر به معروف و نهی از منکر</w:t>
    </w:r>
    <w:r w:rsidR="005C52F2">
      <w:rPr>
        <w:rFonts w:ascii="IranNastaliq" w:hAnsi="IranNastaliq" w:hint="cs"/>
        <w:rtl/>
      </w:rPr>
      <w:t xml:space="preserve">   </w:t>
    </w:r>
    <w:r w:rsidR="005C52F2">
      <w:rPr>
        <w:rFonts w:ascii="Adobe Arabic" w:hAnsi="Adobe Arabic" w:cs="Adobe Arabic"/>
        <w:sz w:val="28"/>
        <w:szCs w:val="28"/>
        <w:rtl/>
      </w:rPr>
      <w:t xml:space="preserve">          </w:t>
    </w:r>
    <w:r w:rsidR="005C52F2" w:rsidRPr="00C277D3">
      <w:rPr>
        <w:rFonts w:ascii="Adobe Arabic" w:hAnsi="Adobe Arabic" w:cs="Adobe Arabic"/>
        <w:sz w:val="28"/>
        <w:szCs w:val="28"/>
        <w:rtl/>
      </w:rPr>
      <w:t xml:space="preserve">   </w:t>
    </w:r>
    <w:r w:rsidR="005C52F2">
      <w:rPr>
        <w:rFonts w:ascii="Adobe Arabic" w:hAnsi="Adobe Arabic" w:cs="Adobe Arabic" w:hint="cs"/>
        <w:sz w:val="28"/>
        <w:szCs w:val="28"/>
        <w:rtl/>
      </w:rPr>
      <w:t xml:space="preserve">  </w:t>
    </w:r>
    <w:r w:rsidR="005C52F2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 w:rsidRPr="008F5C17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Pr="008F5C17">
      <w:rPr>
        <w:rFonts w:ascii="Adobe Arabic" w:hAnsi="Adobe Arabic" w:cs="Adobe Arabic"/>
        <w:b/>
        <w:bCs/>
        <w:sz w:val="28"/>
        <w:szCs w:val="28"/>
        <w:rtl/>
      </w:rPr>
      <w:t xml:space="preserve"> تاریخ جلسه: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F5C17" w:rsidRPr="008F5C17">
      <w:rPr>
        <w:rFonts w:ascii="Adobe Arabic" w:hAnsi="Adobe Arabic" w:cs="Adobe Arabic" w:hint="cs"/>
        <w:sz w:val="28"/>
        <w:szCs w:val="28"/>
        <w:rtl/>
      </w:rPr>
      <w:t>27/08/1393</w:t>
    </w:r>
  </w:p>
  <w:p w:rsidR="005E14D6" w:rsidRPr="008F5C17" w:rsidRDefault="005E14D6" w:rsidP="001516D2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</w:t>
    </w:r>
    <w:r w:rsidRPr="008F5C17">
      <w:rPr>
        <w:rFonts w:ascii="Adobe Arabic" w:hAnsi="Adobe Arabic" w:cs="Adobe Arabic"/>
        <w:b/>
        <w:bCs/>
        <w:sz w:val="28"/>
        <w:szCs w:val="28"/>
        <w:rtl/>
      </w:rPr>
      <w:t xml:space="preserve">عنوان فرعی: </w:t>
    </w:r>
    <w:r w:rsidR="001516D2">
      <w:rPr>
        <w:rFonts w:ascii="Adobe Arabic" w:hAnsi="Adobe Arabic" w:cs="Adobe Arabic"/>
        <w:sz w:val="28"/>
        <w:szCs w:val="28"/>
        <w:rtl/>
      </w:rPr>
      <w:t xml:space="preserve">شرایط مأمور و منهی                                  </w:t>
    </w:r>
    <w:r w:rsidRPr="008F5C17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5C1E6E">
      <w:rPr>
        <w:rFonts w:ascii="Adobe Arabic" w:hAnsi="Adobe Arabic" w:cs="Adobe Arabic" w:hint="cs"/>
        <w:b/>
        <w:bCs/>
        <w:sz w:val="28"/>
        <w:szCs w:val="28"/>
        <w:rtl/>
      </w:rPr>
      <w:t xml:space="preserve"> 60</w:t>
    </w:r>
  </w:p>
  <w:p w:rsidR="000D5800" w:rsidRPr="005E14D6" w:rsidRDefault="000D5800" w:rsidP="005E14D6">
    <w:pPr>
      <w:pStyle w:val="af9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9DE"/>
    <w:multiLevelType w:val="hybridMultilevel"/>
    <w:tmpl w:val="F932A8C4"/>
    <w:lvl w:ilvl="0" w:tplc="1D68A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17"/>
    <w:rsid w:val="00020BF0"/>
    <w:rsid w:val="000228A2"/>
    <w:rsid w:val="000324F1"/>
    <w:rsid w:val="00052BA3"/>
    <w:rsid w:val="0006363E"/>
    <w:rsid w:val="00076053"/>
    <w:rsid w:val="0008061A"/>
    <w:rsid w:val="00080DFF"/>
    <w:rsid w:val="00085ED5"/>
    <w:rsid w:val="00097515"/>
    <w:rsid w:val="000A1A51"/>
    <w:rsid w:val="000A20AB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16D2"/>
    <w:rsid w:val="00152670"/>
    <w:rsid w:val="00166DD8"/>
    <w:rsid w:val="001712D6"/>
    <w:rsid w:val="001757C8"/>
    <w:rsid w:val="00177934"/>
    <w:rsid w:val="00192A6A"/>
    <w:rsid w:val="00196B33"/>
    <w:rsid w:val="00197CDD"/>
    <w:rsid w:val="001A4309"/>
    <w:rsid w:val="001C367D"/>
    <w:rsid w:val="001D24F8"/>
    <w:rsid w:val="001E306E"/>
    <w:rsid w:val="001E3FB0"/>
    <w:rsid w:val="001E4FFF"/>
    <w:rsid w:val="001F2E3E"/>
    <w:rsid w:val="001F680E"/>
    <w:rsid w:val="00224C0A"/>
    <w:rsid w:val="002376A5"/>
    <w:rsid w:val="002417C9"/>
    <w:rsid w:val="002529C5"/>
    <w:rsid w:val="00270294"/>
    <w:rsid w:val="00291000"/>
    <w:rsid w:val="002914BD"/>
    <w:rsid w:val="0029310D"/>
    <w:rsid w:val="00297263"/>
    <w:rsid w:val="002C56FD"/>
    <w:rsid w:val="002D49E4"/>
    <w:rsid w:val="002E450B"/>
    <w:rsid w:val="002E73F9"/>
    <w:rsid w:val="002F05B9"/>
    <w:rsid w:val="00340BA3"/>
    <w:rsid w:val="00366400"/>
    <w:rsid w:val="00381FAA"/>
    <w:rsid w:val="00396F28"/>
    <w:rsid w:val="003A1A05"/>
    <w:rsid w:val="003A2654"/>
    <w:rsid w:val="003C06BF"/>
    <w:rsid w:val="003C7899"/>
    <w:rsid w:val="003D2F0A"/>
    <w:rsid w:val="003D563F"/>
    <w:rsid w:val="003D60FD"/>
    <w:rsid w:val="003E1E58"/>
    <w:rsid w:val="00405199"/>
    <w:rsid w:val="00410699"/>
    <w:rsid w:val="00413588"/>
    <w:rsid w:val="00415360"/>
    <w:rsid w:val="00420C36"/>
    <w:rsid w:val="0044591E"/>
    <w:rsid w:val="004651D2"/>
    <w:rsid w:val="00465D26"/>
    <w:rsid w:val="004679F8"/>
    <w:rsid w:val="004B337F"/>
    <w:rsid w:val="004F0AC6"/>
    <w:rsid w:val="004F3596"/>
    <w:rsid w:val="00543B1E"/>
    <w:rsid w:val="00572E2D"/>
    <w:rsid w:val="00592103"/>
    <w:rsid w:val="005A545E"/>
    <w:rsid w:val="005A5862"/>
    <w:rsid w:val="005B0852"/>
    <w:rsid w:val="005C06AE"/>
    <w:rsid w:val="005C1E6E"/>
    <w:rsid w:val="005C52F2"/>
    <w:rsid w:val="005C63B1"/>
    <w:rsid w:val="005E14D6"/>
    <w:rsid w:val="005F34A1"/>
    <w:rsid w:val="00610C18"/>
    <w:rsid w:val="0061376C"/>
    <w:rsid w:val="00636EFA"/>
    <w:rsid w:val="0066229C"/>
    <w:rsid w:val="0069696C"/>
    <w:rsid w:val="006A085A"/>
    <w:rsid w:val="006D3A87"/>
    <w:rsid w:val="006F01B4"/>
    <w:rsid w:val="006F24E5"/>
    <w:rsid w:val="007206A0"/>
    <w:rsid w:val="00734D59"/>
    <w:rsid w:val="0073609B"/>
    <w:rsid w:val="0075134F"/>
    <w:rsid w:val="00752745"/>
    <w:rsid w:val="00753AA6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63D5"/>
    <w:rsid w:val="008407A4"/>
    <w:rsid w:val="00845CC4"/>
    <w:rsid w:val="00855C41"/>
    <w:rsid w:val="008644F4"/>
    <w:rsid w:val="00882D33"/>
    <w:rsid w:val="00883733"/>
    <w:rsid w:val="008965D2"/>
    <w:rsid w:val="008A236D"/>
    <w:rsid w:val="008B565A"/>
    <w:rsid w:val="008C2CA6"/>
    <w:rsid w:val="008C3414"/>
    <w:rsid w:val="008D36D5"/>
    <w:rsid w:val="008F5C17"/>
    <w:rsid w:val="008F63E3"/>
    <w:rsid w:val="00913C3B"/>
    <w:rsid w:val="00915509"/>
    <w:rsid w:val="0091738B"/>
    <w:rsid w:val="00927388"/>
    <w:rsid w:val="009274FE"/>
    <w:rsid w:val="009401AC"/>
    <w:rsid w:val="009613AC"/>
    <w:rsid w:val="009626B6"/>
    <w:rsid w:val="00965A01"/>
    <w:rsid w:val="00976C9C"/>
    <w:rsid w:val="00980643"/>
    <w:rsid w:val="009841B4"/>
    <w:rsid w:val="009B61C3"/>
    <w:rsid w:val="009C7B4F"/>
    <w:rsid w:val="009F4EB3"/>
    <w:rsid w:val="009F67C1"/>
    <w:rsid w:val="00A06D48"/>
    <w:rsid w:val="00A1036B"/>
    <w:rsid w:val="00A21834"/>
    <w:rsid w:val="00A26118"/>
    <w:rsid w:val="00A266A2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2AA1"/>
    <w:rsid w:val="00B63F15"/>
    <w:rsid w:val="00B71CA0"/>
    <w:rsid w:val="00B71E33"/>
    <w:rsid w:val="00B9180B"/>
    <w:rsid w:val="00B967DC"/>
    <w:rsid w:val="00BB5F7E"/>
    <w:rsid w:val="00BC26F6"/>
    <w:rsid w:val="00BD3122"/>
    <w:rsid w:val="00BD40DA"/>
    <w:rsid w:val="00C03F7E"/>
    <w:rsid w:val="00C160AF"/>
    <w:rsid w:val="00C22299"/>
    <w:rsid w:val="00C2260D"/>
    <w:rsid w:val="00C25609"/>
    <w:rsid w:val="00C26607"/>
    <w:rsid w:val="00C60D75"/>
    <w:rsid w:val="00C62AB5"/>
    <w:rsid w:val="00C64CEA"/>
    <w:rsid w:val="00C73012"/>
    <w:rsid w:val="00C763DD"/>
    <w:rsid w:val="00C82AF7"/>
    <w:rsid w:val="00C84FC0"/>
    <w:rsid w:val="00C85571"/>
    <w:rsid w:val="00C9244A"/>
    <w:rsid w:val="00CB12A0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5222B"/>
    <w:rsid w:val="00D60547"/>
    <w:rsid w:val="00D66444"/>
    <w:rsid w:val="00D8679E"/>
    <w:rsid w:val="00D919D6"/>
    <w:rsid w:val="00DB28BB"/>
    <w:rsid w:val="00DC603F"/>
    <w:rsid w:val="00DD3C0D"/>
    <w:rsid w:val="00DD4864"/>
    <w:rsid w:val="00DD6E2F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2B9E"/>
    <w:rsid w:val="00EA01EC"/>
    <w:rsid w:val="00EA15B0"/>
    <w:rsid w:val="00EA3842"/>
    <w:rsid w:val="00EA5D97"/>
    <w:rsid w:val="00EA71A7"/>
    <w:rsid w:val="00EC4393"/>
    <w:rsid w:val="00EE1C07"/>
    <w:rsid w:val="00EE2C91"/>
    <w:rsid w:val="00EE3979"/>
    <w:rsid w:val="00EE4A85"/>
    <w:rsid w:val="00EF138C"/>
    <w:rsid w:val="00F034CE"/>
    <w:rsid w:val="00F10647"/>
    <w:rsid w:val="00F10A0F"/>
    <w:rsid w:val="00F40284"/>
    <w:rsid w:val="00F52F75"/>
    <w:rsid w:val="00F67976"/>
    <w:rsid w:val="00F70BE1"/>
    <w:rsid w:val="00F905C9"/>
    <w:rsid w:val="00FB2E7F"/>
    <w:rsid w:val="00FB48B9"/>
    <w:rsid w:val="00FC0862"/>
    <w:rsid w:val="00FC70FB"/>
    <w:rsid w:val="00FD143D"/>
    <w:rsid w:val="00FD6289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C1E6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5C1E6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5C1E6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5C1E6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5C1E6E"/>
    <w:pPr>
      <w:keepNext/>
      <w:keepLines/>
      <w:spacing w:before="200" w:line="259" w:lineRule="auto"/>
      <w:outlineLvl w:val="3"/>
    </w:pPr>
    <w:rPr>
      <w:rFonts w:asciiTheme="majorHAnsi" w:eastAsiaTheme="majorEastAsia" w:hAnsiTheme="majorHAnsi"/>
      <w:b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C1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5C1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5C1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C1E6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C1E6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C1E6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C1E6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5C1E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E4A85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E4A8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E4A85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5C1E6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5C1E6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5C1E6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5C1E6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5C1E6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5C1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5C1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C1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C1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E4A85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EE4A85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rsid w:val="00EE4A85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rsid w:val="00EE4A85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5C1E6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5C1E6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5C1E6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5C1E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5C1E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5C1E6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5C1E6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5C1E6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5C1E6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5C1E6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5C1E6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5C1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5C1E6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5C1E6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5C1E6E"/>
    <w:rPr>
      <w:b/>
      <w:bCs/>
      <w:i/>
      <w:iCs/>
      <w:color w:val="4F81BD" w:themeColor="accent1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unhideWhenUsed/>
    <w:rsid w:val="00381F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C1E6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5C1E6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5C1E6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5C1E6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5C1E6E"/>
    <w:pPr>
      <w:keepNext/>
      <w:keepLines/>
      <w:spacing w:before="200" w:line="259" w:lineRule="auto"/>
      <w:outlineLvl w:val="3"/>
    </w:pPr>
    <w:rPr>
      <w:rFonts w:asciiTheme="majorHAnsi" w:eastAsiaTheme="majorEastAsia" w:hAnsiTheme="majorHAnsi"/>
      <w:b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C1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5C1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5C1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C1E6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C1E6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C1E6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C1E6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5C1E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E4A85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E4A8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E4A85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5C1E6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5C1E6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5C1E6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5C1E6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5C1E6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5C1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5C1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C1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C1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E4A85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EE4A85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rsid w:val="00EE4A85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rsid w:val="00EE4A85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5C1E6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5C1E6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5C1E6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5C1E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5C1E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5C1E6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5C1E6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5C1E6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5C1E6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5C1E6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5C1E6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5C1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5C1E6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5C1E6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5C1E6E"/>
    <w:rPr>
      <w:b/>
      <w:bCs/>
      <w:i/>
      <w:iCs/>
      <w:color w:val="4F81BD" w:themeColor="accent1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unhideWhenUsed/>
    <w:rsid w:val="00381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 تربیتی</Template>
  <TotalTime>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11</cp:revision>
  <dcterms:created xsi:type="dcterms:W3CDTF">2014-11-22T09:37:00Z</dcterms:created>
  <dcterms:modified xsi:type="dcterms:W3CDTF">2015-01-01T05:08:00Z</dcterms:modified>
</cp:coreProperties>
</file>