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B5" w:rsidRDefault="009743E6" w:rsidP="00B0429E">
      <w:pPr>
        <w:bidi/>
        <w:spacing w:before="120" w:after="120" w:line="360" w:lineRule="auto"/>
        <w:jc w:val="both"/>
        <w:rPr>
          <w:noProof/>
        </w:rPr>
      </w:pPr>
      <w:r>
        <w:rPr>
          <w:rFonts w:ascii="IRBadr" w:hAnsi="IRBadr" w:cs="IRBadr" w:hint="cs"/>
          <w:rtl/>
        </w:rPr>
        <w:t>بسم الله الرحمن الرحیم</w:t>
      </w:r>
      <w:r w:rsidR="00091DB5">
        <w:rPr>
          <w:rFonts w:ascii="IRBadr" w:hAnsi="IRBadr" w:cs="IRBadr"/>
          <w:rtl/>
        </w:rPr>
        <w:fldChar w:fldCharType="begin"/>
      </w:r>
      <w:r w:rsidR="00091DB5">
        <w:rPr>
          <w:rFonts w:ascii="IRBadr" w:hAnsi="IRBadr" w:cs="IRBadr"/>
          <w:rtl/>
        </w:rPr>
        <w:instrText xml:space="preserve"> </w:instrText>
      </w:r>
      <w:r w:rsidR="00091DB5">
        <w:rPr>
          <w:rFonts w:ascii="IRBadr" w:hAnsi="IRBadr" w:cs="IRBadr" w:hint="cs"/>
        </w:rPr>
        <w:instrText>TOC</w:instrText>
      </w:r>
      <w:r w:rsidR="00091DB5">
        <w:rPr>
          <w:rFonts w:ascii="IRBadr" w:hAnsi="IRBadr" w:cs="IRBadr" w:hint="cs"/>
          <w:rtl/>
        </w:rPr>
        <w:instrText xml:space="preserve"> \</w:instrText>
      </w:r>
      <w:r w:rsidR="00091DB5">
        <w:rPr>
          <w:rFonts w:ascii="IRBadr" w:hAnsi="IRBadr" w:cs="IRBadr" w:hint="cs"/>
        </w:rPr>
        <w:instrText>o \h \z \u</w:instrText>
      </w:r>
      <w:r w:rsidR="00091DB5">
        <w:rPr>
          <w:rFonts w:ascii="IRBadr" w:hAnsi="IRBadr" w:cs="IRBadr"/>
          <w:rtl/>
        </w:rPr>
        <w:instrText xml:space="preserve"> </w:instrText>
      </w:r>
      <w:r w:rsidR="00091DB5">
        <w:rPr>
          <w:rFonts w:ascii="IRBadr" w:hAnsi="IRBadr" w:cs="IRBadr"/>
          <w:rtl/>
        </w:rPr>
        <w:fldChar w:fldCharType="separate"/>
      </w:r>
    </w:p>
    <w:p w:rsidR="00091DB5" w:rsidRDefault="00915D17" w:rsidP="00091DB5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06" w:history="1">
        <w:r w:rsidR="00091DB5" w:rsidRPr="0064462A">
          <w:rPr>
            <w:rStyle w:val="aff1"/>
            <w:rFonts w:hint="eastAsia"/>
            <w:noProof/>
            <w:rtl/>
          </w:rPr>
          <w:t>اقدامات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دو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A81DC0">
          <w:rPr>
            <w:rStyle w:val="aff1"/>
            <w:rFonts w:hint="eastAsia"/>
            <w:noProof/>
            <w:rtl/>
          </w:rPr>
          <w:t>امربه‌معروف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و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نه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از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منکر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_Toc437073906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2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07" w:history="1">
        <w:r w:rsidR="00091DB5" w:rsidRPr="0064462A">
          <w:rPr>
            <w:rStyle w:val="aff1"/>
            <w:rFonts w:hint="eastAsia"/>
            <w:noProof/>
            <w:rtl/>
          </w:rPr>
          <w:t>مرور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بحث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گذشته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_Toc437073907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2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08" w:history="1">
        <w:r w:rsidR="00091DB5" w:rsidRPr="0064462A">
          <w:rPr>
            <w:rStyle w:val="aff1"/>
            <w:rFonts w:hint="eastAsia"/>
            <w:noProof/>
            <w:rtl/>
          </w:rPr>
          <w:t>مراتب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اقدامات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دو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_Toc437073908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2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09" w:history="1">
        <w:r w:rsidR="00091DB5" w:rsidRPr="0064462A">
          <w:rPr>
            <w:rStyle w:val="aff1"/>
            <w:rFonts w:hint="eastAsia"/>
            <w:noProof/>
            <w:rtl/>
          </w:rPr>
          <w:t>اصل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ن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مقام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_Toc437073909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3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10" w:history="1">
        <w:r w:rsidR="00091DB5" w:rsidRPr="0064462A">
          <w:rPr>
            <w:rStyle w:val="aff1"/>
            <w:rFonts w:hint="eastAsia"/>
            <w:noProof/>
            <w:rtl/>
          </w:rPr>
          <w:t>اقوال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ن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مقام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_Toc437073910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3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1" w:history="1">
        <w:r w:rsidR="00091DB5" w:rsidRPr="0064462A">
          <w:rPr>
            <w:rStyle w:val="aff1"/>
            <w:rFonts w:hint="eastAsia"/>
            <w:noProof/>
            <w:rtl/>
          </w:rPr>
          <w:t>قول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اول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_Toc437073911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3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2" w:history="1">
        <w:r w:rsidR="00091DB5" w:rsidRPr="0064462A">
          <w:rPr>
            <w:rStyle w:val="aff1"/>
            <w:rFonts w:hint="eastAsia"/>
            <w:noProof/>
            <w:rtl/>
          </w:rPr>
          <w:t>قول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دوم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_Toc437073912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3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3" w:history="1">
        <w:r w:rsidR="00091DB5" w:rsidRPr="0064462A">
          <w:rPr>
            <w:rStyle w:val="aff1"/>
            <w:rFonts w:hint="eastAsia"/>
            <w:noProof/>
            <w:rtl/>
          </w:rPr>
          <w:t>قول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سوم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_Toc437073913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3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4" w:history="1">
        <w:r w:rsidR="00091DB5" w:rsidRPr="0064462A">
          <w:rPr>
            <w:rStyle w:val="aff1"/>
            <w:rFonts w:hint="eastAsia"/>
            <w:noProof/>
            <w:rtl/>
          </w:rPr>
          <w:t>قول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چهارم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_Toc437073914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4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5" w:history="1">
        <w:r w:rsidR="00091DB5" w:rsidRPr="0064462A">
          <w:rPr>
            <w:rStyle w:val="aff1"/>
            <w:rFonts w:hint="eastAsia"/>
            <w:noProof/>
            <w:rtl/>
          </w:rPr>
          <w:t>تمث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بحث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_Toc437073915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4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6" w:history="1">
        <w:r w:rsidR="00091DB5" w:rsidRPr="0064462A">
          <w:rPr>
            <w:rStyle w:val="aff1"/>
            <w:rFonts w:hint="eastAsia"/>
            <w:noProof/>
            <w:rtl/>
          </w:rPr>
          <w:t>قول</w:t>
        </w:r>
        <w:r w:rsidR="00091DB5" w:rsidRPr="0064462A">
          <w:rPr>
            <w:rStyle w:val="aff1"/>
            <w:noProof/>
            <w:rtl/>
          </w:rPr>
          <w:t xml:space="preserve"> (</w:t>
        </w:r>
        <w:r w:rsidR="00091DB5" w:rsidRPr="0064462A">
          <w:rPr>
            <w:rStyle w:val="aff1"/>
            <w:rFonts w:hint="eastAsia"/>
            <w:noProof/>
            <w:rtl/>
          </w:rPr>
          <w:t>احتمال</w:t>
        </w:r>
        <w:r w:rsidR="00091DB5" w:rsidRPr="0064462A">
          <w:rPr>
            <w:rStyle w:val="aff1"/>
            <w:noProof/>
            <w:rtl/>
          </w:rPr>
          <w:t xml:space="preserve">) </w:t>
        </w:r>
        <w:r w:rsidR="00091DB5" w:rsidRPr="0064462A">
          <w:rPr>
            <w:rStyle w:val="aff1"/>
            <w:rFonts w:hint="eastAsia"/>
            <w:noProof/>
            <w:rtl/>
          </w:rPr>
          <w:t>پنجم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_Toc437073916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4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17" w:history="1">
        <w:r w:rsidR="00091DB5" w:rsidRPr="0064462A">
          <w:rPr>
            <w:rStyle w:val="aff1"/>
            <w:rFonts w:hint="eastAsia"/>
            <w:noProof/>
            <w:rtl/>
          </w:rPr>
          <w:t>قول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ششم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_Toc437073917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5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18" w:history="1">
        <w:r w:rsidR="00091DB5" w:rsidRPr="0064462A">
          <w:rPr>
            <w:rStyle w:val="aff1"/>
            <w:rFonts w:hint="eastAsia"/>
            <w:noProof/>
            <w:rtl/>
          </w:rPr>
          <w:t>ادله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شمول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اقدامات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عمل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_Toc437073918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5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19" w:history="1">
        <w:r w:rsidR="00091DB5" w:rsidRPr="0064462A">
          <w:rPr>
            <w:rStyle w:val="aff1"/>
            <w:rFonts w:hint="eastAsia"/>
            <w:noProof/>
            <w:rtl/>
          </w:rPr>
          <w:t>ادعا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اجماع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ن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مقام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_Toc437073919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5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20" w:history="1">
        <w:r w:rsidR="00091DB5" w:rsidRPr="0064462A">
          <w:rPr>
            <w:rStyle w:val="aff1"/>
            <w:rFonts w:hint="eastAsia"/>
            <w:noProof/>
            <w:rtl/>
          </w:rPr>
          <w:t>نظر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ه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مرحوم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آقا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ض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اء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_Toc437073920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5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21" w:history="1">
        <w:r w:rsidR="00091DB5" w:rsidRPr="0064462A">
          <w:rPr>
            <w:rStyle w:val="aff1"/>
            <w:rFonts w:hint="eastAsia"/>
            <w:noProof/>
            <w:rtl/>
          </w:rPr>
          <w:t>اتخاذ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مبنا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_Toc437073921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6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22" w:history="1">
        <w:r w:rsidR="00091DB5" w:rsidRPr="0064462A">
          <w:rPr>
            <w:rStyle w:val="aff1"/>
            <w:rFonts w:hint="eastAsia"/>
            <w:noProof/>
            <w:rtl/>
          </w:rPr>
          <w:t>ادله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جهاد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ن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باب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_Toc437073922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6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73923" w:history="1">
        <w:r w:rsidR="00091DB5" w:rsidRPr="0064462A">
          <w:rPr>
            <w:rStyle w:val="aff1"/>
            <w:rFonts w:hint="eastAsia"/>
            <w:noProof/>
            <w:rtl/>
          </w:rPr>
          <w:t>شمول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ادله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حدود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و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تعز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رات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</w:t>
        </w:r>
        <w:r w:rsidR="00091DB5" w:rsidRPr="0064462A">
          <w:rPr>
            <w:rStyle w:val="aff1"/>
            <w:rFonts w:hint="cs"/>
            <w:noProof/>
            <w:rtl/>
          </w:rPr>
          <w:t>ی</w:t>
        </w:r>
        <w:r w:rsidR="00091DB5" w:rsidRPr="0064462A">
          <w:rPr>
            <w:rStyle w:val="aff1"/>
            <w:rFonts w:hint="eastAsia"/>
            <w:noProof/>
            <w:rtl/>
          </w:rPr>
          <w:t>ن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مقام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_Toc437073923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6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915D17" w:rsidP="00091DB5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73924" w:history="1">
        <w:r w:rsidR="00091DB5" w:rsidRPr="0064462A">
          <w:rPr>
            <w:rStyle w:val="aff1"/>
            <w:rFonts w:hint="eastAsia"/>
            <w:noProof/>
            <w:rtl/>
          </w:rPr>
          <w:t>خدشه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در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استدلال</w:t>
        </w:r>
        <w:r w:rsidR="00091DB5" w:rsidRPr="0064462A">
          <w:rPr>
            <w:rStyle w:val="aff1"/>
            <w:noProof/>
            <w:rtl/>
          </w:rPr>
          <w:t xml:space="preserve"> </w:t>
        </w:r>
        <w:r w:rsidR="00091DB5" w:rsidRPr="0064462A">
          <w:rPr>
            <w:rStyle w:val="aff1"/>
            <w:rFonts w:hint="eastAsia"/>
            <w:noProof/>
            <w:rtl/>
          </w:rPr>
          <w:t>فوق</w:t>
        </w:r>
        <w:r w:rsidR="00091DB5">
          <w:rPr>
            <w:noProof/>
            <w:webHidden/>
          </w:rPr>
          <w:tab/>
        </w:r>
        <w:r w:rsidR="00091DB5">
          <w:rPr>
            <w:noProof/>
            <w:webHidden/>
          </w:rPr>
          <w:fldChar w:fldCharType="begin"/>
        </w:r>
        <w:r w:rsidR="00091DB5">
          <w:rPr>
            <w:noProof/>
            <w:webHidden/>
          </w:rPr>
          <w:instrText xml:space="preserve"> PAGEREF _Toc437073924 \h </w:instrText>
        </w:r>
        <w:r w:rsidR="00091DB5">
          <w:rPr>
            <w:noProof/>
            <w:webHidden/>
          </w:rPr>
        </w:r>
        <w:r w:rsidR="00091DB5">
          <w:rPr>
            <w:noProof/>
            <w:webHidden/>
          </w:rPr>
          <w:fldChar w:fldCharType="separate"/>
        </w:r>
        <w:r w:rsidR="00091DB5">
          <w:rPr>
            <w:noProof/>
            <w:webHidden/>
          </w:rPr>
          <w:t>6</w:t>
        </w:r>
        <w:r w:rsidR="00091DB5">
          <w:rPr>
            <w:noProof/>
            <w:webHidden/>
          </w:rPr>
          <w:fldChar w:fldCharType="end"/>
        </w:r>
      </w:hyperlink>
    </w:p>
    <w:p w:rsidR="00091DB5" w:rsidRDefault="00091DB5" w:rsidP="00B0429E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091DB5" w:rsidRDefault="00091DB5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9743E6" w:rsidRDefault="009743E6" w:rsidP="00B0429E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FF396A" w:rsidRDefault="00FF396A" w:rsidP="00FF396A">
      <w:pPr>
        <w:pStyle w:val="1"/>
        <w:rPr>
          <w:rtl/>
        </w:rPr>
      </w:pPr>
      <w:bookmarkStart w:id="0" w:name="_Toc437073906"/>
      <w:r>
        <w:rPr>
          <w:rFonts w:hint="cs"/>
          <w:rtl/>
        </w:rPr>
        <w:t xml:space="preserve">اقدامات یدوی در </w:t>
      </w:r>
      <w:r w:rsidR="00A81DC0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bookmarkEnd w:id="0"/>
    </w:p>
    <w:p w:rsidR="00FF396A" w:rsidRDefault="00FF396A" w:rsidP="00FF396A">
      <w:pPr>
        <w:pStyle w:val="2"/>
        <w:rPr>
          <w:rtl/>
        </w:rPr>
      </w:pPr>
      <w:bookmarkStart w:id="1" w:name="_Toc437073907"/>
      <w:r>
        <w:rPr>
          <w:rFonts w:hint="cs"/>
          <w:rtl/>
        </w:rPr>
        <w:t>مرور بحث گذشته</w:t>
      </w:r>
      <w:bookmarkEnd w:id="1"/>
    </w:p>
    <w:p w:rsidR="009743E6" w:rsidRDefault="009743E6" w:rsidP="00A81DC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جلسه گذشته بحث را به چند بخش تقسیم کردیم و گفتیم که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که در </w:t>
      </w:r>
      <w:r w:rsidR="00A81DC0">
        <w:rPr>
          <w:rFonts w:ascii="IRBadr" w:hAnsi="IRBadr" w:cs="IRBadr" w:hint="cs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 xml:space="preserve">یات و روایات </w:t>
      </w:r>
      <w:r w:rsidR="00A81DC0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یک تکلیف </w:t>
      </w:r>
      <w:r w:rsidR="00A81DC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A81DC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چه دامنه</w:t>
      </w:r>
      <w:r w:rsidR="00A81DC0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 xml:space="preserve">ای را </w:t>
      </w:r>
      <w:r w:rsidR="00A81DC0">
        <w:rPr>
          <w:rFonts w:ascii="IRBadr" w:hAnsi="IRBadr" w:cs="IRBadr" w:hint="cs"/>
          <w:sz w:val="28"/>
          <w:rtl/>
        </w:rPr>
        <w:t>در برمی‌گیرد</w:t>
      </w:r>
      <w:r>
        <w:rPr>
          <w:rFonts w:ascii="IRBadr" w:hAnsi="IRBadr" w:cs="IRBadr" w:hint="cs"/>
          <w:sz w:val="28"/>
          <w:rtl/>
        </w:rPr>
        <w:t xml:space="preserve">؟ تا </w:t>
      </w:r>
      <w:r w:rsidR="00A81DC0">
        <w:rPr>
          <w:rFonts w:ascii="IRBadr" w:hAnsi="IRBadr" w:cs="IRBadr" w:hint="cs"/>
          <w:sz w:val="28"/>
          <w:rtl/>
        </w:rPr>
        <w:t>دایره</w:t>
      </w:r>
      <w:r>
        <w:rPr>
          <w:rFonts w:ascii="IRBadr" w:hAnsi="IRBadr" w:cs="IRBadr" w:hint="cs"/>
          <w:sz w:val="28"/>
          <w:rtl/>
        </w:rPr>
        <w:t xml:space="preserve"> سوم گفتیم که این مفاهیم خود ظرفیت بسط را داراست.</w:t>
      </w:r>
    </w:p>
    <w:p w:rsidR="009743E6" w:rsidRDefault="009743E6" w:rsidP="00EB46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یعنی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کلام</w:t>
      </w:r>
      <w:r w:rsidR="00A81D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A81DC0">
        <w:rPr>
          <w:rFonts w:ascii="IRBadr" w:hAnsi="IRBadr" w:cs="IRBadr"/>
          <w:sz w:val="28"/>
          <w:rtl/>
        </w:rPr>
        <w:t xml:space="preserve"> افعال</w:t>
      </w:r>
      <w:r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امرونهی‌ای</w:t>
      </w:r>
      <w:r>
        <w:rPr>
          <w:rFonts w:ascii="IRBadr" w:hAnsi="IRBadr" w:cs="IRBadr" w:hint="cs"/>
          <w:sz w:val="28"/>
          <w:rtl/>
        </w:rPr>
        <w:t>،</w:t>
      </w:r>
      <w:r w:rsidR="00A81DC0">
        <w:rPr>
          <w:rFonts w:ascii="IRBadr" w:hAnsi="IRBadr" w:cs="IRBadr"/>
          <w:sz w:val="28"/>
          <w:rtl/>
        </w:rPr>
        <w:t xml:space="preserve"> اقوال</w:t>
      </w:r>
      <w:r w:rsidR="00A81D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مثل موعظه و هم افعال تشویقی که مستلزم تصرف در سلطنت غیر نیست را </w:t>
      </w:r>
      <w:r w:rsidR="00A81DC0">
        <w:rPr>
          <w:rFonts w:ascii="IRBadr" w:hAnsi="IRBadr" w:cs="IRBadr" w:hint="cs"/>
          <w:sz w:val="28"/>
          <w:rtl/>
        </w:rPr>
        <w:t>در برمی‌گیرد</w:t>
      </w:r>
      <w:r w:rsidR="00EB4649">
        <w:rPr>
          <w:rFonts w:ascii="IRBadr" w:hAnsi="IRBadr" w:cs="IRBadr" w:hint="cs"/>
          <w:sz w:val="28"/>
          <w:rtl/>
        </w:rPr>
        <w:t>؛</w:t>
      </w:r>
      <w:r w:rsidR="00A81DC0">
        <w:rPr>
          <w:rFonts w:ascii="IRBadr" w:hAnsi="IRBadr" w:cs="IRBadr"/>
          <w:sz w:val="28"/>
          <w:rtl/>
        </w:rPr>
        <w:t xml:space="preserve"> </w:t>
      </w:r>
      <w:r w:rsidR="00EB4649">
        <w:rPr>
          <w:rFonts w:ascii="IRBadr" w:hAnsi="IRBadr" w:cs="IRBadr" w:hint="cs"/>
          <w:sz w:val="28"/>
          <w:rtl/>
        </w:rPr>
        <w:t>هر چند</w:t>
      </w:r>
      <w:r>
        <w:rPr>
          <w:rFonts w:ascii="IRBadr" w:hAnsi="IRBadr" w:cs="IRBadr" w:hint="cs"/>
          <w:sz w:val="28"/>
          <w:rtl/>
        </w:rPr>
        <w:t xml:space="preserve"> به </w:t>
      </w:r>
      <w:r w:rsidR="00A81DC0">
        <w:rPr>
          <w:rFonts w:ascii="IRBadr" w:hAnsi="IRBadr" w:cs="IRBadr"/>
          <w:sz w:val="28"/>
          <w:rtl/>
        </w:rPr>
        <w:t>شمول</w:t>
      </w:r>
      <w:r>
        <w:rPr>
          <w:rFonts w:ascii="IRBadr" w:hAnsi="IRBadr" w:cs="IRBadr" w:hint="cs"/>
          <w:sz w:val="28"/>
          <w:rtl/>
        </w:rPr>
        <w:t xml:space="preserve"> مفهومی یا مناطی باشد</w:t>
      </w:r>
      <w:r w:rsidR="00EB4649">
        <w:rPr>
          <w:rFonts w:ascii="IRBadr" w:hAnsi="IRBadr" w:cs="IRBadr" w:hint="cs"/>
          <w:sz w:val="28"/>
          <w:rtl/>
        </w:rPr>
        <w:t>،</w:t>
      </w:r>
      <w:r w:rsidR="00A81DC0">
        <w:rPr>
          <w:rFonts w:ascii="IRBadr" w:hAnsi="IRBadr" w:cs="IRBadr"/>
          <w:sz w:val="28"/>
          <w:rtl/>
        </w:rPr>
        <w:t xml:space="preserve"> علاوه</w:t>
      </w:r>
      <w:r>
        <w:rPr>
          <w:rFonts w:ascii="IRBadr" w:hAnsi="IRBadr" w:cs="IRBadr" w:hint="cs"/>
          <w:sz w:val="28"/>
          <w:rtl/>
        </w:rPr>
        <w:t xml:space="preserve"> بر اینکه ادله مستقل عامه نیز در اینجا وجود دارد.</w:t>
      </w:r>
      <w:r w:rsidR="00A81DC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تا قبل از </w:t>
      </w:r>
      <w:r w:rsidR="00A81DC0">
        <w:rPr>
          <w:rFonts w:ascii="IRBadr" w:hAnsi="IRBadr" w:cs="IRBadr" w:hint="cs"/>
          <w:sz w:val="28"/>
          <w:rtl/>
        </w:rPr>
        <w:t>روش‌های</w:t>
      </w:r>
      <w:r>
        <w:rPr>
          <w:rFonts w:ascii="IRBadr" w:hAnsi="IRBadr" w:cs="IRBadr" w:hint="cs"/>
          <w:sz w:val="28"/>
          <w:rtl/>
        </w:rPr>
        <w:t xml:space="preserve"> اقدامی که تصرف در سلطنت غیر است،</w:t>
      </w:r>
      <w:r w:rsidR="00A81DC0">
        <w:rPr>
          <w:rFonts w:ascii="IRBadr" w:hAnsi="IRBadr" w:cs="IRBadr"/>
          <w:sz w:val="28"/>
          <w:rtl/>
        </w:rPr>
        <w:t xml:space="preserve"> م</w:t>
      </w:r>
      <w:r w:rsidR="00A81DC0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گفت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مراتب </w:t>
      </w:r>
      <w:r w:rsidR="00A81DC0">
        <w:rPr>
          <w:rFonts w:ascii="IRBadr" w:hAnsi="IRBadr" w:cs="IRBadr" w:hint="cs"/>
          <w:sz w:val="28"/>
          <w:rtl/>
        </w:rPr>
        <w:t>بیان‌شده</w:t>
      </w:r>
      <w:r>
        <w:rPr>
          <w:rFonts w:ascii="IRBadr" w:hAnsi="IRBadr" w:cs="IRBadr" w:hint="cs"/>
          <w:sz w:val="28"/>
          <w:rtl/>
        </w:rPr>
        <w:t xml:space="preserve"> را </w:t>
      </w:r>
      <w:r w:rsidR="00A81DC0">
        <w:rPr>
          <w:rFonts w:ascii="IRBadr" w:hAnsi="IRBadr" w:cs="IRBadr" w:hint="cs"/>
          <w:sz w:val="28"/>
          <w:rtl/>
        </w:rPr>
        <w:t>در برمی‌گیرد</w:t>
      </w:r>
      <w:r>
        <w:rPr>
          <w:rFonts w:ascii="IRBadr" w:hAnsi="IRBadr" w:cs="IRBadr" w:hint="cs"/>
          <w:sz w:val="28"/>
          <w:rtl/>
        </w:rPr>
        <w:t>.</w:t>
      </w:r>
    </w:p>
    <w:p w:rsidR="00F16A1F" w:rsidRDefault="009743E6" w:rsidP="009743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منتها در زمینه شمول </w:t>
      </w:r>
      <w:r w:rsidR="00A81DC0">
        <w:rPr>
          <w:rFonts w:ascii="IRBadr" w:hAnsi="IRBadr" w:cs="IRBadr" w:hint="cs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بیان شد </w:t>
      </w:r>
      <w:r w:rsidR="00A81DC0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 xml:space="preserve"> افزود که گاهی واژه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در </w:t>
      </w:r>
      <w:r w:rsidR="00A81DC0">
        <w:rPr>
          <w:rFonts w:ascii="IRBadr" w:hAnsi="IRBadr" w:cs="IRBadr" w:hint="cs"/>
          <w:sz w:val="28"/>
          <w:rtl/>
        </w:rPr>
        <w:t>برمی‌گیرد</w:t>
      </w:r>
      <w:r>
        <w:rPr>
          <w:rFonts w:ascii="IRBadr" w:hAnsi="IRBadr" w:cs="IRBadr" w:hint="cs"/>
          <w:sz w:val="28"/>
          <w:rtl/>
        </w:rPr>
        <w:t>،</w:t>
      </w:r>
      <w:r w:rsidR="00A81DC0">
        <w:rPr>
          <w:rFonts w:ascii="IRBadr" w:hAnsi="IRBadr" w:cs="IRBadr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شمول از نوع مفهومی است.</w:t>
      </w:r>
      <w:r w:rsidR="00A81DC0">
        <w:rPr>
          <w:rFonts w:ascii="IRBadr" w:hAnsi="IRBadr" w:cs="IRBadr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مناط آن </w:t>
      </w:r>
      <w:r w:rsidR="00A81DC0">
        <w:rPr>
          <w:rFonts w:ascii="IRBadr" w:hAnsi="IRBadr" w:cs="IRBadr" w:hint="cs"/>
          <w:sz w:val="28"/>
          <w:rtl/>
        </w:rPr>
        <w:t>را دربر</w:t>
      </w:r>
      <w:r>
        <w:rPr>
          <w:rFonts w:ascii="IRBadr" w:hAnsi="IRBadr" w:cs="IRBadr" w:hint="cs"/>
          <w:sz w:val="28"/>
          <w:rtl/>
        </w:rPr>
        <w:t xml:space="preserve"> گرفته و در مرتبه دیگر ادله مطلقی </w:t>
      </w:r>
      <w:r w:rsidR="00FF396A">
        <w:rPr>
          <w:rFonts w:ascii="IRBadr" w:hAnsi="IRBadr" w:cs="IRBadr" w:hint="cs"/>
          <w:sz w:val="28"/>
          <w:rtl/>
        </w:rPr>
        <w:t>مثل آ</w:t>
      </w:r>
      <w:r>
        <w:rPr>
          <w:rFonts w:ascii="IRBadr" w:hAnsi="IRBadr" w:cs="IRBadr" w:hint="cs"/>
          <w:sz w:val="28"/>
          <w:rtl/>
        </w:rPr>
        <w:t xml:space="preserve">یات موعظه وجود دارد که </w:t>
      </w:r>
      <w:r w:rsidR="00A81D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شامل </w:t>
      </w:r>
      <w:r w:rsidR="00A81DC0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.</w:t>
      </w:r>
    </w:p>
    <w:p w:rsidR="00FF396A" w:rsidRDefault="00FF396A" w:rsidP="00FF396A">
      <w:pPr>
        <w:pStyle w:val="2"/>
        <w:rPr>
          <w:rtl/>
        </w:rPr>
      </w:pPr>
      <w:bookmarkStart w:id="2" w:name="_Toc437073908"/>
      <w:r>
        <w:rPr>
          <w:rFonts w:hint="cs"/>
          <w:rtl/>
        </w:rPr>
        <w:t>مراتب در اقدامات یدوی</w:t>
      </w:r>
      <w:bookmarkEnd w:id="2"/>
    </w:p>
    <w:p w:rsidR="009743E6" w:rsidRDefault="009743E6" w:rsidP="009743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بحث بر </w:t>
      </w:r>
      <w:r w:rsidR="00A81DC0">
        <w:rPr>
          <w:rFonts w:ascii="IRBadr" w:hAnsi="IRBadr" w:cs="IRBadr" w:hint="cs"/>
          <w:sz w:val="28"/>
          <w:rtl/>
        </w:rPr>
        <w:t>دایره</w:t>
      </w:r>
      <w:r>
        <w:rPr>
          <w:rFonts w:ascii="IRBadr" w:hAnsi="IRBadr" w:cs="IRBadr" w:hint="cs"/>
          <w:sz w:val="28"/>
          <w:rtl/>
        </w:rPr>
        <w:t xml:space="preserve"> آخر بوده که مستلزم تصرف در سلطنت غیر است؛</w:t>
      </w:r>
      <w:r w:rsidR="00A81DC0">
        <w:rPr>
          <w:rFonts w:ascii="IRBadr" w:hAnsi="IRBadr" w:cs="IRBadr"/>
          <w:sz w:val="28"/>
          <w:rtl/>
        </w:rPr>
        <w:t xml:space="preserve"> باوجود</w:t>
      </w:r>
      <w:r>
        <w:rPr>
          <w:rFonts w:ascii="IRBadr" w:hAnsi="IRBadr" w:cs="IRBadr" w:hint="cs"/>
          <w:sz w:val="28"/>
          <w:rtl/>
        </w:rPr>
        <w:t xml:space="preserve"> همه مراتبی که در این زمینه وجود دارد که خود به سه گروه اصلی تقسیم </w:t>
      </w:r>
      <w:r w:rsidR="00A81DC0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؛</w:t>
      </w:r>
    </w:p>
    <w:p w:rsidR="009743E6" w:rsidRDefault="009743E6" w:rsidP="009743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A81DC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یک گروه از اقداماتی است که در حالت عادی </w:t>
      </w:r>
      <w:r w:rsidR="00A81DC0">
        <w:rPr>
          <w:rFonts w:ascii="IRBadr" w:hAnsi="IRBadr" w:cs="IRBadr" w:hint="cs"/>
          <w:sz w:val="28"/>
          <w:rtl/>
        </w:rPr>
        <w:t>جایز</w:t>
      </w:r>
      <w:r>
        <w:rPr>
          <w:rFonts w:ascii="IRBadr" w:hAnsi="IRBadr" w:cs="IRBadr" w:hint="cs"/>
          <w:sz w:val="28"/>
          <w:rtl/>
        </w:rPr>
        <w:t xml:space="preserve"> نبوده و </w:t>
      </w:r>
      <w:r w:rsidR="00A81DC0">
        <w:rPr>
          <w:rFonts w:ascii="IRBadr" w:hAnsi="IRBadr" w:cs="IRBadr" w:hint="cs"/>
          <w:sz w:val="28"/>
          <w:rtl/>
        </w:rPr>
        <w:t>درعین‌حال</w:t>
      </w:r>
      <w:r>
        <w:rPr>
          <w:rFonts w:ascii="IRBadr" w:hAnsi="IRBadr" w:cs="IRBadr" w:hint="cs"/>
          <w:sz w:val="28"/>
          <w:rtl/>
        </w:rPr>
        <w:t xml:space="preserve"> مشتمل بر </w:t>
      </w:r>
      <w:r w:rsidR="00A81DC0">
        <w:rPr>
          <w:rFonts w:ascii="IRBadr" w:hAnsi="IRBadr" w:cs="IRBadr" w:hint="cs"/>
          <w:sz w:val="28"/>
          <w:rtl/>
        </w:rPr>
        <w:t>ضرب‌وجرح</w:t>
      </w:r>
      <w:r>
        <w:rPr>
          <w:rFonts w:ascii="IRBadr" w:hAnsi="IRBadr" w:cs="IRBadr" w:hint="cs"/>
          <w:sz w:val="28"/>
          <w:rtl/>
        </w:rPr>
        <w:t xml:space="preserve"> نیز نیست.</w:t>
      </w:r>
      <w:r w:rsidR="00A81DC0">
        <w:rPr>
          <w:rFonts w:ascii="IRBadr" w:hAnsi="IRBadr" w:cs="IRBadr"/>
          <w:sz w:val="28"/>
          <w:rtl/>
        </w:rPr>
        <w:t xml:space="preserve"> مثل</w:t>
      </w:r>
      <w:r>
        <w:rPr>
          <w:rFonts w:ascii="IRBadr" w:hAnsi="IRBadr" w:cs="IRBadr" w:hint="cs"/>
          <w:sz w:val="28"/>
          <w:rtl/>
        </w:rPr>
        <w:t xml:space="preserve"> اخذ مال غیر یا به زندان انداختن فرد.</w:t>
      </w:r>
    </w:p>
    <w:p w:rsidR="009743E6" w:rsidRDefault="009743E6" w:rsidP="009743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A81DC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گروه دوم در این بخش، </w:t>
      </w:r>
      <w:r w:rsidR="00A81DC0">
        <w:rPr>
          <w:rFonts w:ascii="IRBadr" w:hAnsi="IRBadr" w:cs="IRBadr" w:hint="cs"/>
          <w:sz w:val="28"/>
          <w:rtl/>
        </w:rPr>
        <w:t>ضرب‌وجرح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9743E6" w:rsidRDefault="009743E6" w:rsidP="009743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3</w:t>
      </w:r>
      <w:r w:rsidR="00A81DC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گروه سوم نیز حالت قتل است.</w:t>
      </w:r>
    </w:p>
    <w:p w:rsidR="00FF396A" w:rsidRDefault="00FF396A" w:rsidP="00FF396A">
      <w:pPr>
        <w:pStyle w:val="2"/>
        <w:rPr>
          <w:rtl/>
        </w:rPr>
      </w:pPr>
      <w:bookmarkStart w:id="3" w:name="_Toc437073909"/>
      <w:r>
        <w:rPr>
          <w:rFonts w:hint="cs"/>
          <w:rtl/>
        </w:rPr>
        <w:lastRenderedPageBreak/>
        <w:t>اصل در این مقام</w:t>
      </w:r>
      <w:bookmarkEnd w:id="3"/>
    </w:p>
    <w:p w:rsidR="009743E6" w:rsidRDefault="009743E6" w:rsidP="009743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اینجا لولا هذه الادله،</w:t>
      </w:r>
      <w:r w:rsidR="00A81DC0">
        <w:rPr>
          <w:rFonts w:ascii="IRBadr" w:hAnsi="IRBadr" w:cs="IRBadr"/>
          <w:sz w:val="28"/>
          <w:rtl/>
        </w:rPr>
        <w:t xml:space="preserve"> عناو</w:t>
      </w:r>
      <w:r w:rsidR="00A81D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اولیه </w:t>
      </w:r>
      <w:r w:rsidR="00A81DC0">
        <w:rPr>
          <w:rFonts w:ascii="IRBadr" w:hAnsi="IRBadr" w:cs="IRBadr" w:hint="cs"/>
          <w:sz w:val="28"/>
          <w:rtl/>
        </w:rPr>
        <w:t>می‌گویند</w:t>
      </w:r>
      <w:r>
        <w:rPr>
          <w:rFonts w:ascii="IRBadr" w:hAnsi="IRBadr" w:cs="IRBadr" w:hint="cs"/>
          <w:sz w:val="28"/>
          <w:rtl/>
        </w:rPr>
        <w:t xml:space="preserve"> این حالات </w:t>
      </w:r>
      <w:r w:rsidR="00A81DC0">
        <w:rPr>
          <w:rFonts w:ascii="IRBadr" w:hAnsi="IRBadr" w:cs="IRBadr" w:hint="cs"/>
          <w:sz w:val="28"/>
          <w:rtl/>
        </w:rPr>
        <w:t>جایز</w:t>
      </w:r>
      <w:r>
        <w:rPr>
          <w:rFonts w:ascii="IRBadr" w:hAnsi="IRBadr" w:cs="IRBadr" w:hint="cs"/>
          <w:sz w:val="28"/>
          <w:rtl/>
        </w:rPr>
        <w:t xml:space="preserve"> نیست</w:t>
      </w:r>
      <w:r w:rsidR="00EB4649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مثل ادله تسلط ناس بر اموال و انفس خود.</w:t>
      </w:r>
      <w:r w:rsidR="00A81DC0">
        <w:rPr>
          <w:rFonts w:ascii="IRBadr" w:hAnsi="IRBadr" w:cs="IRBadr"/>
          <w:sz w:val="28"/>
          <w:rtl/>
        </w:rPr>
        <w:t xml:space="preserve"> قبل</w:t>
      </w:r>
      <w:r>
        <w:rPr>
          <w:rFonts w:ascii="IRBadr" w:hAnsi="IRBadr" w:cs="IRBadr" w:hint="cs"/>
          <w:sz w:val="28"/>
          <w:rtl/>
        </w:rPr>
        <w:t xml:space="preserve"> از ادامه لازم است به احتمالات و اقوال در مسئله نیز اشاره شود.</w:t>
      </w:r>
      <w:r w:rsidR="00A81DC0">
        <w:rPr>
          <w:rFonts w:ascii="IRBadr" w:hAnsi="IRBadr" w:cs="IRBadr"/>
          <w:sz w:val="28"/>
          <w:rtl/>
        </w:rPr>
        <w:t xml:space="preserve"> ا</w:t>
      </w:r>
      <w:r w:rsidR="00A81DC0">
        <w:rPr>
          <w:rFonts w:ascii="IRBadr" w:hAnsi="IRBadr" w:cs="IRBadr" w:hint="cs"/>
          <w:sz w:val="28"/>
          <w:rtl/>
        </w:rPr>
        <w:t>ین</w:t>
      </w:r>
      <w:r w:rsidR="00AA563E">
        <w:rPr>
          <w:rFonts w:ascii="IRBadr" w:hAnsi="IRBadr" w:cs="IRBadr" w:hint="cs"/>
          <w:sz w:val="28"/>
          <w:rtl/>
        </w:rPr>
        <w:t xml:space="preserve"> احتمالات با اندکی تفاوت در موسوعه نیز </w:t>
      </w:r>
      <w:r w:rsidR="00A81DC0">
        <w:rPr>
          <w:rFonts w:ascii="IRBadr" w:hAnsi="IRBadr" w:cs="IRBadr" w:hint="cs"/>
          <w:sz w:val="28"/>
          <w:rtl/>
        </w:rPr>
        <w:t>ذکرشده</w:t>
      </w:r>
      <w:r w:rsidR="00AA563E">
        <w:rPr>
          <w:rFonts w:ascii="IRBadr" w:hAnsi="IRBadr" w:cs="IRBadr" w:hint="cs"/>
          <w:sz w:val="28"/>
          <w:rtl/>
        </w:rPr>
        <w:t xml:space="preserve"> است که اسناد اقوال در اینجا از موسوعه نقل </w:t>
      </w:r>
      <w:r w:rsidR="00A81DC0">
        <w:rPr>
          <w:rFonts w:ascii="IRBadr" w:hAnsi="IRBadr" w:cs="IRBadr" w:hint="cs"/>
          <w:sz w:val="28"/>
          <w:rtl/>
        </w:rPr>
        <w:t>می‌شود</w:t>
      </w:r>
      <w:r w:rsidR="00AA563E">
        <w:rPr>
          <w:rFonts w:ascii="IRBadr" w:hAnsi="IRBadr" w:cs="IRBadr" w:hint="cs"/>
          <w:sz w:val="28"/>
          <w:rtl/>
        </w:rPr>
        <w:t>.</w:t>
      </w:r>
    </w:p>
    <w:p w:rsidR="00AA563E" w:rsidRDefault="00AA563E" w:rsidP="00FF396A">
      <w:pPr>
        <w:pStyle w:val="2"/>
        <w:rPr>
          <w:rtl/>
        </w:rPr>
      </w:pPr>
      <w:bookmarkStart w:id="4" w:name="_Toc437073910"/>
      <w:r>
        <w:rPr>
          <w:rFonts w:hint="cs"/>
          <w:rtl/>
        </w:rPr>
        <w:t>اقوال در این مقام</w:t>
      </w:r>
      <w:bookmarkEnd w:id="4"/>
    </w:p>
    <w:p w:rsidR="00AA563E" w:rsidRDefault="00AA563E" w:rsidP="00FF396A">
      <w:pPr>
        <w:pStyle w:val="3"/>
        <w:rPr>
          <w:rtl/>
        </w:rPr>
      </w:pPr>
      <w:bookmarkStart w:id="5" w:name="_Toc437073911"/>
      <w:r>
        <w:rPr>
          <w:rFonts w:hint="cs"/>
          <w:rtl/>
        </w:rPr>
        <w:t>قول اول</w:t>
      </w:r>
      <w:bookmarkEnd w:id="5"/>
    </w:p>
    <w:p w:rsidR="00AA563E" w:rsidRDefault="00AA563E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</w:t>
      </w:r>
      <w:r w:rsidR="00A81DC0">
        <w:rPr>
          <w:rFonts w:ascii="IRBadr" w:hAnsi="IRBadr" w:cs="IRBadr" w:hint="cs"/>
          <w:sz w:val="28"/>
          <w:rtl/>
        </w:rPr>
        <w:t>دایره</w:t>
      </w:r>
      <w:r>
        <w:rPr>
          <w:rFonts w:ascii="IRBadr" w:hAnsi="IRBadr" w:cs="IRBadr" w:hint="cs"/>
          <w:sz w:val="28"/>
          <w:rtl/>
        </w:rPr>
        <w:t xml:space="preserve"> پنجم یک قول این است که جرح و قتل </w:t>
      </w:r>
      <w:r w:rsidR="00A81DC0">
        <w:rPr>
          <w:rFonts w:ascii="IRBadr" w:hAnsi="IRBadr" w:cs="IRBadr"/>
          <w:sz w:val="28"/>
          <w:rtl/>
        </w:rPr>
        <w:t>(</w:t>
      </w:r>
      <w:r>
        <w:rPr>
          <w:rFonts w:ascii="IRBadr" w:hAnsi="IRBadr" w:cs="IRBadr" w:hint="cs"/>
          <w:sz w:val="28"/>
          <w:rtl/>
        </w:rPr>
        <w:t xml:space="preserve">هر سه قسم) داخل در مراتب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است ولو بدون اذن حاکم و حتی بدون اینکه لازم باشد از حاکم در این زمینه اذنی اخذ شود.</w:t>
      </w:r>
      <w:r w:rsidR="00A81DC0">
        <w:rPr>
          <w:rFonts w:ascii="IRBadr" w:hAnsi="IRBadr" w:cs="IRBadr"/>
          <w:sz w:val="28"/>
          <w:rtl/>
        </w:rPr>
        <w:t xml:space="preserve"> ا</w:t>
      </w:r>
      <w:r w:rsidR="00A81D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قول به سید مرتضی و ابن ادریس حلی نسبت </w:t>
      </w:r>
      <w:r w:rsidR="00A81DC0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AA563E" w:rsidRDefault="00AA563E" w:rsidP="00FF396A">
      <w:pPr>
        <w:pStyle w:val="3"/>
        <w:rPr>
          <w:rtl/>
        </w:rPr>
      </w:pPr>
      <w:bookmarkStart w:id="6" w:name="_Toc437073912"/>
      <w:r>
        <w:rPr>
          <w:rFonts w:hint="cs"/>
          <w:rtl/>
        </w:rPr>
        <w:t>قول دوم</w:t>
      </w:r>
      <w:bookmarkEnd w:id="6"/>
    </w:p>
    <w:p w:rsidR="00AA563E" w:rsidRDefault="00AA563E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نظر دوم این است که امور </w:t>
      </w:r>
      <w:r w:rsidR="00A81DC0">
        <w:rPr>
          <w:rFonts w:ascii="IRBadr" w:hAnsi="IRBadr" w:cs="IRBadr" w:hint="cs"/>
          <w:sz w:val="28"/>
          <w:rtl/>
        </w:rPr>
        <w:t>یادشده</w:t>
      </w:r>
      <w:r>
        <w:rPr>
          <w:rFonts w:ascii="IRBadr" w:hAnsi="IRBadr" w:cs="IRBadr" w:hint="cs"/>
          <w:sz w:val="28"/>
          <w:rtl/>
        </w:rPr>
        <w:t xml:space="preserve"> به هیچ وجه </w:t>
      </w:r>
      <w:r w:rsidR="00A81DC0">
        <w:rPr>
          <w:rFonts w:ascii="IRBadr" w:hAnsi="IRBadr" w:cs="IRBadr" w:hint="cs"/>
          <w:sz w:val="28"/>
          <w:rtl/>
        </w:rPr>
        <w:t>جایز</w:t>
      </w:r>
      <w:r>
        <w:rPr>
          <w:rFonts w:ascii="IRBadr" w:hAnsi="IRBadr" w:cs="IRBadr" w:hint="cs"/>
          <w:sz w:val="28"/>
          <w:rtl/>
        </w:rPr>
        <w:t xml:space="preserve"> نبوده و ادله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دربر ن</w:t>
      </w:r>
      <w:r w:rsidR="00A81DC0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>.</w:t>
      </w:r>
      <w:r w:rsidR="00A81DC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برخی موارد جواهر بدین سمت رفته است (نه اینکه مستقر در آن باشد) این قول به آقای خویی نسبت </w:t>
      </w:r>
      <w:r w:rsidR="00A81DC0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و به نحوی نیز مرحوم استاد آقای تبریزی به این قول تمایل داشتند.</w:t>
      </w:r>
    </w:p>
    <w:p w:rsidR="00AA563E" w:rsidRDefault="00AA563E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البته مفهوم این قول نیست که هیچ جا </w:t>
      </w:r>
      <w:r w:rsidR="00A81DC0">
        <w:rPr>
          <w:rFonts w:ascii="IRBadr" w:hAnsi="IRBadr" w:cs="IRBadr" w:hint="cs"/>
          <w:sz w:val="28"/>
          <w:rtl/>
        </w:rPr>
        <w:t>ضرب‌وجرح</w:t>
      </w:r>
      <w:r>
        <w:rPr>
          <w:rFonts w:ascii="IRBadr" w:hAnsi="IRBadr" w:cs="IRBadr" w:hint="cs"/>
          <w:sz w:val="28"/>
          <w:rtl/>
        </w:rPr>
        <w:t>ی وجود ندارد،</w:t>
      </w:r>
      <w:r w:rsidR="00A81DC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آن موارد تابع دلیل جهاد و دفاع و امور دیگر است.</w:t>
      </w:r>
      <w:r w:rsidR="00A81DC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در این قول فرموده </w:t>
      </w:r>
      <w:r w:rsidR="00A81DC0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ادله </w:t>
      </w:r>
      <w:r w:rsidR="00A81DC0">
        <w:rPr>
          <w:rFonts w:ascii="IRBadr" w:hAnsi="IRBadr" w:cs="IRBadr" w:hint="cs"/>
          <w:sz w:val="28"/>
          <w:rtl/>
        </w:rPr>
        <w:t>امرونهی ‌ای</w:t>
      </w:r>
      <w:r>
        <w:rPr>
          <w:rFonts w:ascii="IRBadr" w:hAnsi="IRBadr" w:cs="IRBadr" w:hint="cs"/>
          <w:sz w:val="28"/>
          <w:rtl/>
        </w:rPr>
        <w:t>ن امور را دربر ن</w:t>
      </w:r>
      <w:r w:rsidR="00A81DC0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 xml:space="preserve"> و بدون اذن یا با آن نیز فرقی ندارد.</w:t>
      </w:r>
    </w:p>
    <w:p w:rsidR="00AA563E" w:rsidRDefault="00AA563E" w:rsidP="00FF396A">
      <w:pPr>
        <w:pStyle w:val="3"/>
        <w:rPr>
          <w:rtl/>
        </w:rPr>
      </w:pPr>
      <w:bookmarkStart w:id="7" w:name="_Toc437073913"/>
      <w:r>
        <w:rPr>
          <w:rFonts w:hint="cs"/>
          <w:rtl/>
        </w:rPr>
        <w:t>قول سوم</w:t>
      </w:r>
      <w:bookmarkEnd w:id="7"/>
    </w:p>
    <w:p w:rsidR="00AA563E" w:rsidRDefault="00AA563E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قول دیگر قائل به جواز </w:t>
      </w:r>
      <w:r w:rsidR="00A81D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با اذن حاکم است.</w:t>
      </w:r>
      <w:r w:rsidR="00A81DC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در اینجا ادله به نحو مفهومی یا مناطی این موارد را شامل </w:t>
      </w:r>
      <w:r w:rsidR="00A81DC0">
        <w:rPr>
          <w:rFonts w:ascii="IRBadr" w:hAnsi="IRBadr" w:cs="IRBadr"/>
          <w:sz w:val="28"/>
          <w:rtl/>
        </w:rPr>
        <w:t>م</w:t>
      </w:r>
      <w:r w:rsidR="00A81DC0">
        <w:rPr>
          <w:rFonts w:ascii="IRBadr" w:hAnsi="IRBadr" w:cs="IRBadr" w:hint="cs"/>
          <w:sz w:val="28"/>
          <w:rtl/>
        </w:rPr>
        <w:t>ی‌شوند</w:t>
      </w:r>
      <w:r w:rsidR="00EB4649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اما دلیل مستقلی بر لزوم اذن از حاکم در اینجا وجود دارد.</w:t>
      </w:r>
      <w:r w:rsidR="00A81DC0">
        <w:rPr>
          <w:rFonts w:ascii="IRBadr" w:hAnsi="IRBadr" w:cs="IRBadr"/>
          <w:sz w:val="28"/>
          <w:rtl/>
        </w:rPr>
        <w:t xml:space="preserve"> حال</w:t>
      </w:r>
      <w:r>
        <w:rPr>
          <w:rFonts w:ascii="IRBadr" w:hAnsi="IRBadr" w:cs="IRBadr" w:hint="cs"/>
          <w:sz w:val="28"/>
          <w:rtl/>
        </w:rPr>
        <w:t xml:space="preserve"> این دلیل </w:t>
      </w:r>
      <w:r w:rsidR="00A81DC0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>د دلیل خاصی باشد که جلوتر از آن بحث خواهیم کرد،</w:t>
      </w:r>
      <w:r w:rsidR="00A81DC0">
        <w:rPr>
          <w:rFonts w:ascii="IRBadr" w:hAnsi="IRBadr" w:cs="IRBadr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lastRenderedPageBreak/>
        <w:t xml:space="preserve">اینکه دلیل آن لزوم </w:t>
      </w:r>
      <w:r w:rsidR="00A81DC0">
        <w:rPr>
          <w:rFonts w:ascii="IRBadr" w:hAnsi="IRBadr" w:cs="IRBadr"/>
          <w:sz w:val="28"/>
          <w:rtl/>
        </w:rPr>
        <w:t>هرج‌ومرج</w:t>
      </w:r>
      <w:r>
        <w:rPr>
          <w:rFonts w:ascii="IRBadr" w:hAnsi="IRBadr" w:cs="IRBadr" w:hint="cs"/>
          <w:sz w:val="28"/>
          <w:rtl/>
        </w:rPr>
        <w:t xml:space="preserve"> است.</w:t>
      </w:r>
      <w:r w:rsidR="00A81DC0">
        <w:rPr>
          <w:rFonts w:ascii="IRBadr" w:hAnsi="IRBadr" w:cs="IRBadr"/>
          <w:sz w:val="28"/>
          <w:rtl/>
        </w:rPr>
        <w:t xml:space="preserve"> ا</w:t>
      </w:r>
      <w:r w:rsidR="00A81D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نظر به مشهور و </w:t>
      </w:r>
      <w:r w:rsidR="00A81DC0">
        <w:rPr>
          <w:rFonts w:ascii="IRBadr" w:hAnsi="IRBadr" w:cs="IRBadr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شهید ثانی،</w:t>
      </w:r>
      <w:r w:rsidR="00A81DC0">
        <w:rPr>
          <w:rFonts w:ascii="IRBadr" w:hAnsi="IRBadr" w:cs="IRBadr"/>
          <w:sz w:val="28"/>
          <w:rtl/>
        </w:rPr>
        <w:t xml:space="preserve"> مرحوم</w:t>
      </w:r>
      <w:r>
        <w:rPr>
          <w:rFonts w:ascii="IRBadr" w:hAnsi="IRBadr" w:cs="IRBadr" w:hint="cs"/>
          <w:sz w:val="28"/>
          <w:rtl/>
        </w:rPr>
        <w:t xml:space="preserve"> سبزواری و مرحوم محقق نسبت </w:t>
      </w:r>
      <w:r w:rsidR="00A81DC0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</w:t>
      </w:r>
      <w:r w:rsidR="00A81DC0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شاید مفهوم کلام امام در تحریر نیز همین باشد.</w:t>
      </w:r>
    </w:p>
    <w:p w:rsidR="00AA563E" w:rsidRDefault="00AA563E" w:rsidP="00FF396A">
      <w:pPr>
        <w:pStyle w:val="3"/>
        <w:rPr>
          <w:rtl/>
        </w:rPr>
      </w:pPr>
      <w:bookmarkStart w:id="8" w:name="_Toc437073914"/>
      <w:r>
        <w:rPr>
          <w:rFonts w:hint="cs"/>
          <w:rtl/>
        </w:rPr>
        <w:t>قول چهارم</w:t>
      </w:r>
      <w:bookmarkEnd w:id="8"/>
    </w:p>
    <w:p w:rsidR="00AA563E" w:rsidRDefault="00AA563E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قول دیگر این است که قول سوم گفته شود،</w:t>
      </w:r>
      <w:r w:rsidR="00A81DC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زمان وجود حکومت اسلامی و غیر اسلامی فرق بگذاریم؛</w:t>
      </w:r>
      <w:r w:rsidR="00A81DC0">
        <w:rPr>
          <w:rFonts w:ascii="IRBadr" w:hAnsi="IRBadr" w:cs="IRBadr"/>
          <w:sz w:val="28"/>
          <w:rtl/>
        </w:rPr>
        <w:t xml:space="preserve"> درصورت</w:t>
      </w:r>
      <w:r w:rsidR="00A81DC0">
        <w:rPr>
          <w:rFonts w:ascii="IRBadr" w:hAnsi="IRBadr" w:cs="IRBadr" w:hint="cs"/>
          <w:sz w:val="28"/>
          <w:rtl/>
        </w:rPr>
        <w:t>ی‌که</w:t>
      </w:r>
      <w:r>
        <w:rPr>
          <w:rFonts w:ascii="IRBadr" w:hAnsi="IRBadr" w:cs="IRBadr" w:hint="cs"/>
          <w:sz w:val="28"/>
          <w:rtl/>
        </w:rPr>
        <w:t xml:space="preserve"> حکومت اسلامی نیست،</w:t>
      </w:r>
      <w:r w:rsidR="00A81DC0">
        <w:rPr>
          <w:rFonts w:ascii="IRBadr" w:hAnsi="IRBadr" w:cs="IRBadr"/>
          <w:sz w:val="28"/>
          <w:rtl/>
        </w:rPr>
        <w:t xml:space="preserve"> مجاز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A81DC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در این صورت یا نیاز به اذن نیست و یا اینکه اذن ولایی عامی وجود دارد</w:t>
      </w:r>
      <w:r w:rsidR="00A81DC0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در زمان حکومت مشروع،</w:t>
      </w:r>
      <w:r w:rsidR="00A81DC0">
        <w:rPr>
          <w:rFonts w:ascii="IRBadr" w:hAnsi="IRBadr" w:cs="IRBadr"/>
          <w:sz w:val="28"/>
          <w:rtl/>
        </w:rPr>
        <w:t xml:space="preserve"> ن</w:t>
      </w:r>
      <w:r w:rsidR="00A81DC0">
        <w:rPr>
          <w:rFonts w:ascii="IRBadr" w:hAnsi="IRBadr" w:cs="IRBadr" w:hint="cs"/>
          <w:sz w:val="28"/>
          <w:rtl/>
        </w:rPr>
        <w:t>یازمند</w:t>
      </w:r>
      <w:r>
        <w:rPr>
          <w:rFonts w:ascii="IRBadr" w:hAnsi="IRBadr" w:cs="IRBadr" w:hint="cs"/>
          <w:sz w:val="28"/>
          <w:rtl/>
        </w:rPr>
        <w:t xml:space="preserve"> به اذن حاکم است.</w:t>
      </w:r>
      <w:r w:rsidR="00A81DC0">
        <w:rPr>
          <w:rFonts w:ascii="IRBadr" w:hAnsi="IRBadr" w:cs="IRBadr"/>
          <w:sz w:val="28"/>
          <w:rtl/>
        </w:rPr>
        <w:t xml:space="preserve"> کسان</w:t>
      </w:r>
      <w:r w:rsidR="00A81D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به این قول معتقدند و این احتمال،</w:t>
      </w:r>
      <w:r w:rsidR="00A81DC0">
        <w:rPr>
          <w:rFonts w:ascii="IRBadr" w:hAnsi="IRBadr" w:cs="IRBadr"/>
          <w:sz w:val="28"/>
          <w:rtl/>
        </w:rPr>
        <w:t xml:space="preserve"> احتمال</w:t>
      </w:r>
      <w:r>
        <w:rPr>
          <w:rFonts w:ascii="IRBadr" w:hAnsi="IRBadr" w:cs="IRBadr" w:hint="cs"/>
          <w:sz w:val="28"/>
          <w:rtl/>
        </w:rPr>
        <w:t xml:space="preserve"> ضعیفی نیست.</w:t>
      </w:r>
      <w:r w:rsidR="00A81DC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در زمان حکومت و بسط ید آن </w:t>
      </w:r>
      <w:r w:rsidR="002D6372">
        <w:rPr>
          <w:rFonts w:ascii="IRBadr" w:hAnsi="IRBadr" w:cs="IRBadr" w:hint="cs"/>
          <w:sz w:val="28"/>
          <w:rtl/>
        </w:rPr>
        <w:t>نیاز به اذن حاکم است و این اجازه مستقلاً وجود ندارد.</w:t>
      </w:r>
    </w:p>
    <w:p w:rsidR="002D6372" w:rsidRDefault="002D6372" w:rsidP="00FF396A">
      <w:pPr>
        <w:pStyle w:val="3"/>
        <w:rPr>
          <w:rtl/>
        </w:rPr>
      </w:pPr>
      <w:bookmarkStart w:id="9" w:name="_Toc437073915"/>
      <w:r>
        <w:rPr>
          <w:rFonts w:hint="cs"/>
          <w:rtl/>
        </w:rPr>
        <w:t>تمثیل بحث</w:t>
      </w:r>
      <w:bookmarkEnd w:id="9"/>
    </w:p>
    <w:p w:rsidR="002D6372" w:rsidRDefault="002D6372" w:rsidP="002D637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مثلاً در مورد نماز جمعه نیز قولی این است که اگر حاکمیتی نبود </w:t>
      </w:r>
      <w:r w:rsidR="00A81DC0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اجرا نمود، ولی وقتی حاکمیتی بود،</w:t>
      </w:r>
      <w:r w:rsidR="00A81DC0">
        <w:rPr>
          <w:rFonts w:ascii="IRBadr" w:hAnsi="IRBadr" w:cs="IRBadr"/>
          <w:sz w:val="28"/>
          <w:rtl/>
        </w:rPr>
        <w:t xml:space="preserve"> ن</w:t>
      </w:r>
      <w:r w:rsidR="00A81DC0">
        <w:rPr>
          <w:rFonts w:ascii="IRBadr" w:hAnsi="IRBadr" w:cs="IRBadr" w:hint="cs"/>
          <w:sz w:val="28"/>
          <w:rtl/>
        </w:rPr>
        <w:t>یازمند</w:t>
      </w:r>
      <w:r>
        <w:rPr>
          <w:rFonts w:ascii="IRBadr" w:hAnsi="IRBadr" w:cs="IRBadr" w:hint="cs"/>
          <w:sz w:val="28"/>
          <w:rtl/>
        </w:rPr>
        <w:t xml:space="preserve"> به نصب حکومتی است</w:t>
      </w:r>
      <w:r w:rsidR="00A81DC0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در نماز عید </w:t>
      </w:r>
      <w:r w:rsidR="00A81DC0">
        <w:rPr>
          <w:rFonts w:ascii="IRBadr" w:hAnsi="IRBadr" w:cs="IRBadr" w:hint="cs"/>
          <w:sz w:val="28"/>
          <w:rtl/>
        </w:rPr>
        <w:t>بدین‌صورت</w:t>
      </w:r>
      <w:r>
        <w:rPr>
          <w:rFonts w:ascii="IRBadr" w:hAnsi="IRBadr" w:cs="IRBadr" w:hint="cs"/>
          <w:sz w:val="28"/>
          <w:rtl/>
        </w:rPr>
        <w:t xml:space="preserve"> نیست.</w:t>
      </w:r>
      <w:r w:rsidR="00A81DC0">
        <w:rPr>
          <w:rFonts w:ascii="IRBadr" w:hAnsi="IRBadr" w:cs="IRBadr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در </w:t>
      </w:r>
      <w:r w:rsidR="00A81DC0">
        <w:rPr>
          <w:rFonts w:ascii="IRBadr" w:hAnsi="IRBadr" w:cs="IRBadr" w:hint="cs"/>
          <w:sz w:val="28"/>
          <w:rtl/>
        </w:rPr>
        <w:t>سال‌هایی</w:t>
      </w:r>
      <w:r>
        <w:rPr>
          <w:rFonts w:ascii="IRBadr" w:hAnsi="IRBadr" w:cs="IRBadr" w:hint="cs"/>
          <w:sz w:val="28"/>
          <w:rtl/>
        </w:rPr>
        <w:t xml:space="preserve"> که کتاب </w:t>
      </w:r>
      <w:r w:rsidR="00A81DC0">
        <w:rPr>
          <w:rFonts w:ascii="IRBadr" w:hAnsi="IRBadr" w:cs="IRBadr" w:hint="cs"/>
          <w:sz w:val="28"/>
          <w:rtl/>
        </w:rPr>
        <w:t>قضا</w:t>
      </w:r>
      <w:r>
        <w:rPr>
          <w:rFonts w:ascii="IRBadr" w:hAnsi="IRBadr" w:cs="IRBadr" w:hint="cs"/>
          <w:sz w:val="28"/>
          <w:rtl/>
        </w:rPr>
        <w:t xml:space="preserve"> را </w:t>
      </w:r>
      <w:r w:rsidR="00A81DC0">
        <w:rPr>
          <w:rFonts w:ascii="IRBadr" w:hAnsi="IRBadr" w:cs="IRBadr" w:hint="cs"/>
          <w:sz w:val="28"/>
          <w:rtl/>
        </w:rPr>
        <w:t>می‌گفتیم</w:t>
      </w:r>
      <w:r>
        <w:rPr>
          <w:rFonts w:ascii="IRBadr" w:hAnsi="IRBadr" w:cs="IRBadr" w:hint="cs"/>
          <w:sz w:val="28"/>
          <w:rtl/>
        </w:rPr>
        <w:t xml:space="preserve"> احتمالی دادیم که شرایط </w:t>
      </w:r>
      <w:r w:rsidR="00A81DC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برای قاضی در روایات برای زمانی است که حکومت نباشد،</w:t>
      </w:r>
      <w:r w:rsidR="00A81DC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باوجود</w:t>
      </w:r>
      <w:r>
        <w:rPr>
          <w:rFonts w:ascii="IRBadr" w:hAnsi="IRBadr" w:cs="IRBadr" w:hint="cs"/>
          <w:sz w:val="28"/>
          <w:rtl/>
        </w:rPr>
        <w:t xml:space="preserve"> حاکمیت این شرایط تابع تشخیص حکومت است.</w:t>
      </w:r>
    </w:p>
    <w:p w:rsidR="00AA563E" w:rsidRDefault="002D6372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در زمان نبود حکومت</w:t>
      </w:r>
      <w:r w:rsidR="00EB464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ضوابطی برای اطمینان بیشتر در روایات ذکر </w:t>
      </w:r>
      <w:r w:rsidR="00A81DC0">
        <w:rPr>
          <w:rFonts w:ascii="IRBadr" w:hAnsi="IRBadr" w:cs="IRBadr" w:hint="cs"/>
          <w:sz w:val="28"/>
          <w:rtl/>
        </w:rPr>
        <w:t>می‌شود</w:t>
      </w:r>
      <w:r w:rsidR="00A81DC0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بنابراین</w:t>
      </w:r>
      <w:r>
        <w:rPr>
          <w:rFonts w:ascii="IRBadr" w:hAnsi="IRBadr" w:cs="IRBadr" w:hint="cs"/>
          <w:sz w:val="28"/>
          <w:rtl/>
        </w:rPr>
        <w:t xml:space="preserve"> دو احتمال اخیر برخلاف احتمالات اول و دوم قائل </w:t>
      </w:r>
      <w:r w:rsidR="00A81DC0">
        <w:rPr>
          <w:rFonts w:ascii="IRBadr" w:hAnsi="IRBadr" w:cs="IRBadr" w:hint="cs"/>
          <w:sz w:val="28"/>
          <w:rtl/>
        </w:rPr>
        <w:t>به‌تفصیل</w:t>
      </w:r>
      <w:r>
        <w:rPr>
          <w:rFonts w:ascii="IRBadr" w:hAnsi="IRBadr" w:cs="IRBadr" w:hint="cs"/>
          <w:sz w:val="28"/>
          <w:rtl/>
        </w:rPr>
        <w:t xml:space="preserve"> بود.</w:t>
      </w:r>
    </w:p>
    <w:p w:rsidR="002D6372" w:rsidRDefault="002D6372" w:rsidP="00EB4649">
      <w:pPr>
        <w:pStyle w:val="3"/>
        <w:rPr>
          <w:rtl/>
        </w:rPr>
      </w:pPr>
      <w:bookmarkStart w:id="10" w:name="_Toc437073916"/>
      <w:r>
        <w:rPr>
          <w:rFonts w:hint="cs"/>
          <w:rtl/>
        </w:rPr>
        <w:t>قول پنجم</w:t>
      </w:r>
      <w:bookmarkEnd w:id="10"/>
    </w:p>
    <w:p w:rsidR="002D6372" w:rsidRDefault="002D6372" w:rsidP="00C006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احتمال دیگر این است که تفصیل داده شود (نه بین اذن و عدم آن یا زمان حضور و غیبت) بین اینکه جرح یا قتل باشد.</w:t>
      </w:r>
      <w:r w:rsidR="00A81DC0">
        <w:rPr>
          <w:rFonts w:ascii="IRBadr" w:hAnsi="IRBadr" w:cs="IRBadr"/>
          <w:sz w:val="28"/>
          <w:rtl/>
        </w:rPr>
        <w:t xml:space="preserve"> جرح</w:t>
      </w:r>
      <w:r>
        <w:rPr>
          <w:rFonts w:ascii="IRBadr" w:hAnsi="IRBadr" w:cs="IRBadr" w:hint="cs"/>
          <w:sz w:val="28"/>
          <w:rtl/>
        </w:rPr>
        <w:t xml:space="preserve"> مادون قتل داخل در ادله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است و اذن ن</w:t>
      </w:r>
      <w:r w:rsidR="00A81DC0">
        <w:rPr>
          <w:rFonts w:ascii="IRBadr" w:hAnsi="IRBadr" w:cs="IRBadr" w:hint="cs"/>
          <w:sz w:val="28"/>
          <w:rtl/>
        </w:rPr>
        <w:t>می‌خواهد</w:t>
      </w:r>
      <w:r w:rsidR="00EB4649"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/>
          <w:sz w:val="28"/>
          <w:rtl/>
        </w:rPr>
        <w:t>ول</w:t>
      </w:r>
      <w:r w:rsidR="00A81D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قتل </w:t>
      </w:r>
      <w:r w:rsidR="00C00605">
        <w:rPr>
          <w:rFonts w:ascii="IRBadr" w:hAnsi="IRBadr" w:cs="IRBadr" w:hint="cs"/>
          <w:sz w:val="28"/>
          <w:rtl/>
        </w:rPr>
        <w:t xml:space="preserve">هر چند مثل جرح </w:t>
      </w:r>
      <w:r>
        <w:rPr>
          <w:rFonts w:ascii="IRBadr" w:hAnsi="IRBadr" w:cs="IRBadr" w:hint="cs"/>
          <w:sz w:val="28"/>
          <w:rtl/>
        </w:rPr>
        <w:t xml:space="preserve">داخل </w:t>
      </w:r>
      <w:r w:rsidR="00A81DC0">
        <w:rPr>
          <w:rFonts w:ascii="IRBadr" w:hAnsi="IRBadr" w:cs="IRBadr" w:hint="cs"/>
          <w:sz w:val="28"/>
          <w:rtl/>
        </w:rPr>
        <w:t>امرونهی</w:t>
      </w:r>
      <w:r>
        <w:rPr>
          <w:rFonts w:ascii="IRBadr" w:hAnsi="IRBadr" w:cs="IRBadr" w:hint="cs"/>
          <w:sz w:val="28"/>
          <w:rtl/>
        </w:rPr>
        <w:t xml:space="preserve"> </w:t>
      </w:r>
      <w:r w:rsidR="00C00605">
        <w:rPr>
          <w:rFonts w:ascii="IRBadr" w:hAnsi="IRBadr" w:cs="IRBadr" w:hint="cs"/>
          <w:sz w:val="28"/>
          <w:rtl/>
        </w:rPr>
        <w:t>است</w:t>
      </w:r>
      <w:r w:rsidR="00554FA4">
        <w:rPr>
          <w:rFonts w:ascii="IRBadr" w:hAnsi="IRBadr" w:cs="IRBadr" w:hint="cs"/>
          <w:sz w:val="28"/>
          <w:rtl/>
        </w:rPr>
        <w:t>،</w:t>
      </w:r>
      <w:r w:rsidR="00C00605">
        <w:rPr>
          <w:rFonts w:ascii="IRBadr" w:hAnsi="IRBadr" w:cs="IRBadr" w:hint="cs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نیازمند اذن است.</w:t>
      </w:r>
      <w:r w:rsidR="00A81DC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در قتل به خاطر اهمیت بالای آن نیازمند اذن است.</w:t>
      </w:r>
      <w:r w:rsidR="00A81DC0">
        <w:rPr>
          <w:rFonts w:ascii="IRBadr" w:hAnsi="IRBadr" w:cs="IRBadr"/>
          <w:sz w:val="28"/>
          <w:rtl/>
        </w:rPr>
        <w:t xml:space="preserve"> ا</w:t>
      </w:r>
      <w:r w:rsidR="00A81D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قول به مسالک شهید نسبت </w:t>
      </w:r>
      <w:r w:rsidR="00A81DC0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2D6372" w:rsidRDefault="002D6372" w:rsidP="00FF396A">
      <w:pPr>
        <w:pStyle w:val="3"/>
        <w:rPr>
          <w:rtl/>
        </w:rPr>
      </w:pPr>
      <w:bookmarkStart w:id="11" w:name="_Toc437073917"/>
      <w:r>
        <w:rPr>
          <w:rFonts w:hint="cs"/>
          <w:rtl/>
        </w:rPr>
        <w:lastRenderedPageBreak/>
        <w:t>قول ششم</w:t>
      </w:r>
      <w:bookmarkEnd w:id="11"/>
    </w:p>
    <w:p w:rsidR="002D6372" w:rsidRDefault="002D6372" w:rsidP="003B6C0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قول دیگر این است که</w:t>
      </w:r>
      <w:r w:rsidR="00554FA4">
        <w:rPr>
          <w:rFonts w:ascii="IRBadr" w:hAnsi="IRBadr" w:cs="IRBadr" w:hint="cs"/>
          <w:sz w:val="28"/>
          <w:rtl/>
        </w:rPr>
        <w:t xml:space="preserve"> تفصیل بین جرح و قتل بدهیم </w:t>
      </w:r>
      <w:r w:rsidR="003B6C09">
        <w:rPr>
          <w:rFonts w:ascii="IRBadr" w:hAnsi="IRBadr" w:cs="IRBadr" w:hint="cs"/>
          <w:sz w:val="28"/>
          <w:rtl/>
        </w:rPr>
        <w:t>به اینکه جرح و ما دون قتل داخل در امر به معروف است،</w:t>
      </w:r>
      <w:r>
        <w:rPr>
          <w:rFonts w:ascii="IRBadr" w:hAnsi="IRBadr" w:cs="IRBadr" w:hint="cs"/>
          <w:sz w:val="28"/>
          <w:rtl/>
        </w:rPr>
        <w:t xml:space="preserve"> اما قتل مطلقاً از آن خارج است.</w:t>
      </w:r>
    </w:p>
    <w:p w:rsidR="003318E1" w:rsidRDefault="003318E1" w:rsidP="003318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شش احتمال در اینجا وجود دارد و ممکن است قائل نیز داشته باشد.</w:t>
      </w:r>
      <w:r w:rsidR="00A81DC0">
        <w:rPr>
          <w:rFonts w:ascii="IRBadr" w:hAnsi="IRBadr" w:cs="IRBadr"/>
          <w:sz w:val="28"/>
          <w:rtl/>
        </w:rPr>
        <w:t xml:space="preserve"> احتمالات</w:t>
      </w:r>
      <w:r>
        <w:rPr>
          <w:rFonts w:ascii="IRBadr" w:hAnsi="IRBadr" w:cs="IRBadr" w:hint="cs"/>
          <w:sz w:val="28"/>
          <w:rtl/>
        </w:rPr>
        <w:t xml:space="preserve"> بیش از این موارد بوده و </w:t>
      </w:r>
      <w:r w:rsidR="00A81DC0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احتمال هفتم </w:t>
      </w:r>
      <w:r w:rsidR="00A81DC0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 xml:space="preserve"> گفت که جرح مانعی نداشته ولی کسر و نقص عضو ملحق به قتل است.</w:t>
      </w:r>
      <w:r w:rsidR="00A81DC0">
        <w:rPr>
          <w:rFonts w:ascii="IRBadr" w:hAnsi="IRBadr" w:cs="IRBadr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اینکه گفته شود بین ضرب، کسر، جرح و نقص عضو تفاوتاتی وجود دارد و حکم در قبال </w:t>
      </w:r>
      <w:r w:rsidR="00A81D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متفاوت خواهد بود.</w:t>
      </w:r>
    </w:p>
    <w:p w:rsidR="00FF396A" w:rsidRDefault="00FF396A" w:rsidP="00FF396A">
      <w:pPr>
        <w:pStyle w:val="2"/>
        <w:rPr>
          <w:rtl/>
        </w:rPr>
      </w:pPr>
      <w:bookmarkStart w:id="12" w:name="_Toc437073918"/>
      <w:r>
        <w:rPr>
          <w:rFonts w:hint="cs"/>
          <w:rtl/>
        </w:rPr>
        <w:t>ادله شمول اقدامات عملی</w:t>
      </w:r>
      <w:bookmarkEnd w:id="12"/>
    </w:p>
    <w:p w:rsidR="00064D5F" w:rsidRDefault="003318E1" w:rsidP="00064D5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اینجا سؤال این بود که چه دلیلی </w:t>
      </w:r>
      <w:r w:rsidR="00EA0C9E">
        <w:rPr>
          <w:rFonts w:ascii="IRBadr" w:hAnsi="IRBadr" w:cs="IRBadr" w:hint="cs"/>
          <w:sz w:val="28"/>
          <w:rtl/>
        </w:rPr>
        <w:t xml:space="preserve">وجود دارد که </w:t>
      </w:r>
      <w:r w:rsidR="003B6C09">
        <w:rPr>
          <w:rFonts w:ascii="IRBadr" w:hAnsi="IRBadr" w:cs="IRBadr" w:hint="cs"/>
          <w:sz w:val="28"/>
          <w:rtl/>
        </w:rPr>
        <w:t>ادله</w:t>
      </w:r>
      <w:r w:rsidR="008E6031">
        <w:rPr>
          <w:rFonts w:ascii="IRBadr" w:hAnsi="IRBadr" w:cs="IRBadr" w:hint="cs"/>
          <w:sz w:val="28"/>
          <w:rtl/>
        </w:rPr>
        <w:t xml:space="preserve"> امر به معروف و نهی از منکر،</w:t>
      </w:r>
      <w:r w:rsidR="003B6C09">
        <w:rPr>
          <w:rFonts w:ascii="IRBadr" w:hAnsi="IRBadr" w:cs="IRBadr" w:hint="cs"/>
          <w:sz w:val="28"/>
          <w:rtl/>
        </w:rPr>
        <w:t xml:space="preserve"> </w:t>
      </w:r>
      <w:r w:rsidR="00EA0C9E">
        <w:rPr>
          <w:rFonts w:ascii="IRBadr" w:hAnsi="IRBadr" w:cs="IRBadr" w:hint="cs"/>
          <w:sz w:val="28"/>
          <w:rtl/>
        </w:rPr>
        <w:t>شمول بر اقدامات عملی که ذاتاً محرم است</w:t>
      </w:r>
      <w:r w:rsidR="008E6031">
        <w:rPr>
          <w:rFonts w:ascii="IRBadr" w:hAnsi="IRBadr" w:cs="IRBadr" w:hint="cs"/>
          <w:sz w:val="28"/>
          <w:rtl/>
        </w:rPr>
        <w:t>،</w:t>
      </w:r>
      <w:r w:rsidR="00A81DC0">
        <w:rPr>
          <w:rFonts w:ascii="IRBadr" w:hAnsi="IRBadr" w:cs="IRBadr"/>
          <w:sz w:val="28"/>
          <w:rtl/>
        </w:rPr>
        <w:t xml:space="preserve"> </w:t>
      </w:r>
      <w:r w:rsidR="008E6031">
        <w:rPr>
          <w:rFonts w:ascii="IRBadr" w:hAnsi="IRBadr" w:cs="IRBadr" w:hint="cs"/>
          <w:sz w:val="28"/>
          <w:rtl/>
        </w:rPr>
        <w:t>داشته باشد</w:t>
      </w:r>
      <w:r w:rsidR="00EA0C9E">
        <w:rPr>
          <w:rFonts w:ascii="IRBadr" w:hAnsi="IRBadr" w:cs="IRBadr" w:hint="cs"/>
          <w:sz w:val="28"/>
          <w:rtl/>
        </w:rPr>
        <w:t>؟</w:t>
      </w:r>
    </w:p>
    <w:p w:rsidR="00064D5F" w:rsidRDefault="00EA0C9E" w:rsidP="00064D5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64D5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8E6031" w:rsidRPr="00064D5F">
        <w:rPr>
          <w:rFonts w:ascii="IRBadr" w:hAnsi="IRBadr" w:cs="IRBadr" w:hint="cs"/>
          <w:b/>
          <w:bCs/>
          <w:sz w:val="28"/>
          <w:rtl/>
        </w:rPr>
        <w:t>دلیل اول</w:t>
      </w:r>
      <w:r w:rsidR="00064D5F">
        <w:rPr>
          <w:rFonts w:ascii="IRBadr" w:hAnsi="IRBadr" w:cs="IRBadr" w:hint="cs"/>
          <w:b/>
          <w:bCs/>
          <w:sz w:val="28"/>
          <w:rtl/>
        </w:rPr>
        <w:t>؛</w:t>
      </w:r>
      <w:r w:rsidR="008E6031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شمول مفهومی </w:t>
      </w:r>
      <w:r w:rsidR="008E6031">
        <w:rPr>
          <w:rFonts w:ascii="IRBadr" w:hAnsi="IRBadr" w:cs="IRBadr" w:hint="cs"/>
          <w:sz w:val="28"/>
          <w:rtl/>
        </w:rPr>
        <w:t>است که</w:t>
      </w:r>
      <w:r>
        <w:rPr>
          <w:rFonts w:ascii="IRBadr" w:hAnsi="IRBadr" w:cs="IRBadr" w:hint="cs"/>
          <w:sz w:val="28"/>
          <w:rtl/>
        </w:rPr>
        <w:t xml:space="preserve"> امری بعید است</w:t>
      </w:r>
      <w:r w:rsidR="00064D5F">
        <w:rPr>
          <w:rFonts w:ascii="IRBadr" w:hAnsi="IRBadr" w:cs="IRBadr" w:hint="cs"/>
          <w:sz w:val="28"/>
          <w:rtl/>
        </w:rPr>
        <w:t>.</w:t>
      </w:r>
      <w:r w:rsidR="008E6031">
        <w:rPr>
          <w:rFonts w:ascii="IRBadr" w:hAnsi="IRBadr" w:cs="IRBadr" w:hint="cs"/>
          <w:sz w:val="28"/>
          <w:rtl/>
        </w:rPr>
        <w:t xml:space="preserve"> </w:t>
      </w:r>
    </w:p>
    <w:p w:rsidR="00064D5F" w:rsidRDefault="00064D5F" w:rsidP="00064D5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64D5F">
        <w:rPr>
          <w:rFonts w:ascii="IRBadr" w:hAnsi="IRBadr" w:cs="IRBadr" w:hint="cs"/>
          <w:b/>
          <w:bCs/>
          <w:sz w:val="28"/>
          <w:rtl/>
        </w:rPr>
        <w:t>دلیل</w:t>
      </w:r>
      <w:r w:rsidR="008E6031" w:rsidRPr="00064D5F">
        <w:rPr>
          <w:rFonts w:ascii="IRBadr" w:hAnsi="IRBadr" w:cs="IRBadr" w:hint="cs"/>
          <w:b/>
          <w:bCs/>
          <w:sz w:val="28"/>
          <w:rtl/>
        </w:rPr>
        <w:t xml:space="preserve"> دوم</w:t>
      </w:r>
      <w:r>
        <w:rPr>
          <w:rFonts w:ascii="IRBadr" w:hAnsi="IRBadr" w:cs="IRBadr" w:hint="cs"/>
          <w:b/>
          <w:bCs/>
          <w:sz w:val="28"/>
          <w:rtl/>
        </w:rPr>
        <w:t>؛</w:t>
      </w:r>
      <w:r w:rsidR="008E6031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شمول مناطی است با قطع نظر از ادله بیرونی، این نیز درست نیست چرا</w:t>
      </w:r>
      <w:r w:rsidR="008E6031">
        <w:rPr>
          <w:rFonts w:ascii="IRBadr" w:hAnsi="IRBadr" w:cs="IRBadr" w:hint="cs"/>
          <w:sz w:val="28"/>
          <w:rtl/>
        </w:rPr>
        <w:t xml:space="preserve">که </w:t>
      </w:r>
      <w:r w:rsidR="00A81DC0">
        <w:rPr>
          <w:rFonts w:ascii="IRBadr" w:hAnsi="IRBadr" w:cs="IRBadr"/>
          <w:sz w:val="28"/>
          <w:rtl/>
        </w:rPr>
        <w:t>احراز</w:t>
      </w:r>
      <w:r w:rsidR="00EA0C9E">
        <w:rPr>
          <w:rFonts w:ascii="IRBadr" w:hAnsi="IRBadr" w:cs="IRBadr" w:hint="cs"/>
          <w:sz w:val="28"/>
          <w:rtl/>
        </w:rPr>
        <w:t xml:space="preserve"> مناط و اولویت در اینجا ممکن نیست.</w:t>
      </w:r>
      <w:bookmarkStart w:id="13" w:name="_Toc437073919"/>
    </w:p>
    <w:p w:rsidR="003318E1" w:rsidRPr="00064D5F" w:rsidRDefault="00064D5F" w:rsidP="00064D5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64D5F">
        <w:rPr>
          <w:rFonts w:hint="cs"/>
          <w:b/>
          <w:bCs/>
          <w:rtl/>
        </w:rPr>
        <w:t>دلیل سوم</w:t>
      </w:r>
      <w:r w:rsidRPr="00064D5F">
        <w:rPr>
          <w:rFonts w:hint="cs"/>
          <w:b/>
          <w:bCs/>
          <w:rtl/>
        </w:rPr>
        <w:t>؛</w:t>
      </w:r>
      <w:r>
        <w:rPr>
          <w:rFonts w:hint="cs"/>
          <w:rtl/>
        </w:rPr>
        <w:t xml:space="preserve"> </w:t>
      </w:r>
      <w:bookmarkEnd w:id="13"/>
      <w:r>
        <w:rPr>
          <w:rFonts w:hint="cs"/>
          <w:rtl/>
        </w:rPr>
        <w:t>اینکه اگر</w:t>
      </w:r>
      <w:r w:rsidR="008E6031">
        <w:rPr>
          <w:rFonts w:hint="cs"/>
          <w:rtl/>
        </w:rPr>
        <w:t xml:space="preserve"> کسی </w:t>
      </w:r>
      <w:bookmarkStart w:id="14" w:name="_GoBack"/>
      <w:bookmarkEnd w:id="14"/>
      <w:r w:rsidR="008E6031">
        <w:rPr>
          <w:rFonts w:hint="cs"/>
          <w:rtl/>
        </w:rPr>
        <w:t xml:space="preserve">ادعای اجماع کند </w:t>
      </w:r>
      <w:r>
        <w:rPr>
          <w:rFonts w:hint="cs"/>
          <w:rtl/>
        </w:rPr>
        <w:t xml:space="preserve">گفته می‌شود </w:t>
      </w:r>
      <w:r w:rsidR="008E6031">
        <w:rPr>
          <w:rFonts w:hint="cs"/>
          <w:rtl/>
        </w:rPr>
        <w:t xml:space="preserve">که </w:t>
      </w:r>
      <w:r w:rsidR="00EA0C9E">
        <w:rPr>
          <w:rFonts w:hint="cs"/>
          <w:rtl/>
        </w:rPr>
        <w:t>ادعای اجماع بر شمول مرتبه سوم نیز ممکن است محتمل المدرکیه باشد،</w:t>
      </w:r>
      <w:r w:rsidR="00A81DC0">
        <w:rPr>
          <w:rtl/>
        </w:rPr>
        <w:t xml:space="preserve"> علاوه</w:t>
      </w:r>
      <w:r w:rsidR="00EA0C9E">
        <w:rPr>
          <w:rFonts w:hint="cs"/>
          <w:rtl/>
        </w:rPr>
        <w:t xml:space="preserve"> بر اینکه در موسوعه نیز اقوال در قبال اجماع </w:t>
      </w:r>
      <w:r w:rsidR="00A81DC0">
        <w:rPr>
          <w:rFonts w:hint="cs"/>
          <w:rtl/>
        </w:rPr>
        <w:t>نقل‌شده</w:t>
      </w:r>
      <w:r w:rsidR="00EA0C9E">
        <w:rPr>
          <w:rFonts w:hint="cs"/>
          <w:rtl/>
        </w:rPr>
        <w:t xml:space="preserve"> است و مورد خدشه </w:t>
      </w:r>
      <w:r w:rsidR="00A81DC0">
        <w:rPr>
          <w:rFonts w:hint="cs"/>
          <w:rtl/>
        </w:rPr>
        <w:t>قرارگرفته</w:t>
      </w:r>
      <w:r w:rsidR="00EA0C9E">
        <w:rPr>
          <w:rFonts w:hint="cs"/>
          <w:rtl/>
        </w:rPr>
        <w:t xml:space="preserve"> است.</w:t>
      </w:r>
      <w:r w:rsidR="00A81DC0">
        <w:rPr>
          <w:rtl/>
        </w:rPr>
        <w:t xml:space="preserve"> من</w:t>
      </w:r>
      <w:r w:rsidR="00EA0C9E">
        <w:rPr>
          <w:rFonts w:hint="cs"/>
          <w:rtl/>
        </w:rPr>
        <w:t xml:space="preserve"> در اینجا به دلیل عدم مراجعه به اقوال نظری ندارم اما ظاهر </w:t>
      </w:r>
      <w:r w:rsidR="00A81DC0">
        <w:rPr>
          <w:rFonts w:hint="cs"/>
          <w:rtl/>
        </w:rPr>
        <w:t>امربر</w:t>
      </w:r>
      <w:r w:rsidR="00EA0C9E">
        <w:rPr>
          <w:rFonts w:hint="cs"/>
          <w:rtl/>
        </w:rPr>
        <w:t xml:space="preserve"> وجود خدشه در این اجماع است.</w:t>
      </w:r>
    </w:p>
    <w:p w:rsidR="00FF396A" w:rsidRDefault="00FF396A" w:rsidP="00FF396A">
      <w:pPr>
        <w:pStyle w:val="2"/>
        <w:rPr>
          <w:rtl/>
        </w:rPr>
      </w:pPr>
      <w:bookmarkStart w:id="15" w:name="_Toc437073920"/>
      <w:r>
        <w:rPr>
          <w:rFonts w:hint="cs"/>
          <w:rtl/>
        </w:rPr>
        <w:lastRenderedPageBreak/>
        <w:t>نظریه مرحوم آقا ضیاء</w:t>
      </w:r>
      <w:bookmarkEnd w:id="15"/>
    </w:p>
    <w:p w:rsidR="00EA0C9E" w:rsidRDefault="00EA0C9E" w:rsidP="00FF39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دلیل چهارم که از کلام مرحوم آقا ضیاء در شرح تبصره استفاده </w:t>
      </w:r>
      <w:r w:rsidR="00A81DC0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که در همین </w:t>
      </w:r>
      <w:r w:rsidR="00A81DC0">
        <w:rPr>
          <w:rFonts w:ascii="IRBadr" w:hAnsi="IRBadr" w:cs="IRBadr" w:hint="cs"/>
          <w:sz w:val="28"/>
          <w:rtl/>
        </w:rPr>
        <w:t>نرم‌افزارها</w:t>
      </w:r>
      <w:r>
        <w:rPr>
          <w:rFonts w:ascii="IRBadr" w:hAnsi="IRBadr" w:cs="IRBadr" w:hint="cs"/>
          <w:sz w:val="28"/>
          <w:rtl/>
        </w:rPr>
        <w:t xml:space="preserve"> نیز </w:t>
      </w:r>
      <w:r w:rsidR="00A81DC0">
        <w:rPr>
          <w:rFonts w:ascii="IRBadr" w:hAnsi="IRBadr" w:cs="IRBadr" w:hint="cs"/>
          <w:sz w:val="28"/>
          <w:rtl/>
        </w:rPr>
        <w:t>قابل‌مشاهده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A81DC0">
        <w:rPr>
          <w:rFonts w:ascii="IRBadr" w:hAnsi="IRBadr" w:cs="IRBadr"/>
          <w:sz w:val="28"/>
          <w:rtl/>
        </w:rPr>
        <w:t xml:space="preserve"> ا</w:t>
      </w:r>
      <w:r w:rsidR="00A81D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است که </w:t>
      </w:r>
      <w:r w:rsidR="00A81DC0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در مراتب گذشته ملازم غیر منفک از مراتب بعدی است.</w:t>
      </w:r>
      <w:r w:rsidR="00A81DC0">
        <w:rPr>
          <w:rFonts w:ascii="IRBadr" w:hAnsi="IRBadr" w:cs="IRBadr"/>
          <w:sz w:val="28"/>
          <w:rtl/>
        </w:rPr>
        <w:t xml:space="preserve"> ممکن</w:t>
      </w:r>
      <w:r>
        <w:rPr>
          <w:rFonts w:ascii="IRBadr" w:hAnsi="IRBadr" w:cs="IRBadr" w:hint="cs"/>
          <w:sz w:val="28"/>
          <w:rtl/>
        </w:rPr>
        <w:t xml:space="preserve"> نیست گفته شود این دو قابل جدا شدن هستند.</w:t>
      </w:r>
      <w:r w:rsidR="00A81DC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روایت که جلوتر خواهیم گفت نیز </w:t>
      </w:r>
      <w:r w:rsidR="00A81DC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 که ن</w:t>
      </w:r>
      <w:r w:rsidR="00A81DC0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خداوند زبان را آزاد بگذارد و دست را ببندد.</w:t>
      </w:r>
      <w:r w:rsidR="00A81DC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ممکن است زبان منجر به برخورد شود و لاجرم باید این اجازه را داد.</w:t>
      </w:r>
    </w:p>
    <w:p w:rsidR="00FF396A" w:rsidRDefault="00FF396A" w:rsidP="00FF396A">
      <w:pPr>
        <w:pStyle w:val="2"/>
        <w:rPr>
          <w:rtl/>
        </w:rPr>
      </w:pPr>
      <w:bookmarkStart w:id="16" w:name="_Toc437073921"/>
      <w:r>
        <w:rPr>
          <w:rFonts w:hint="cs"/>
          <w:rtl/>
        </w:rPr>
        <w:t>اتخاذ مبنا</w:t>
      </w:r>
      <w:bookmarkEnd w:id="16"/>
    </w:p>
    <w:p w:rsidR="00EA0C9E" w:rsidRDefault="00EA0C9E" w:rsidP="00EA0C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دلیل را به لحاظ فقهی و فنی ن</w:t>
      </w:r>
      <w:r w:rsidR="00A81DC0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 xml:space="preserve"> پذیرفت.</w:t>
      </w:r>
      <w:r w:rsidR="00A81DC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مشروط به عدم ضرر و احتمال تأثیر است</w:t>
      </w:r>
      <w:r w:rsidR="00A81DC0">
        <w:rPr>
          <w:rFonts w:ascii="IRBadr" w:hAnsi="IRBadr" w:cs="IRBadr"/>
          <w:sz w:val="28"/>
          <w:rtl/>
        </w:rPr>
        <w:t xml:space="preserve">؛ </w:t>
      </w:r>
      <w:r w:rsidR="00A81DC0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ملازمت </w:t>
      </w:r>
      <w:r w:rsidR="00A81DC0">
        <w:rPr>
          <w:rFonts w:ascii="IRBadr" w:hAnsi="IRBadr" w:cs="IRBadr" w:hint="cs"/>
          <w:sz w:val="28"/>
          <w:rtl/>
        </w:rPr>
        <w:t>ادعاشده</w:t>
      </w:r>
      <w:r>
        <w:rPr>
          <w:rFonts w:ascii="IRBadr" w:hAnsi="IRBadr" w:cs="IRBadr" w:hint="cs"/>
          <w:sz w:val="28"/>
          <w:rtl/>
        </w:rPr>
        <w:t xml:space="preserve"> توسط ایشان وجود ندارد و </w:t>
      </w:r>
      <w:r w:rsidR="00A81DC0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فرد </w:t>
      </w:r>
      <w:r w:rsidR="00A81DC0">
        <w:rPr>
          <w:rFonts w:ascii="IRBadr" w:hAnsi="IRBadr" w:cs="IRBadr" w:hint="cs"/>
          <w:sz w:val="28"/>
          <w:rtl/>
        </w:rPr>
        <w:t>می‌داند</w:t>
      </w:r>
      <w:r>
        <w:rPr>
          <w:rFonts w:ascii="IRBadr" w:hAnsi="IRBadr" w:cs="IRBadr" w:hint="cs"/>
          <w:sz w:val="28"/>
          <w:rtl/>
        </w:rPr>
        <w:t xml:space="preserve"> این ملازمه وجود دارد</w:t>
      </w:r>
      <w:r w:rsidR="008E603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نباید اقدام کند.</w:t>
      </w:r>
    </w:p>
    <w:p w:rsidR="00FF396A" w:rsidRDefault="00FF396A" w:rsidP="00FF396A">
      <w:pPr>
        <w:pStyle w:val="2"/>
        <w:rPr>
          <w:rtl/>
        </w:rPr>
      </w:pPr>
      <w:bookmarkStart w:id="17" w:name="_Toc437073922"/>
      <w:r>
        <w:rPr>
          <w:rFonts w:hint="cs"/>
          <w:rtl/>
        </w:rPr>
        <w:t>ادله جهاد در این باب</w:t>
      </w:r>
      <w:bookmarkEnd w:id="17"/>
    </w:p>
    <w:p w:rsidR="00EA0C9E" w:rsidRDefault="00EA0C9E" w:rsidP="00EA0C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وجه پنجم این است که گفته شود ادله جهاد این مرتبه را </w:t>
      </w:r>
      <w:r w:rsidR="00A81DC0">
        <w:rPr>
          <w:rFonts w:ascii="IRBadr" w:hAnsi="IRBadr" w:cs="IRBadr" w:hint="cs"/>
          <w:sz w:val="28"/>
          <w:rtl/>
        </w:rPr>
        <w:t>در برمی‌</w:t>
      </w:r>
      <w:r w:rsidR="00A81DC0">
        <w:rPr>
          <w:rFonts w:ascii="IRBadr" w:hAnsi="IRBadr" w:cs="IRBadr"/>
          <w:sz w:val="28"/>
          <w:rtl/>
        </w:rPr>
        <w:t>گ</w:t>
      </w:r>
      <w:r w:rsidR="00A81DC0">
        <w:rPr>
          <w:rFonts w:ascii="IRBadr" w:hAnsi="IRBadr" w:cs="IRBadr" w:hint="cs"/>
          <w:sz w:val="28"/>
          <w:rtl/>
        </w:rPr>
        <w:t>یرد</w:t>
      </w:r>
      <w:r w:rsidR="00A81DC0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این وجه ضعیفی است)؛</w:t>
      </w:r>
      <w:r w:rsidR="00A81DC0">
        <w:rPr>
          <w:rFonts w:ascii="IRBadr" w:hAnsi="IRBadr" w:cs="IRBadr"/>
          <w:sz w:val="28"/>
          <w:rtl/>
        </w:rPr>
        <w:t xml:space="preserve"> ضعف</w:t>
      </w:r>
      <w:r>
        <w:rPr>
          <w:rFonts w:ascii="IRBadr" w:hAnsi="IRBadr" w:cs="IRBadr" w:hint="cs"/>
          <w:sz w:val="28"/>
          <w:rtl/>
        </w:rPr>
        <w:t xml:space="preserve"> این وجه نیز روشن است چراکه جهاد چه ابتدایی و چه غیر آن در محدوده </w:t>
      </w:r>
      <w:r w:rsidR="00A81DC0">
        <w:rPr>
          <w:rFonts w:ascii="IRBadr" w:hAnsi="IRBadr" w:cs="IRBadr" w:hint="cs"/>
          <w:sz w:val="28"/>
          <w:rtl/>
        </w:rPr>
        <w:t>تعریف‌شده</w:t>
      </w:r>
      <w:r>
        <w:rPr>
          <w:rFonts w:ascii="IRBadr" w:hAnsi="IRBadr" w:cs="IRBadr" w:hint="cs"/>
          <w:sz w:val="28"/>
          <w:rtl/>
        </w:rPr>
        <w:t xml:space="preserve"> مشخصی است و جهاد ابتدایی برای دعوت به اسلام است.</w:t>
      </w:r>
      <w:r w:rsidR="00A81DC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این ادعا تنها ادعایی </w:t>
      </w:r>
      <w:r w:rsidR="00A81DC0">
        <w:rPr>
          <w:rFonts w:ascii="IRBadr" w:hAnsi="IRBadr" w:cs="IRBadr" w:hint="cs"/>
          <w:sz w:val="28"/>
          <w:rtl/>
        </w:rPr>
        <w:t>بلا دلیل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FF396A" w:rsidRDefault="00FF396A" w:rsidP="00FF396A">
      <w:pPr>
        <w:pStyle w:val="2"/>
        <w:rPr>
          <w:rtl/>
        </w:rPr>
      </w:pPr>
      <w:bookmarkStart w:id="18" w:name="_Toc437073923"/>
      <w:r>
        <w:rPr>
          <w:rFonts w:hint="cs"/>
          <w:rtl/>
        </w:rPr>
        <w:t>شمول ادله حدود و تعزیرات در این مقام</w:t>
      </w:r>
      <w:bookmarkEnd w:id="18"/>
    </w:p>
    <w:p w:rsidR="00FF396A" w:rsidRDefault="00EA0C9E" w:rsidP="00FF39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دلیل ششم بحث حدود و خصوصاً تعزیرات است که شارع تعزیرات را برای دفع منکر قرار داده است.</w:t>
      </w:r>
      <w:r w:rsidR="00A81DC0">
        <w:rPr>
          <w:rFonts w:ascii="IRBadr" w:hAnsi="IRBadr" w:cs="IRBadr"/>
          <w:sz w:val="28"/>
          <w:rtl/>
        </w:rPr>
        <w:t xml:space="preserve"> حدود</w:t>
      </w:r>
      <w:r>
        <w:rPr>
          <w:rFonts w:ascii="IRBadr" w:hAnsi="IRBadr" w:cs="IRBadr" w:hint="cs"/>
          <w:sz w:val="28"/>
          <w:rtl/>
        </w:rPr>
        <w:t xml:space="preserve"> در </w:t>
      </w:r>
      <w:r w:rsidR="00A81DC0">
        <w:rPr>
          <w:rFonts w:ascii="IRBadr" w:hAnsi="IRBadr" w:cs="IRBadr" w:hint="cs"/>
          <w:sz w:val="28"/>
          <w:rtl/>
        </w:rPr>
        <w:t>جایگاه‌های</w:t>
      </w:r>
      <w:r>
        <w:rPr>
          <w:rFonts w:ascii="IRBadr" w:hAnsi="IRBadr" w:cs="IRBadr" w:hint="cs"/>
          <w:sz w:val="28"/>
          <w:rtl/>
        </w:rPr>
        <w:t xml:space="preserve"> خاص خود است.</w:t>
      </w:r>
    </w:p>
    <w:p w:rsidR="00FF396A" w:rsidRDefault="00FF396A" w:rsidP="00FF396A">
      <w:pPr>
        <w:pStyle w:val="3"/>
        <w:rPr>
          <w:rtl/>
        </w:rPr>
      </w:pPr>
      <w:bookmarkStart w:id="19" w:name="_Toc437073924"/>
      <w:r>
        <w:rPr>
          <w:rFonts w:hint="cs"/>
          <w:rtl/>
        </w:rPr>
        <w:lastRenderedPageBreak/>
        <w:t>خدشه در استدلال فوق</w:t>
      </w:r>
      <w:bookmarkEnd w:id="19"/>
    </w:p>
    <w:p w:rsidR="00EA0C9E" w:rsidRDefault="00EA0C9E" w:rsidP="00FF39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تعزیر بنابر برخی نظریات </w:t>
      </w:r>
      <w:r w:rsidR="00A81DC0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>د دلیل مستقلی باشد که در هر ترک واجب و ارتکاب حرامی است.</w:t>
      </w:r>
      <w:r w:rsidR="00A81DC0">
        <w:rPr>
          <w:rFonts w:ascii="IRBadr" w:hAnsi="IRBadr" w:cs="IRBadr"/>
          <w:sz w:val="28"/>
          <w:rtl/>
        </w:rPr>
        <w:t xml:space="preserve"> ول</w:t>
      </w:r>
      <w:r w:rsidR="00A81D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باز تعزیر از مقوله </w:t>
      </w:r>
      <w:r w:rsidR="00A81DC0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نیست.</w:t>
      </w:r>
      <w:r w:rsidR="00A81DC0">
        <w:rPr>
          <w:rFonts w:ascii="IRBadr" w:hAnsi="IRBadr" w:cs="IRBadr"/>
          <w:sz w:val="28"/>
          <w:rtl/>
        </w:rPr>
        <w:t xml:space="preserve"> ثان</w:t>
      </w:r>
      <w:r w:rsidR="00A81DC0">
        <w:rPr>
          <w:rFonts w:ascii="IRBadr" w:hAnsi="IRBadr" w:cs="IRBadr" w:hint="cs"/>
          <w:sz w:val="28"/>
          <w:rtl/>
        </w:rPr>
        <w:t>یاً</w:t>
      </w:r>
      <w:r>
        <w:rPr>
          <w:rFonts w:ascii="IRBadr" w:hAnsi="IRBadr" w:cs="IRBadr" w:hint="cs"/>
          <w:sz w:val="28"/>
          <w:rtl/>
        </w:rPr>
        <w:t xml:space="preserve"> تعزیر مربوط به حاکم است.</w:t>
      </w:r>
      <w:r w:rsidR="00A81DC0">
        <w:rPr>
          <w:rFonts w:ascii="IRBadr" w:hAnsi="IRBadr" w:cs="IRBadr"/>
          <w:sz w:val="28"/>
          <w:rtl/>
        </w:rPr>
        <w:t xml:space="preserve"> ثالثاً</w:t>
      </w:r>
      <w:r>
        <w:rPr>
          <w:rFonts w:ascii="IRBadr" w:hAnsi="IRBadr" w:cs="IRBadr" w:hint="cs"/>
          <w:sz w:val="28"/>
          <w:rtl/>
        </w:rPr>
        <w:t xml:space="preserve"> در دایره آن قریب به پنج قول وجود دارد و رابعاً </w:t>
      </w:r>
      <w:r w:rsidR="00FF396A">
        <w:rPr>
          <w:rFonts w:ascii="IRBadr" w:hAnsi="IRBadr" w:cs="IRBadr" w:hint="cs"/>
          <w:sz w:val="28"/>
          <w:rtl/>
        </w:rPr>
        <w:t xml:space="preserve">نوع تعزیر دارای قیودی است که در آن چارچوب قرار </w:t>
      </w:r>
      <w:r w:rsidR="00A81DC0">
        <w:rPr>
          <w:rFonts w:ascii="IRBadr" w:hAnsi="IRBadr" w:cs="IRBadr" w:hint="cs"/>
          <w:sz w:val="28"/>
          <w:rtl/>
        </w:rPr>
        <w:t>می‌گیرد</w:t>
      </w:r>
      <w:r w:rsidR="00FF396A">
        <w:rPr>
          <w:rFonts w:ascii="IRBadr" w:hAnsi="IRBadr" w:cs="IRBadr" w:hint="cs"/>
          <w:sz w:val="28"/>
          <w:rtl/>
        </w:rPr>
        <w:t>،</w:t>
      </w:r>
      <w:r w:rsidR="00A81DC0">
        <w:rPr>
          <w:rFonts w:ascii="IRBadr" w:hAnsi="IRBadr" w:cs="IRBadr"/>
          <w:sz w:val="28"/>
          <w:rtl/>
        </w:rPr>
        <w:t xml:space="preserve"> لذا</w:t>
      </w:r>
      <w:r w:rsidR="00FF396A">
        <w:rPr>
          <w:rFonts w:ascii="IRBadr" w:hAnsi="IRBadr" w:cs="IRBadr" w:hint="cs"/>
          <w:sz w:val="28"/>
          <w:rtl/>
        </w:rPr>
        <w:t xml:space="preserve"> </w:t>
      </w:r>
      <w:r w:rsidR="00A81DC0">
        <w:rPr>
          <w:rFonts w:ascii="IRBadr" w:hAnsi="IRBadr" w:cs="IRBadr" w:hint="cs"/>
          <w:sz w:val="28"/>
          <w:rtl/>
        </w:rPr>
        <w:t>به‌عنوان</w:t>
      </w:r>
      <w:r w:rsidR="00FF396A">
        <w:rPr>
          <w:rFonts w:ascii="IRBadr" w:hAnsi="IRBadr" w:cs="IRBadr" w:hint="cs"/>
          <w:sz w:val="28"/>
          <w:rtl/>
        </w:rPr>
        <w:t xml:space="preserve"> دلیلی مطلق ن</w:t>
      </w:r>
      <w:r w:rsidR="00A81DC0">
        <w:rPr>
          <w:rFonts w:ascii="IRBadr" w:hAnsi="IRBadr" w:cs="IRBadr" w:hint="cs"/>
          <w:sz w:val="28"/>
          <w:rtl/>
        </w:rPr>
        <w:t>می‌توان</w:t>
      </w:r>
      <w:r w:rsidR="00FF396A">
        <w:rPr>
          <w:rFonts w:ascii="IRBadr" w:hAnsi="IRBadr" w:cs="IRBadr" w:hint="cs"/>
          <w:sz w:val="28"/>
          <w:rtl/>
        </w:rPr>
        <w:t>د محسوب شود.</w:t>
      </w:r>
    </w:p>
    <w:p w:rsidR="00FF396A" w:rsidRDefault="00FF396A" w:rsidP="00FF39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شش دلیلی است که در اینجا </w:t>
      </w:r>
      <w:r w:rsidR="00A81DC0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>د مطرح گردد</w:t>
      </w:r>
      <w:r w:rsidR="00A81DC0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ادله خاصه در اینجا باید بررسی شود که روایات </w:t>
      </w:r>
      <w:r w:rsidR="00A81DC0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خاص تعمیم داده است یا خیر؟</w:t>
      </w:r>
    </w:p>
    <w:p w:rsidR="00AA563E" w:rsidRPr="00792FEB" w:rsidRDefault="00AA563E" w:rsidP="00AA5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AA563E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17" w:rsidRDefault="00915D17" w:rsidP="000D5800">
      <w:r>
        <w:separator/>
      </w:r>
    </w:p>
  </w:endnote>
  <w:endnote w:type="continuationSeparator" w:id="0">
    <w:p w:rsidR="00915D17" w:rsidRDefault="00915D1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C0" w:rsidRDefault="00A81DC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D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C0" w:rsidRDefault="00A81DC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17" w:rsidRDefault="00915D17" w:rsidP="00724447">
      <w:pPr>
        <w:bidi/>
      </w:pPr>
      <w:r>
        <w:separator/>
      </w:r>
    </w:p>
  </w:footnote>
  <w:footnote w:type="continuationSeparator" w:id="0">
    <w:p w:rsidR="00915D17" w:rsidRDefault="00915D17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C0" w:rsidRDefault="00A81DC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A81DC0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4342F14" wp14:editId="60FEB34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631BB83" wp14:editId="5CF353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8CBC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560D2" w:rsidRPr="008560D2">
      <w:rPr>
        <w:rFonts w:ascii="IRBadr" w:hAnsi="IRBadr" w:cs="IRBadr"/>
        <w:sz w:val="28"/>
        <w:rtl/>
      </w:rPr>
      <w:t>شماره ثبت:</w:t>
    </w:r>
    <w:r w:rsidR="00582EE1">
      <w:rPr>
        <w:rFonts w:ascii="IRBadr" w:hAnsi="IRBadr" w:cs="IRBadr"/>
        <w:sz w:val="28"/>
      </w:rPr>
      <w:t>47</w:t>
    </w:r>
    <w:r w:rsidR="009743E6">
      <w:rPr>
        <w:rFonts w:ascii="IRBadr" w:hAnsi="IRBadr" w:cs="IRBadr" w:hint="cs"/>
        <w:sz w:val="28"/>
        <w:rtl/>
      </w:rPr>
      <w:t>6</w:t>
    </w:r>
    <w:r w:rsidR="00E1155B">
      <w:rPr>
        <w:rFonts w:ascii="IRBadr" w:hAnsi="IRBadr" w:cs="IRBadr" w:hint="cs"/>
        <w:sz w:val="28"/>
        <w:rtl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C0" w:rsidRDefault="00A81DC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C18"/>
    <w:rsid w:val="000228A2"/>
    <w:rsid w:val="000324F1"/>
    <w:rsid w:val="00041FE0"/>
    <w:rsid w:val="00052BA3"/>
    <w:rsid w:val="000559DB"/>
    <w:rsid w:val="0006363E"/>
    <w:rsid w:val="00064D5F"/>
    <w:rsid w:val="00080DFF"/>
    <w:rsid w:val="00081FD2"/>
    <w:rsid w:val="00083E7F"/>
    <w:rsid w:val="00085ED5"/>
    <w:rsid w:val="00091DB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5799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B67F3"/>
    <w:rsid w:val="001C367D"/>
    <w:rsid w:val="001D24F8"/>
    <w:rsid w:val="001D542D"/>
    <w:rsid w:val="001E306E"/>
    <w:rsid w:val="001E3FB0"/>
    <w:rsid w:val="001E4C28"/>
    <w:rsid w:val="001E4FFF"/>
    <w:rsid w:val="001E70FC"/>
    <w:rsid w:val="001F2E3E"/>
    <w:rsid w:val="00211081"/>
    <w:rsid w:val="00221905"/>
    <w:rsid w:val="00224C0A"/>
    <w:rsid w:val="002336F6"/>
    <w:rsid w:val="002376A5"/>
    <w:rsid w:val="002417C9"/>
    <w:rsid w:val="002439A1"/>
    <w:rsid w:val="00247AD3"/>
    <w:rsid w:val="002529C5"/>
    <w:rsid w:val="00260AF8"/>
    <w:rsid w:val="00270294"/>
    <w:rsid w:val="00285CF7"/>
    <w:rsid w:val="002914BD"/>
    <w:rsid w:val="00295160"/>
    <w:rsid w:val="00297263"/>
    <w:rsid w:val="002B7931"/>
    <w:rsid w:val="002C0741"/>
    <w:rsid w:val="002C56FD"/>
    <w:rsid w:val="002C5E91"/>
    <w:rsid w:val="002D49E4"/>
    <w:rsid w:val="002D6372"/>
    <w:rsid w:val="002E0590"/>
    <w:rsid w:val="002E1288"/>
    <w:rsid w:val="002E450B"/>
    <w:rsid w:val="002E73F9"/>
    <w:rsid w:val="002F05B9"/>
    <w:rsid w:val="00313C95"/>
    <w:rsid w:val="00317BD9"/>
    <w:rsid w:val="003227A6"/>
    <w:rsid w:val="00327D80"/>
    <w:rsid w:val="003301CC"/>
    <w:rsid w:val="003318E1"/>
    <w:rsid w:val="00340BA3"/>
    <w:rsid w:val="00343A3C"/>
    <w:rsid w:val="00366400"/>
    <w:rsid w:val="003728BC"/>
    <w:rsid w:val="003728D9"/>
    <w:rsid w:val="00380AF6"/>
    <w:rsid w:val="0038630E"/>
    <w:rsid w:val="003963D7"/>
    <w:rsid w:val="00396F28"/>
    <w:rsid w:val="003A1A05"/>
    <w:rsid w:val="003A2654"/>
    <w:rsid w:val="003B6C09"/>
    <w:rsid w:val="003B723D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0601D"/>
    <w:rsid w:val="00410699"/>
    <w:rsid w:val="00412845"/>
    <w:rsid w:val="00415360"/>
    <w:rsid w:val="004403C9"/>
    <w:rsid w:val="00444448"/>
    <w:rsid w:val="0044591E"/>
    <w:rsid w:val="00454E2A"/>
    <w:rsid w:val="00455B91"/>
    <w:rsid w:val="004651D2"/>
    <w:rsid w:val="00465D26"/>
    <w:rsid w:val="004679F8"/>
    <w:rsid w:val="00482BA1"/>
    <w:rsid w:val="0049675B"/>
    <w:rsid w:val="004A0EA9"/>
    <w:rsid w:val="004A72C8"/>
    <w:rsid w:val="004B337F"/>
    <w:rsid w:val="004C7C80"/>
    <w:rsid w:val="004D4609"/>
    <w:rsid w:val="004D73CA"/>
    <w:rsid w:val="004F3596"/>
    <w:rsid w:val="004F6B78"/>
    <w:rsid w:val="0051273F"/>
    <w:rsid w:val="00530FD7"/>
    <w:rsid w:val="005349AB"/>
    <w:rsid w:val="0053600C"/>
    <w:rsid w:val="00542D95"/>
    <w:rsid w:val="00554FA4"/>
    <w:rsid w:val="00572E2D"/>
    <w:rsid w:val="00582EE1"/>
    <w:rsid w:val="00585DD7"/>
    <w:rsid w:val="00587A14"/>
    <w:rsid w:val="00590A3B"/>
    <w:rsid w:val="00592103"/>
    <w:rsid w:val="0059221C"/>
    <w:rsid w:val="005941DD"/>
    <w:rsid w:val="005A545E"/>
    <w:rsid w:val="005A5862"/>
    <w:rsid w:val="005B0852"/>
    <w:rsid w:val="005B6B80"/>
    <w:rsid w:val="005C06AE"/>
    <w:rsid w:val="005D4781"/>
    <w:rsid w:val="0060004D"/>
    <w:rsid w:val="006103E9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81129"/>
    <w:rsid w:val="006956B1"/>
    <w:rsid w:val="0069696C"/>
    <w:rsid w:val="0069722F"/>
    <w:rsid w:val="006A085A"/>
    <w:rsid w:val="006A5D5F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2AA6"/>
    <w:rsid w:val="00773950"/>
    <w:rsid w:val="007749BC"/>
    <w:rsid w:val="00780C88"/>
    <w:rsid w:val="00780E25"/>
    <w:rsid w:val="007818F0"/>
    <w:rsid w:val="00783462"/>
    <w:rsid w:val="00787B13"/>
    <w:rsid w:val="00792FAC"/>
    <w:rsid w:val="00792FEB"/>
    <w:rsid w:val="007933FA"/>
    <w:rsid w:val="007A32CF"/>
    <w:rsid w:val="007A5D2F"/>
    <w:rsid w:val="007B0062"/>
    <w:rsid w:val="007B6FEB"/>
    <w:rsid w:val="007C1EF7"/>
    <w:rsid w:val="007C2B44"/>
    <w:rsid w:val="007C3594"/>
    <w:rsid w:val="007C5D66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32B17"/>
    <w:rsid w:val="00833044"/>
    <w:rsid w:val="008407A4"/>
    <w:rsid w:val="00841552"/>
    <w:rsid w:val="00844860"/>
    <w:rsid w:val="00845A22"/>
    <w:rsid w:val="00845CC4"/>
    <w:rsid w:val="008560D2"/>
    <w:rsid w:val="008644F4"/>
    <w:rsid w:val="00867F0B"/>
    <w:rsid w:val="00870499"/>
    <w:rsid w:val="00883733"/>
    <w:rsid w:val="008965D2"/>
    <w:rsid w:val="008A14D3"/>
    <w:rsid w:val="008A236D"/>
    <w:rsid w:val="008A6B24"/>
    <w:rsid w:val="008B565A"/>
    <w:rsid w:val="008B5C3D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E6031"/>
    <w:rsid w:val="008F63E3"/>
    <w:rsid w:val="00904FB2"/>
    <w:rsid w:val="00906508"/>
    <w:rsid w:val="00910704"/>
    <w:rsid w:val="00913C3B"/>
    <w:rsid w:val="00915509"/>
    <w:rsid w:val="00915D17"/>
    <w:rsid w:val="00925DA8"/>
    <w:rsid w:val="00927388"/>
    <w:rsid w:val="009274FE"/>
    <w:rsid w:val="009373C0"/>
    <w:rsid w:val="009401AC"/>
    <w:rsid w:val="009556C9"/>
    <w:rsid w:val="009613AC"/>
    <w:rsid w:val="00962EC2"/>
    <w:rsid w:val="009743E6"/>
    <w:rsid w:val="009755D0"/>
    <w:rsid w:val="00980643"/>
    <w:rsid w:val="00997B67"/>
    <w:rsid w:val="009A5494"/>
    <w:rsid w:val="009A7B56"/>
    <w:rsid w:val="009B46BC"/>
    <w:rsid w:val="009B61C3"/>
    <w:rsid w:val="009C7B4F"/>
    <w:rsid w:val="009D2A7E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81DC0"/>
    <w:rsid w:val="00A8670C"/>
    <w:rsid w:val="00A9616A"/>
    <w:rsid w:val="00A96F68"/>
    <w:rsid w:val="00A973BA"/>
    <w:rsid w:val="00AA2342"/>
    <w:rsid w:val="00AA4B63"/>
    <w:rsid w:val="00AA563E"/>
    <w:rsid w:val="00AD0304"/>
    <w:rsid w:val="00AD27BE"/>
    <w:rsid w:val="00AE3C8D"/>
    <w:rsid w:val="00AF0F1A"/>
    <w:rsid w:val="00AF38FB"/>
    <w:rsid w:val="00B0429E"/>
    <w:rsid w:val="00B15027"/>
    <w:rsid w:val="00B21CF4"/>
    <w:rsid w:val="00B24300"/>
    <w:rsid w:val="00B436B5"/>
    <w:rsid w:val="00B63F15"/>
    <w:rsid w:val="00B74FEE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00605"/>
    <w:rsid w:val="00C10120"/>
    <w:rsid w:val="00C160AF"/>
    <w:rsid w:val="00C22299"/>
    <w:rsid w:val="00C23543"/>
    <w:rsid w:val="00C25609"/>
    <w:rsid w:val="00C262D7"/>
    <w:rsid w:val="00C26607"/>
    <w:rsid w:val="00C47986"/>
    <w:rsid w:val="00C60D75"/>
    <w:rsid w:val="00C64CEA"/>
    <w:rsid w:val="00C67EBB"/>
    <w:rsid w:val="00C73012"/>
    <w:rsid w:val="00C763DD"/>
    <w:rsid w:val="00C84FC0"/>
    <w:rsid w:val="00C872A8"/>
    <w:rsid w:val="00C9244A"/>
    <w:rsid w:val="00C9755D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17FA4"/>
    <w:rsid w:val="00D30441"/>
    <w:rsid w:val="00D3665C"/>
    <w:rsid w:val="00D47E0B"/>
    <w:rsid w:val="00D508CC"/>
    <w:rsid w:val="00D50F4B"/>
    <w:rsid w:val="00D60547"/>
    <w:rsid w:val="00D655AF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155B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557A"/>
    <w:rsid w:val="00EA01EC"/>
    <w:rsid w:val="00EA0C9E"/>
    <w:rsid w:val="00EA15B0"/>
    <w:rsid w:val="00EA5D97"/>
    <w:rsid w:val="00EB0361"/>
    <w:rsid w:val="00EB4649"/>
    <w:rsid w:val="00EC4393"/>
    <w:rsid w:val="00EE1C07"/>
    <w:rsid w:val="00EE2C91"/>
    <w:rsid w:val="00EE3979"/>
    <w:rsid w:val="00EE54D0"/>
    <w:rsid w:val="00EF138C"/>
    <w:rsid w:val="00F034CE"/>
    <w:rsid w:val="00F10A0F"/>
    <w:rsid w:val="00F16A1F"/>
    <w:rsid w:val="00F40284"/>
    <w:rsid w:val="00F62CCE"/>
    <w:rsid w:val="00F67976"/>
    <w:rsid w:val="00F70BE1"/>
    <w:rsid w:val="00F86383"/>
    <w:rsid w:val="00F87EBC"/>
    <w:rsid w:val="00FC0862"/>
    <w:rsid w:val="00FC70FB"/>
    <w:rsid w:val="00FD143D"/>
    <w:rsid w:val="00FE46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4EAEE30-D082-49F8-8107-2395006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17FA4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F396A"/>
    <w:pPr>
      <w:keepNext/>
      <w:keepLines/>
      <w:bidi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17FA4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F396A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  <w:style w:type="paragraph" w:styleId="aff3">
    <w:name w:val="endnote text"/>
    <w:basedOn w:val="a"/>
    <w:link w:val="aff4"/>
    <w:uiPriority w:val="99"/>
    <w:semiHidden/>
    <w:unhideWhenUsed/>
    <w:rsid w:val="007C5D66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7C5D66"/>
    <w:rPr>
      <w:rFonts w:eastAsiaTheme="minorHAnsi" w:cs="2  Badr"/>
    </w:rPr>
  </w:style>
  <w:style w:type="character" w:styleId="aff5">
    <w:name w:val="endnote reference"/>
    <w:basedOn w:val="a2"/>
    <w:uiPriority w:val="99"/>
    <w:semiHidden/>
    <w:unhideWhenUsed/>
    <w:rsid w:val="007C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54F-B10B-484C-85FC-AEC4221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1172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135</cp:revision>
  <dcterms:created xsi:type="dcterms:W3CDTF">2015-07-12T08:54:00Z</dcterms:created>
  <dcterms:modified xsi:type="dcterms:W3CDTF">2015-11-05T10:07:00Z</dcterms:modified>
</cp:coreProperties>
</file>