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7904CF" w:rsidRDefault="00C20BFD" w:rsidP="007904CF">
      <w:pPr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فهرست مطالب:</w:t>
      </w:r>
    </w:p>
    <w:p w:rsidR="005A4048" w:rsidRPr="007904CF" w:rsidRDefault="00C43439" w:rsidP="007904CF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/>
          <w:color w:val="000000"/>
          <w:sz w:val="28"/>
          <w:rtl/>
        </w:rPr>
        <w:fldChar w:fldCharType="begin"/>
      </w:r>
      <w:r w:rsidRPr="007904CF">
        <w:rPr>
          <w:rFonts w:ascii="Traditional Arabic" w:hAnsi="Traditional Arabic" w:cs="Traditional Arabic"/>
          <w:color w:val="000000"/>
          <w:sz w:val="28"/>
          <w:rtl/>
        </w:rPr>
        <w:instrText xml:space="preserve"> </w:instrText>
      </w:r>
      <w:r w:rsidRPr="007904CF">
        <w:rPr>
          <w:rFonts w:ascii="Traditional Arabic" w:hAnsi="Traditional Arabic" w:cs="Traditional Arabic"/>
          <w:color w:val="000000"/>
          <w:sz w:val="28"/>
        </w:rPr>
        <w:instrText>TOC</w:instrText>
      </w:r>
      <w:r w:rsidRPr="007904CF">
        <w:rPr>
          <w:rFonts w:ascii="Traditional Arabic" w:hAnsi="Traditional Arabic" w:cs="Traditional Arabic"/>
          <w:color w:val="000000"/>
          <w:sz w:val="28"/>
          <w:rtl/>
        </w:rPr>
        <w:instrText xml:space="preserve"> \</w:instrText>
      </w:r>
      <w:r w:rsidRPr="007904CF">
        <w:rPr>
          <w:rFonts w:ascii="Traditional Arabic" w:hAnsi="Traditional Arabic" w:cs="Traditional Arabic"/>
          <w:color w:val="000000"/>
          <w:sz w:val="28"/>
        </w:rPr>
        <w:instrText>o "1-6" \u</w:instrText>
      </w:r>
      <w:r w:rsidRPr="007904CF">
        <w:rPr>
          <w:rFonts w:ascii="Traditional Arabic" w:hAnsi="Traditional Arabic" w:cs="Traditional Arabic"/>
          <w:color w:val="000000"/>
          <w:sz w:val="28"/>
          <w:rtl/>
        </w:rPr>
        <w:instrText xml:space="preserve"> </w:instrText>
      </w:r>
      <w:r w:rsidRPr="007904CF">
        <w:rPr>
          <w:rFonts w:ascii="Traditional Arabic" w:hAnsi="Traditional Arabic" w:cs="Traditional Arabic"/>
          <w:color w:val="000000"/>
          <w:sz w:val="28"/>
          <w:rtl/>
        </w:rPr>
        <w:fldChar w:fldCharType="separate"/>
      </w:r>
      <w:r w:rsidR="005A4048"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اشاره</w:t>
      </w:r>
      <w:r w:rsidR="005A4048"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5A4048"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به</w:t>
      </w:r>
      <w:r w:rsidR="005A4048"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5A4048"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موضوع</w:t>
      </w:r>
      <w:r w:rsidR="005A4048"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5A4048"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بحث</w:t>
      </w:r>
      <w:r w:rsidR="005A4048"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="005A4048" w:rsidRPr="007904CF">
        <w:rPr>
          <w:rFonts w:ascii="Traditional Arabic" w:hAnsi="Traditional Arabic" w:cs="Traditional Arabic"/>
          <w:noProof/>
          <w:rtl/>
        </w:rPr>
        <w:tab/>
      </w:r>
      <w:r w:rsidR="005A4048" w:rsidRPr="007904CF">
        <w:rPr>
          <w:rFonts w:ascii="Traditional Arabic" w:hAnsi="Traditional Arabic" w:cs="Traditional Arabic"/>
          <w:noProof/>
          <w:rtl/>
        </w:rPr>
        <w:fldChar w:fldCharType="begin"/>
      </w:r>
      <w:r w:rsidR="005A4048"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="005A4048" w:rsidRPr="007904CF">
        <w:rPr>
          <w:rFonts w:ascii="Traditional Arabic" w:hAnsi="Traditional Arabic" w:cs="Traditional Arabic"/>
          <w:noProof/>
        </w:rPr>
        <w:instrText>PAGEREF</w:instrText>
      </w:r>
      <w:r w:rsidR="005A4048"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="005A4048" w:rsidRPr="007904CF">
        <w:rPr>
          <w:rFonts w:ascii="Traditional Arabic" w:hAnsi="Traditional Arabic" w:cs="Traditional Arabic"/>
          <w:noProof/>
        </w:rPr>
        <w:instrText>Toc440462079 \h</w:instrText>
      </w:r>
      <w:r w:rsidR="005A4048"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="005A4048" w:rsidRPr="007904CF">
        <w:rPr>
          <w:rFonts w:ascii="Traditional Arabic" w:hAnsi="Traditional Arabic" w:cs="Traditional Arabic"/>
          <w:noProof/>
          <w:rtl/>
        </w:rPr>
      </w:r>
      <w:r w:rsidR="005A4048"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="005A4048" w:rsidRPr="007904CF">
        <w:rPr>
          <w:rFonts w:ascii="Traditional Arabic" w:hAnsi="Traditional Arabic" w:cs="Traditional Arabic"/>
          <w:noProof/>
          <w:rtl/>
        </w:rPr>
        <w:t>1</w:t>
      </w:r>
      <w:r w:rsidR="005A4048"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نکته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ششم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: </w:t>
      </w:r>
      <w:r w:rsidR="006A21C7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امرونهی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واجب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راجح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Toc440462080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2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تعارض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صدر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ذ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ادله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Toc440462081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2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راه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حل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تعارض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صدر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ذ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ل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Toc440462082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2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تذکر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: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استعمال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لفظ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در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اکثر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از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معن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Toc440462083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3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8B4376" w:rsidP="007904CF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نتیجه‌گیری</w:t>
      </w:r>
      <w:r w:rsidR="005A4048"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="005A4048" w:rsidRPr="007904CF">
        <w:rPr>
          <w:rFonts w:ascii="Traditional Arabic" w:hAnsi="Traditional Arabic" w:cs="Traditional Arabic"/>
          <w:noProof/>
          <w:rtl/>
        </w:rPr>
        <w:tab/>
      </w:r>
      <w:r w:rsidR="005A4048" w:rsidRPr="007904CF">
        <w:rPr>
          <w:rFonts w:ascii="Traditional Arabic" w:hAnsi="Traditional Arabic" w:cs="Traditional Arabic"/>
          <w:noProof/>
          <w:rtl/>
        </w:rPr>
        <w:fldChar w:fldCharType="begin"/>
      </w:r>
      <w:r w:rsidR="005A4048"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="005A4048" w:rsidRPr="007904CF">
        <w:rPr>
          <w:rFonts w:ascii="Traditional Arabic" w:hAnsi="Traditional Arabic" w:cs="Traditional Arabic"/>
          <w:noProof/>
        </w:rPr>
        <w:instrText>PAGEREF</w:instrText>
      </w:r>
      <w:r w:rsidR="005A4048"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="005A4048" w:rsidRPr="007904CF">
        <w:rPr>
          <w:rFonts w:ascii="Traditional Arabic" w:hAnsi="Traditional Arabic" w:cs="Traditional Arabic"/>
          <w:noProof/>
        </w:rPr>
        <w:instrText>Toc440462084 \h</w:instrText>
      </w:r>
      <w:r w:rsidR="005A4048"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="005A4048" w:rsidRPr="007904CF">
        <w:rPr>
          <w:rFonts w:ascii="Traditional Arabic" w:hAnsi="Traditional Arabic" w:cs="Traditional Arabic"/>
          <w:noProof/>
          <w:rtl/>
        </w:rPr>
      </w:r>
      <w:r w:rsidR="005A4048"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="005A4048" w:rsidRPr="007904CF">
        <w:rPr>
          <w:rFonts w:ascii="Traditional Arabic" w:hAnsi="Traditional Arabic" w:cs="Traditional Arabic"/>
          <w:noProof/>
          <w:rtl/>
        </w:rPr>
        <w:t>4</w:t>
      </w:r>
      <w:r w:rsidR="005A4048"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نکته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هفتم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: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تفاوت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شرا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ط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وظ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فه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همگان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حکومت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Toc440462085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4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احتمالات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Toc440462086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4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احتمال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اول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Toc440462087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4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احتمال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دوم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Toc440462088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4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4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احتمال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سوم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Toc440462089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5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1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شرا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ط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="006A21C7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امربه‌معروف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نه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از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منکر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حکومت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Toc440462090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5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2"/>
        <w:tabs>
          <w:tab w:val="right" w:leader="dot" w:pos="9350"/>
        </w:tabs>
        <w:jc w:val="both"/>
        <w:rPr>
          <w:rFonts w:ascii="Traditional Arabic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شرط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اول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: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علم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آمر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و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ناه</w:t>
      </w:r>
      <w:r w:rsidRPr="007904CF">
        <w:rPr>
          <w:rFonts w:ascii="Traditional Arabic" w:hAnsi="Traditional Arabic" w:cs="Traditional Arabic" w:hint="cs"/>
          <w:b/>
          <w:bCs/>
          <w:noProof/>
          <w:color w:val="000000"/>
          <w:rtl/>
        </w:rPr>
        <w:t>ی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به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حکم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Toc440462091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5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احتمال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اول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Toc440462092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5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5A4048" w:rsidRPr="007904CF" w:rsidRDefault="005A4048" w:rsidP="007904CF">
      <w:pPr>
        <w:pStyle w:val="TOC3"/>
        <w:tabs>
          <w:tab w:val="right" w:leader="dot" w:pos="9350"/>
        </w:tabs>
        <w:jc w:val="both"/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احتمال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 xml:space="preserve"> </w:t>
      </w:r>
      <w:r w:rsidRPr="007904CF">
        <w:rPr>
          <w:rFonts w:ascii="Traditional Arabic" w:hAnsi="Traditional Arabic" w:cs="Traditional Arabic" w:hint="eastAsia"/>
          <w:b/>
          <w:bCs/>
          <w:noProof/>
          <w:color w:val="000000"/>
          <w:rtl/>
        </w:rPr>
        <w:t>دوم</w:t>
      </w:r>
      <w:r w:rsidRPr="007904CF">
        <w:rPr>
          <w:rFonts w:ascii="Traditional Arabic" w:hAnsi="Traditional Arabic" w:cs="Traditional Arabic"/>
          <w:b/>
          <w:bCs/>
          <w:noProof/>
          <w:color w:val="000000"/>
          <w:rtl/>
        </w:rPr>
        <w:t>:</w:t>
      </w:r>
      <w:r w:rsidRPr="007904CF">
        <w:rPr>
          <w:rFonts w:ascii="Traditional Arabic" w:hAnsi="Traditional Arabic" w:cs="Traditional Arabic"/>
          <w:noProof/>
          <w:rtl/>
        </w:rPr>
        <w:tab/>
      </w:r>
      <w:r w:rsidRPr="007904CF">
        <w:rPr>
          <w:rFonts w:ascii="Traditional Arabic" w:hAnsi="Traditional Arabic" w:cs="Traditional Arabic"/>
          <w:noProof/>
          <w:rtl/>
        </w:rPr>
        <w:fldChar w:fldCharType="begin"/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</w:rPr>
        <w:instrText>PAGEREF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904CF">
        <w:rPr>
          <w:rFonts w:ascii="Traditional Arabic" w:hAnsi="Traditional Arabic" w:cs="Traditional Arabic"/>
          <w:noProof/>
        </w:rPr>
        <w:instrText>Toc440462093 \h</w:instrText>
      </w:r>
      <w:r w:rsidRPr="007904CF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904CF">
        <w:rPr>
          <w:rFonts w:ascii="Traditional Arabic" w:hAnsi="Traditional Arabic" w:cs="Traditional Arabic"/>
          <w:noProof/>
          <w:rtl/>
        </w:rPr>
      </w:r>
      <w:r w:rsidRPr="007904CF">
        <w:rPr>
          <w:rFonts w:ascii="Traditional Arabic" w:hAnsi="Traditional Arabic" w:cs="Traditional Arabic"/>
          <w:noProof/>
          <w:rtl/>
        </w:rPr>
        <w:fldChar w:fldCharType="separate"/>
      </w:r>
      <w:r w:rsidRPr="007904CF">
        <w:rPr>
          <w:rFonts w:ascii="Traditional Arabic" w:hAnsi="Traditional Arabic" w:cs="Traditional Arabic"/>
          <w:noProof/>
          <w:rtl/>
        </w:rPr>
        <w:t>5</w:t>
      </w:r>
      <w:r w:rsidRPr="007904CF">
        <w:rPr>
          <w:rFonts w:ascii="Traditional Arabic" w:hAnsi="Traditional Arabic" w:cs="Traditional Arabic"/>
          <w:noProof/>
          <w:rtl/>
        </w:rPr>
        <w:fldChar w:fldCharType="end"/>
      </w:r>
    </w:p>
    <w:p w:rsidR="00AE7B6C" w:rsidRPr="007904CF" w:rsidRDefault="00C43439" w:rsidP="007904CF">
      <w:pPr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eastAsia="Times New Roman" w:hAnsi="Traditional Arabic" w:cs="Traditional Arabic"/>
          <w:color w:val="000000"/>
          <w:sz w:val="28"/>
          <w:rtl/>
        </w:rPr>
        <w:fldChar w:fldCharType="end"/>
      </w:r>
    </w:p>
    <w:p w:rsidR="00C20BFD" w:rsidRPr="007904CF" w:rsidRDefault="007904CF" w:rsidP="007904CF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0" w:name="_Toc418082591"/>
      <w:bookmarkStart w:id="1" w:name="_Toc440462079"/>
      <w:r w:rsidRPr="007904CF">
        <w:rPr>
          <w:rFonts w:ascii="Traditional Arabic" w:hAnsi="Traditional Arabic" w:cs="Traditional Arabic"/>
          <w:b/>
          <w:bCs/>
          <w:color w:val="000000"/>
          <w:sz w:val="28"/>
          <w:rtl/>
        </w:rPr>
        <w:br w:type="page"/>
      </w:r>
      <w:r w:rsidR="00C20BFD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lastRenderedPageBreak/>
        <w:t xml:space="preserve">اشاره به </w:t>
      </w:r>
      <w:r w:rsidR="00C074C2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موضوع بحث</w:t>
      </w:r>
      <w:r w:rsidR="00C20BFD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:</w:t>
      </w:r>
      <w:bookmarkEnd w:id="0"/>
      <w:bookmarkEnd w:id="1"/>
    </w:p>
    <w:p w:rsidR="00D4416C" w:rsidRPr="007904CF" w:rsidRDefault="00D4416C" w:rsidP="007904CF">
      <w:pPr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سخن در دومین قاعده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5E2C80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به‌عنوان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وظیفه حاکمیت و دولت بود. پس از اشاره به ادله و مرور برخی ادله که با همین عنوان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امرونهی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یا </w:t>
      </w:r>
      <w:r w:rsidR="002308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با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عناوین عام </w:t>
      </w:r>
      <w:r w:rsidR="002308C2" w:rsidRPr="007904CF">
        <w:rPr>
          <w:rFonts w:ascii="Traditional Arabic" w:hAnsi="Traditional Arabic" w:cs="Traditional Arabic" w:hint="cs"/>
          <w:color w:val="000000"/>
          <w:sz w:val="28"/>
          <w:rtl/>
        </w:rPr>
        <w:t>وارد شده بود</w:t>
      </w:r>
      <w:r w:rsidR="006A21C7">
        <w:rPr>
          <w:rFonts w:ascii="Traditional Arabic" w:hAnsi="Traditional Arabic" w:cs="Traditional Arabic"/>
          <w:color w:val="000000"/>
          <w:sz w:val="28"/>
          <w:rtl/>
        </w:rPr>
        <w:t xml:space="preserve"> </w:t>
      </w:r>
      <w:r w:rsidR="002308C2" w:rsidRPr="007904CF">
        <w:rPr>
          <w:rFonts w:ascii="Traditional Arabic" w:hAnsi="Traditional Arabic" w:cs="Traditional Arabic" w:hint="cs"/>
          <w:color w:val="000000"/>
          <w:sz w:val="28"/>
          <w:rtl/>
        </w:rPr>
        <w:t>که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وظیفه‌مندی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حکومت را اثبات می‌کرد، به فروع و تزییلات اشاره شد. پنج نکته را بررسی کردیم.</w:t>
      </w:r>
    </w:p>
    <w:p w:rsidR="00D4416C" w:rsidRPr="007904CF" w:rsidRDefault="00D4416C" w:rsidP="007904CF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2" w:name="_Toc440462080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نکته ششم:</w:t>
      </w:r>
      <w:r w:rsidR="00A01CEE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</w:t>
      </w:r>
      <w:r w:rsidR="006A21C7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امرونهی</w:t>
      </w:r>
      <w:r w:rsidR="00A01CEE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واجب و راجح</w:t>
      </w:r>
      <w:bookmarkEnd w:id="2"/>
    </w:p>
    <w:p w:rsidR="00A33FA9" w:rsidRPr="007904CF" w:rsidRDefault="00D4416C" w:rsidP="008B4376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این وظیفه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یا قاعده هدایت و ارشاد به حیث وظیفه حکومت مانند آن قانون عام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گاهی واجب است و گاهی مستحب.</w:t>
      </w:r>
      <w:r w:rsidR="00D3328B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در محدوده تکالیف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واجب</w:t>
      </w:r>
      <w:r w:rsidR="00D3328B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حرام،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امرونهی</w:t>
      </w:r>
      <w:r w:rsidR="00D3328B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حکومتی یا اق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داماتی از قبیل واجبات، واجب است اما در محدوده فضایل و رذایل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به نظر می‌آید که ادله توان اثبات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ح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ک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>م رجحانی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 xml:space="preserve"> و استحبابی را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دارد.</w:t>
      </w:r>
    </w:p>
    <w:p w:rsidR="00A01CEE" w:rsidRPr="007904CF" w:rsidRDefault="00A01CEE" w:rsidP="007904CF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3" w:name="_Toc440462081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تعارض صدر و ذیل ادله</w:t>
      </w:r>
      <w:bookmarkEnd w:id="3"/>
    </w:p>
    <w:p w:rsidR="00CA11AF" w:rsidRPr="007904CF" w:rsidRDefault="00CA11AF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آیات و رو</w:t>
      </w:r>
      <w:r w:rsidR="002308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ایات اطلاق دارد که اختصاص به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واجبات و محرمات ندارد </w:t>
      </w:r>
      <w:r w:rsidR="002308C2" w:rsidRPr="007904CF">
        <w:rPr>
          <w:rFonts w:ascii="Traditional Arabic" w:hAnsi="Traditional Arabic" w:cs="Traditional Arabic" w:hint="cs"/>
          <w:color w:val="000000"/>
          <w:sz w:val="28"/>
          <w:rtl/>
        </w:rPr>
        <w:t>بل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که </w:t>
      </w:r>
      <w:r w:rsidR="002308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شامل امور مستحب و مکروه نیز می‌شود.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حاکم بر اساس «</w:t>
      </w:r>
      <w:r w:rsidRPr="008B4376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استصلاح اهلها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» باید به اصلاح سازی </w:t>
      </w:r>
      <w:r w:rsidR="002308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جامعه بپردازد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 xml:space="preserve">که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شامل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پیاده‌سازی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امور</w:t>
      </w:r>
      <w:r w:rsidR="002308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رجحانی و ندبی و استحبابی هم می‌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شود.</w:t>
      </w:r>
    </w:p>
    <w:p w:rsidR="005C3982" w:rsidRPr="007904CF" w:rsidRDefault="002308C2" w:rsidP="007904CF">
      <w:pPr>
        <w:tabs>
          <w:tab w:val="left" w:pos="5466"/>
        </w:tabs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البته نکته‌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های فنی هم است که بعضی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موارد 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را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قبلاً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عرض کردیم. ادله مستقل هم می‌توان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رائه کرد. همچنین ادله عام را می‌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توان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به‌گونه‌ای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تفسیر کرد که هم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‌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زمان دو حکم الزامی و غیر الزامی از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آن به دست آید. به این معنی که 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یک بیان باشد مانند </w:t>
      </w:r>
      <w:r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تَعاوَنُوا</w:t>
      </w:r>
      <w:r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عَلَى</w:t>
      </w:r>
      <w:r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الْبِرِّ</w:t>
      </w:r>
      <w:r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التَّقْوى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‏ (مائده/2) 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>منتهی بر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ّ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تقوی دو نوع است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:</w:t>
      </w:r>
      <w:r w:rsidR="00B601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الزامی و غیر الزامی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. امر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به تعاون 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>در بعث به کار رفته است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CA11AF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B601CD" w:rsidRPr="007904CF">
        <w:rPr>
          <w:rFonts w:ascii="Traditional Arabic" w:hAnsi="Traditional Arabic" w:cs="Traditional Arabic" w:hint="cs"/>
          <w:color w:val="000000"/>
          <w:sz w:val="28"/>
          <w:rtl/>
        </w:rPr>
        <w:t>استفاده</w:t>
      </w:r>
      <w:r w:rsidR="006A21C7">
        <w:rPr>
          <w:rFonts w:ascii="Traditional Arabic" w:hAnsi="Traditional Arabic" w:cs="Traditional Arabic"/>
          <w:color w:val="000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از آن</w:t>
      </w:r>
      <w:r w:rsidR="00B601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در وجوب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می‌کنیم</w:t>
      </w:r>
      <w:r w:rsidR="00B601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هر جا</w:t>
      </w:r>
      <w:r w:rsidR="00B601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وج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وب تمام نباشد استفاده رجحانی می‌</w:t>
      </w:r>
      <w:r w:rsidR="00B601CD" w:rsidRPr="007904CF">
        <w:rPr>
          <w:rFonts w:ascii="Traditional Arabic" w:hAnsi="Traditional Arabic" w:cs="Traditional Arabic" w:hint="cs"/>
          <w:color w:val="000000"/>
          <w:sz w:val="28"/>
          <w:rtl/>
        </w:rPr>
        <w:t>کنیم.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هکذا تعبیر «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اطْلُبُوا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الْعِلْمَ‏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مِنَ‏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الْمَهْدِ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إِلَى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اللَّحْد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="005C3982" w:rsidRPr="007904CF">
        <w:rPr>
          <w:rFonts w:ascii="Traditional Arabic" w:hAnsi="Traditional Arabic" w:cs="Traditional Arabic" w:hint="cs"/>
          <w:color w:val="000000"/>
          <w:sz w:val="28"/>
          <w:rtl/>
        </w:rPr>
        <w:t>؛</w:t>
      </w:r>
      <w:r w:rsidR="005C3982" w:rsidRPr="007904CF">
        <w:rPr>
          <w:rStyle w:val="FootnoteReference"/>
          <w:rFonts w:ascii="Traditional Arabic" w:hAnsi="Traditional Arabic" w:cs="Traditional Arabic"/>
          <w:color w:val="000000"/>
          <w:sz w:val="28"/>
          <w:rtl/>
        </w:rPr>
        <w:footnoteReference w:id="1"/>
      </w:r>
      <w:r w:rsidR="005C398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لْتَكُنْ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مِنْكُمْ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أُمَّةٌ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يَدْعُونَ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إِلَى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الْخَيْرِ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يَأْمُرُونَ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بِالْمَعْرُوفِ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يَنْهَوْنَ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عَنِ</w:t>
      </w:r>
      <w:r w:rsidR="005C3982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5C3982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الْمُنْكَرِ</w:t>
      </w:r>
      <w:r w:rsidR="00621803" w:rsidRPr="007904CF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="005C3982" w:rsidRPr="007904CF">
        <w:rPr>
          <w:rFonts w:ascii="Traditional Arabic" w:hAnsi="Traditional Arabic" w:cs="Traditional Arabic"/>
          <w:color w:val="000000"/>
          <w:sz w:val="28"/>
          <w:rtl/>
        </w:rPr>
        <w:t>(</w:t>
      </w:r>
      <w:r w:rsidR="005C3982" w:rsidRPr="007904CF">
        <w:rPr>
          <w:rFonts w:ascii="Traditional Arabic" w:hAnsi="Traditional Arabic" w:cs="Traditional Arabic" w:hint="cs"/>
          <w:color w:val="000000"/>
          <w:sz w:val="28"/>
          <w:rtl/>
        </w:rPr>
        <w:t>آل عمران/</w:t>
      </w:r>
      <w:r w:rsidR="005C3982" w:rsidRPr="007904CF">
        <w:rPr>
          <w:rFonts w:ascii="Traditional Arabic" w:hAnsi="Traditional Arabic" w:cs="Traditional Arabic"/>
          <w:color w:val="000000"/>
          <w:sz w:val="28"/>
          <w:rtl/>
        </w:rPr>
        <w:t>104)</w:t>
      </w:r>
    </w:p>
    <w:p w:rsidR="00B601CD" w:rsidRPr="007904CF" w:rsidRDefault="00BB44A5" w:rsidP="00E25945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تعارض </w:t>
      </w:r>
      <w:r w:rsidR="0062180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ابتدایی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این است </w:t>
      </w:r>
      <w:r w:rsidR="00621803" w:rsidRPr="007904CF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="00621803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621803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621803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لْتَكُنْ</w:t>
      </w:r>
      <w:r w:rsidR="00621803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621803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مِنْكُمْ</w:t>
      </w:r>
      <w:r w:rsidR="00621803" w:rsidRPr="007904CF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621803" w:rsidRPr="007904CF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أُمَّةٌ</w:t>
      </w:r>
      <w:r w:rsidR="00621803" w:rsidRPr="007904CF">
        <w:rPr>
          <w:rFonts w:ascii="Traditional Arabic" w:hAnsi="Traditional Arabic" w:cs="Traditional Arabic" w:hint="cs"/>
          <w:color w:val="000000"/>
          <w:sz w:val="28"/>
          <w:rtl/>
        </w:rPr>
        <w:t>» دال بر و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ج</w:t>
      </w:r>
      <w:r w:rsidR="00621803" w:rsidRPr="007904CF">
        <w:rPr>
          <w:rFonts w:ascii="Traditional Arabic" w:hAnsi="Traditional Arabic" w:cs="Traditional Arabic" w:hint="cs"/>
          <w:color w:val="000000"/>
          <w:sz w:val="28"/>
          <w:rtl/>
        </w:rPr>
        <w:t>و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ب است </w:t>
      </w:r>
      <w:r w:rsidR="0062180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اما تعبیرات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خیر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معروف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منکر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» و... مطلق‌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اند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شامل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امور مستحب هم می‌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شود.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دو راه حل وجود دارد: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یا باِید از وجوب صدر آیه دست برداریم یا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اینکه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مراد از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«خیر» و «معروف» و «منکر»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مفاهیم الزامی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آن‌ها باشد. جمع مم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کن نیست</w:t>
      </w:r>
      <w:r w:rsidR="00E25945">
        <w:rPr>
          <w:rFonts w:ascii="Traditional Arabic" w:hAnsi="Traditional Arabic" w:cs="Traditional Arabic" w:hint="cs"/>
          <w:color w:val="000000"/>
          <w:sz w:val="28"/>
          <w:rtl/>
        </w:rPr>
        <w:t>.</w:t>
      </w:r>
    </w:p>
    <w:p w:rsidR="0073036B" w:rsidRPr="007904CF" w:rsidRDefault="0073036B" w:rsidP="007904CF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4" w:name="_Toc440462082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راه حل تعارض صدر و ذیل</w:t>
      </w:r>
      <w:bookmarkEnd w:id="4"/>
    </w:p>
    <w:p w:rsidR="0073036B" w:rsidRPr="007904CF" w:rsidRDefault="00BB44A5" w:rsidP="00694A9C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lastRenderedPageBreak/>
        <w:t xml:space="preserve">گاهی گفته شده و ما هم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قبلاً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حدود ده سال قبل بر این باور بودیم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که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باید تابع قرائن 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بود؛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ولی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بعداً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با تفحص و دقت بیشتر </w:t>
      </w:r>
      <w:r w:rsidR="00694A9C" w:rsidRPr="007904CF">
        <w:rPr>
          <w:rFonts w:ascii="Traditional Arabic" w:hAnsi="Traditional Arabic" w:cs="Traditional Arabic" w:hint="cs"/>
          <w:color w:val="000000"/>
          <w:sz w:val="28"/>
          <w:rtl/>
        </w:rPr>
        <w:t>به این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>رسیدیم که لازم نیست یکی را از اطلاق بیندازیم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؛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نه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از ظهور وجوب صدر آیه دست برداریم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و نه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اطلاق خیر و معروف 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را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73036B" w:rsidRPr="007904CF">
        <w:rPr>
          <w:rFonts w:ascii="Traditional Arabic" w:hAnsi="Traditional Arabic" w:cs="Traditional Arabic" w:hint="cs"/>
          <w:color w:val="000000"/>
          <w:sz w:val="28"/>
          <w:rtl/>
        </w:rPr>
        <w:t>کنار بزنیم بلکه هر دو به اطلاق خود محفوظ باشد.</w:t>
      </w:r>
    </w:p>
    <w:p w:rsidR="002D32DD" w:rsidRPr="007904CF" w:rsidRDefault="006F277E" w:rsidP="00694A9C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امر 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>ظهور در وجوب دارد و این ظهور بر اساس اطلاق است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.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الزام آن از حکم عقل به دست می‌آید. با ادله خارجی و بر اساس اطلاق ذیل آیه، گوشه‌ای از وجوب را می‌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زنیم. 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معنایش این می‌شود که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امرونهی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694A9C" w:rsidRPr="007904CF">
        <w:rPr>
          <w:rFonts w:ascii="Traditional Arabic" w:hAnsi="Traditional Arabic" w:cs="Traditional Arabic" w:hint="cs"/>
          <w:color w:val="000000"/>
          <w:sz w:val="28"/>
          <w:rtl/>
        </w:rPr>
        <w:t>در معروف و منکر الزامی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694A9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>وا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ج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ب است 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اما در غیر الزامیات وا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>جب نیست بلکه راجح است.</w:t>
      </w:r>
    </w:p>
    <w:p w:rsidR="00660287" w:rsidRPr="007904CF" w:rsidRDefault="002D32DD" w:rsidP="007904CF">
      <w:pPr>
        <w:tabs>
          <w:tab w:val="left" w:pos="5466"/>
        </w:tabs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اظهر این است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که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اطلاق دلالت بر وجوب را ح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فظ کنیم اما در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همه جا این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اولی است ک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ه خیر و معروف شامل مستحبات شود.</w:t>
      </w:r>
    </w:p>
    <w:p w:rsidR="002D32DD" w:rsidRPr="007904CF" w:rsidRDefault="008B4376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rtl/>
        </w:rPr>
        <w:t>درباره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وجوب سه نظریه است:</w:t>
      </w:r>
    </w:p>
    <w:p w:rsidR="002D32DD" w:rsidRPr="007904CF" w:rsidRDefault="00660287" w:rsidP="007904CF">
      <w:pPr>
        <w:tabs>
          <w:tab w:val="left" w:pos="5466"/>
        </w:tabs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1. دلالت امر بر وجوب از لفظ فهمیده می‌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>شود.</w:t>
      </w:r>
    </w:p>
    <w:p w:rsidR="002D32DD" w:rsidRPr="007904CF" w:rsidRDefault="00660287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2. دلالت امر بر وجوب از حکم عقل فهمیده می‌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>شود.</w:t>
      </w:r>
    </w:p>
    <w:p w:rsidR="002D32DD" w:rsidRPr="007904CF" w:rsidRDefault="00660287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3. دلالت امر بر وجوب از اطلاق استفاده می‌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شود. ما این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قول سوم را ترجیح می‌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>دهیم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وجوب از ا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طلاق استفاده می‌</w:t>
      </w:r>
      <w:r w:rsidR="002D32DD" w:rsidRPr="007904CF">
        <w:rPr>
          <w:rFonts w:ascii="Traditional Arabic" w:hAnsi="Traditional Arabic" w:cs="Traditional Arabic" w:hint="cs"/>
          <w:color w:val="000000"/>
          <w:sz w:val="28"/>
          <w:rtl/>
        </w:rPr>
        <w:t>شود.</w:t>
      </w:r>
    </w:p>
    <w:p w:rsidR="002D32DD" w:rsidRPr="007904CF" w:rsidRDefault="008B4376" w:rsidP="00694A9C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rtl/>
        </w:rPr>
        <w:t>بنابراین</w:t>
      </w:r>
      <w:r w:rsidR="00660287" w:rsidRPr="007904CF">
        <w:rPr>
          <w:rFonts w:ascii="Traditional Arabic" w:hAnsi="Traditional Arabic" w:cs="Traditional Arabic" w:hint="cs"/>
          <w:b/>
          <w:bCs/>
          <w:color w:val="000000"/>
          <w:sz w:val="28"/>
          <w:rtl/>
        </w:rPr>
        <w:t xml:space="preserve"> 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اطلاق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Pr="008B4376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ولتکن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» 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را می‌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ساییم و 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اما «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>خیر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>معروف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»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به اطلاقش باقی است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؛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پس امتثال 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امر 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صدر آیه‌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«</w:t>
      </w:r>
      <w:r w:rsidR="00660287" w:rsidRPr="008B4376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</w:t>
      </w:r>
      <w:r w:rsidR="00CA0893" w:rsidRPr="008B4376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لتکن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» 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>در جایی وا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>ج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ب است </w:t>
      </w:r>
      <w:r w:rsidR="0066028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که متعلق آن معروف و منکر الزامی باشد 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 در جای دیگر مستحب است. 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اطلاق امر بر اساس دلیل خارجی محدود می‌شود؛ دلیل خارجی دلیل لبی است و بخشی از دایره مفهومی </w:t>
      </w:r>
      <w:r w:rsidR="00694A9C" w:rsidRPr="007904CF">
        <w:rPr>
          <w:rFonts w:ascii="Traditional Arabic" w:hAnsi="Traditional Arabic" w:cs="Traditional Arabic" w:hint="cs"/>
          <w:color w:val="000000"/>
          <w:sz w:val="28"/>
          <w:rtl/>
        </w:rPr>
        <w:t>«</w:t>
      </w:r>
      <w:r w:rsidR="00694A9C" w:rsidRPr="008B4376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ولتکن</w:t>
      </w:r>
      <w:r w:rsidR="00694A9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» 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را محدود </w:t>
      </w:r>
      <w:r>
        <w:rPr>
          <w:rFonts w:ascii="Traditional Arabic" w:hAnsi="Traditional Arabic" w:cs="Traditional Arabic" w:hint="cs"/>
          <w:color w:val="000000"/>
          <w:sz w:val="28"/>
          <w:rtl/>
        </w:rPr>
        <w:t>می‌نماید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>. این حرف در منطق اصولی قابل دفاع است.</w:t>
      </w:r>
    </w:p>
    <w:p w:rsidR="00660287" w:rsidRPr="007904CF" w:rsidRDefault="00660287" w:rsidP="007904CF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5" w:name="_Toc440462083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تذکر:</w:t>
      </w:r>
      <w:r w:rsidR="004E7D14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استعمال لفظ در اکثر از معنی</w:t>
      </w:r>
      <w:bookmarkEnd w:id="5"/>
    </w:p>
    <w:p w:rsidR="00CA0893" w:rsidRPr="007904CF" w:rsidRDefault="00660287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دیگر اینکه 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ما استعمال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لفظ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در اکثر از معنی را قبول داریم و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آن را 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جایز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می‌دانیم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>.</w:t>
      </w:r>
    </w:p>
    <w:p w:rsidR="004E7D14" w:rsidRPr="007904CF" w:rsidRDefault="004E7D14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تذکر: </w:t>
      </w:r>
      <w:r w:rsidR="00D95FE9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وجود ادله رجحان </w:t>
      </w:r>
      <w:r w:rsidR="006A21C7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امرونهی</w:t>
      </w:r>
      <w:r w:rsidR="00D95FE9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در مستحبات</w:t>
      </w:r>
    </w:p>
    <w:p w:rsidR="00CA0893" w:rsidRPr="007904CF" w:rsidRDefault="00CA0893" w:rsidP="007904CF">
      <w:pPr>
        <w:tabs>
          <w:tab w:val="left" w:pos="5466"/>
        </w:tabs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اگر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قائل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به این 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امر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نشدیم 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 استعمال لفظ در اکثر از معنی را هم جایز ندانیم،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ادله فراوان دیگر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داریم که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امرونهی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را در الزامیات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ل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>از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 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می‌دانند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 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در غیر الزامیات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را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ر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>ا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جح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می‌دانند و این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به‌خوبی</w:t>
      </w:r>
      <w:r w:rsidR="00D95FE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قابل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بهره‌برداری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است.</w:t>
      </w:r>
    </w:p>
    <w:p w:rsidR="00195F4C" w:rsidRPr="007904CF" w:rsidRDefault="008B4376" w:rsidP="007904CF">
      <w:pPr>
        <w:tabs>
          <w:tab w:val="left" w:pos="5466"/>
        </w:tabs>
        <w:spacing w:before="240"/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6" w:name="_Toc440462084"/>
      <w:r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نتیجه‌گیری</w:t>
      </w:r>
      <w:r w:rsidR="00195F4C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:</w:t>
      </w:r>
      <w:bookmarkEnd w:id="6"/>
    </w:p>
    <w:p w:rsidR="00CA0893" w:rsidRPr="007904CF" w:rsidRDefault="00195F4C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پس در باب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حکو</w:t>
      </w:r>
      <w:r w:rsidR="00CA0893" w:rsidRPr="007904CF">
        <w:rPr>
          <w:rFonts w:ascii="Traditional Arabic" w:hAnsi="Traditional Arabic" w:cs="Traditional Arabic" w:hint="cs"/>
          <w:color w:val="000000"/>
          <w:sz w:val="28"/>
          <w:rtl/>
        </w:rPr>
        <w:t>مت دو وظیفه دارد:</w:t>
      </w:r>
    </w:p>
    <w:p w:rsidR="00CA0893" w:rsidRPr="007904CF" w:rsidRDefault="00CA0893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1. وظیفه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امرونهی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الزامی در حوزه الزامیات شرعی</w:t>
      </w:r>
    </w:p>
    <w:p w:rsidR="00CA0893" w:rsidRPr="007904CF" w:rsidRDefault="00CA0893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2. وظیفه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امرونهی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رجحانی در حوزه غیر الزامیات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شرعی</w:t>
      </w:r>
    </w:p>
    <w:p w:rsidR="00A01CEE" w:rsidRPr="007904CF" w:rsidRDefault="00CA0893" w:rsidP="007904CF">
      <w:pPr>
        <w:tabs>
          <w:tab w:val="left" w:pos="5466"/>
        </w:tabs>
        <w:spacing w:before="240"/>
        <w:jc w:val="both"/>
        <w:outlineLvl w:val="1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7" w:name="_Toc440462085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lastRenderedPageBreak/>
        <w:t xml:space="preserve">نکته </w:t>
      </w:r>
      <w:r w:rsidR="00A01CEE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هفتم: تفاوت شرایط وظیفه همگانی و حکومت</w:t>
      </w:r>
      <w:bookmarkEnd w:id="7"/>
    </w:p>
    <w:p w:rsidR="00CA0893" w:rsidRPr="007904CF" w:rsidRDefault="003671C2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شرایط تکلیف حاکم</w:t>
      </w:r>
    </w:p>
    <w:p w:rsidR="004B521B" w:rsidRPr="007904CF" w:rsidRDefault="00195F4C" w:rsidP="001E03D2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آیا وظیفه‌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مندی حکومت اطلاق دارد یا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دارای 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شرایط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است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؟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قطعاً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مطلق نیست. </w:t>
      </w:r>
      <w:r w:rsidR="001E03D2" w:rsidRPr="007904CF">
        <w:rPr>
          <w:rFonts w:ascii="Traditional Arabic" w:hAnsi="Traditional Arabic" w:cs="Traditional Arabic" w:hint="cs"/>
          <w:color w:val="000000"/>
          <w:sz w:val="28"/>
          <w:rtl/>
        </w:rPr>
        <w:t>آیا</w:t>
      </w:r>
      <w:r w:rsidR="001E03D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>شر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ایط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همگانی در وظیفه‌مندی حکومت نیز جریان دارد یا خیر؟ با اینکه 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وظایف فرهنگی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 تربیتی حاکمیت 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>تکلیف عینی است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در مقابل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امرونهی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عمومی که واجب کفایی بود، 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آیا همان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ش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رایط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عام است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یا متفاوت است؟ در چ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ند مرحله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شرایط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</w:t>
      </w:r>
      <w:r w:rsidR="003671C2" w:rsidRPr="007904CF">
        <w:rPr>
          <w:rFonts w:ascii="Traditional Arabic" w:hAnsi="Traditional Arabic" w:cs="Traditional Arabic" w:hint="cs"/>
          <w:color w:val="000000"/>
          <w:sz w:val="28"/>
          <w:rtl/>
        </w:rPr>
        <w:t>بحث و بررسی</w:t>
      </w:r>
      <w:r w:rsidR="004B521B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شد و قریب 20 شرط بیان شد.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سؤال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این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است که 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>آیا آن شرایط اینجا هم هست؟ با اینکه آنجا واجب کفایی بود، اینجا واجب عینی است.</w:t>
      </w:r>
    </w:p>
    <w:p w:rsidR="00195F4C" w:rsidRPr="007904CF" w:rsidRDefault="00195F4C" w:rsidP="007904CF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8" w:name="_Toc440462086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احتمالات</w:t>
      </w:r>
      <w:bookmarkEnd w:id="8"/>
    </w:p>
    <w:p w:rsidR="003A7688" w:rsidRPr="001E03D2" w:rsidRDefault="003A7688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1E03D2">
        <w:rPr>
          <w:rFonts w:ascii="Traditional Arabic" w:hAnsi="Traditional Arabic" w:cs="Traditional Arabic" w:hint="cs"/>
          <w:color w:val="000000"/>
          <w:sz w:val="28"/>
          <w:rtl/>
        </w:rPr>
        <w:t>ممک</w:t>
      </w:r>
      <w:r w:rsidR="00195F4C" w:rsidRPr="001E03D2">
        <w:rPr>
          <w:rFonts w:ascii="Traditional Arabic" w:hAnsi="Traditional Arabic" w:cs="Traditional Arabic" w:hint="cs"/>
          <w:color w:val="000000"/>
          <w:sz w:val="28"/>
          <w:rtl/>
        </w:rPr>
        <w:t>ن است از منظر کلی سه احتمال داشته باشد</w:t>
      </w:r>
      <w:r w:rsidRPr="001E03D2">
        <w:rPr>
          <w:rFonts w:ascii="Traditional Arabic" w:hAnsi="Traditional Arabic" w:cs="Traditional Arabic" w:hint="cs"/>
          <w:color w:val="000000"/>
          <w:sz w:val="28"/>
          <w:rtl/>
        </w:rPr>
        <w:t>:</w:t>
      </w:r>
    </w:p>
    <w:p w:rsidR="00195F4C" w:rsidRPr="007904CF" w:rsidRDefault="00195F4C" w:rsidP="007904CF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9" w:name="_Toc440462087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احتمال اول:</w:t>
      </w:r>
      <w:bookmarkEnd w:id="9"/>
    </w:p>
    <w:p w:rsidR="003A7688" w:rsidRPr="007904CF" w:rsidRDefault="003A7688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کسی </w:t>
      </w:r>
      <w:r w:rsidR="008B4376">
        <w:rPr>
          <w:rFonts w:ascii="Traditional Arabic" w:hAnsi="Traditional Arabic" w:cs="Traditional Arabic" w:hint="cs"/>
          <w:color w:val="000000"/>
          <w:sz w:val="28"/>
          <w:rtl/>
        </w:rPr>
        <w:t>به‌طورکلی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ب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>گوید آنچه آنجا بود، اینجا هم می‌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گوییم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؛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همه آن شرایط در اینجا سرایت 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>می‌کن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د. شرایطی از قبیل قدرت، علم به حکم، عدم ضرر، اصرار بر امر خلاف و ... به دلیل اینکه:</w:t>
      </w:r>
    </w:p>
    <w:p w:rsidR="003A7688" w:rsidRPr="007904CF" w:rsidRDefault="008B4376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>
        <w:rPr>
          <w:rFonts w:ascii="Traditional Arabic" w:hAnsi="Traditional Arabic" w:cs="Traditional Arabic"/>
          <w:color w:val="000000"/>
          <w:sz w:val="28"/>
          <w:rtl/>
        </w:rPr>
        <w:t>اولاً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: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ادله لفظی عا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 بود و اختصاص به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عمومی 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 همگانی 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>نداشت.</w:t>
      </w:r>
    </w:p>
    <w:p w:rsidR="003A7688" w:rsidRPr="007904CF" w:rsidRDefault="008B4376" w:rsidP="00694A9C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rtl/>
        </w:rPr>
        <w:t>ثانیاً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: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به دلیل 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>تنقیح مناط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مناط 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 ملاک 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>هر دو یکی است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پس آن شرایط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195F4C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</w:t>
      </w:r>
      <w:r w:rsidR="003A7688" w:rsidRPr="007904CF">
        <w:rPr>
          <w:rFonts w:ascii="Traditional Arabic" w:hAnsi="Traditional Arabic" w:cs="Traditional Arabic" w:hint="cs"/>
          <w:color w:val="000000"/>
          <w:sz w:val="28"/>
          <w:rtl/>
        </w:rPr>
        <w:t>در اینجا هم جاری است.</w:t>
      </w:r>
    </w:p>
    <w:p w:rsidR="00195F4C" w:rsidRPr="007904CF" w:rsidRDefault="00195F4C" w:rsidP="007904CF">
      <w:pPr>
        <w:tabs>
          <w:tab w:val="left" w:pos="5466"/>
        </w:tabs>
        <w:jc w:val="both"/>
        <w:outlineLvl w:val="3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10" w:name="_Toc440462088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احتمال دوم:</w:t>
      </w:r>
      <w:bookmarkEnd w:id="10"/>
    </w:p>
    <w:p w:rsidR="003A7688" w:rsidRPr="007904CF" w:rsidRDefault="003A7688" w:rsidP="001E03D2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احتمال دوم این است که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6A281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همگانی و حکومتی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6A281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دو باب </w:t>
      </w:r>
      <w:r w:rsidR="006A2813" w:rsidRPr="007904CF">
        <w:rPr>
          <w:rFonts w:ascii="Traditional Arabic" w:hAnsi="Traditional Arabic" w:cs="Traditional Arabic" w:hint="cs"/>
          <w:color w:val="000000"/>
          <w:sz w:val="28"/>
          <w:rtl/>
        </w:rPr>
        <w:t>جداگانه است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.</w:t>
      </w:r>
      <w:r w:rsidR="006A281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نباید </w:t>
      </w:r>
      <w:r w:rsidR="006A281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یکی را با دیگری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قیاس کرد. تنقیح مناط </w:t>
      </w:r>
      <w:r w:rsidR="006A2813" w:rsidRPr="007904CF">
        <w:rPr>
          <w:rFonts w:ascii="Traditional Arabic" w:hAnsi="Traditional Arabic" w:cs="Traditional Arabic" w:hint="cs"/>
          <w:color w:val="000000"/>
          <w:sz w:val="28"/>
          <w:rtl/>
        </w:rPr>
        <w:t>هم نمی‌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ش</w:t>
      </w:r>
      <w:r w:rsidR="006A281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ود. وظیفه حکومت و حاکم اسلامی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که واجب عینی است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با وظیفه عموم مردم متفاوت است.</w:t>
      </w:r>
      <w:r w:rsidR="006A281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ادله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عمومی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شامل وظیفه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خاص حاکم 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نمی‌شود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>. این احتمال خیلی ضعیف است.</w:t>
      </w:r>
    </w:p>
    <w:p w:rsidR="00CA0DE7" w:rsidRPr="007904CF" w:rsidRDefault="00CA0DE7" w:rsidP="007904CF">
      <w:pPr>
        <w:tabs>
          <w:tab w:val="left" w:pos="5466"/>
        </w:tabs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1" w:name="_Toc440462089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احتمال سوم:</w:t>
      </w:r>
      <w:bookmarkEnd w:id="11"/>
    </w:p>
    <w:p w:rsidR="00CA0DE7" w:rsidRPr="007904CF" w:rsidRDefault="00534DE3" w:rsidP="001E03D2">
      <w:pPr>
        <w:tabs>
          <w:tab w:val="left" w:pos="5466"/>
        </w:tabs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حق در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مسئله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احتمال سوم است. اینکه ما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>تنقیح مناط به غیر قاعده عام نمی‌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توانیم. ادله لفظی هم عام و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شامل نیست بلکه باید مورد به مورد ادله را بررسی کرد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؛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به شکل مصداقی باید بررسی کرد. 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علی‌الاصول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کلی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آن ادله تسری داده نمی‌شود. این منطق درست‌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تر است. 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>پس قاعده کلی به سرایت شر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ایط و عدم آن نداریم. باید ادله گذشته و ادله دیگری 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که داریم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را بررسی کنیم.</w:t>
      </w:r>
    </w:p>
    <w:p w:rsidR="00534DE3" w:rsidRPr="007904CF" w:rsidRDefault="00534DE3" w:rsidP="007904CF">
      <w:pPr>
        <w:tabs>
          <w:tab w:val="left" w:pos="5466"/>
        </w:tabs>
        <w:jc w:val="both"/>
        <w:rPr>
          <w:rFonts w:ascii="Traditional Arabic" w:hAnsi="Traditional Arabic" w:cs="Traditional Arabic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بعد از این م</w:t>
      </w:r>
      <w:r w:rsidR="00CA0DE7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قدمه ناچاریم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اهم شرایط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 xml:space="preserve"> را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مرور کنیم.</w:t>
      </w:r>
    </w:p>
    <w:p w:rsidR="00CA0DE7" w:rsidRPr="007904CF" w:rsidRDefault="00CA0DE7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</w:p>
    <w:p w:rsidR="00534DE3" w:rsidRPr="007904CF" w:rsidRDefault="00534DE3" w:rsidP="007904CF">
      <w:pPr>
        <w:tabs>
          <w:tab w:val="left" w:pos="5466"/>
        </w:tabs>
        <w:jc w:val="both"/>
        <w:outlineLvl w:val="0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12" w:name="_Toc440462090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lastRenderedPageBreak/>
        <w:t xml:space="preserve">شرایط </w:t>
      </w:r>
      <w:r w:rsidR="006A21C7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و نهی از منکر</w:t>
      </w:r>
      <w:r w:rsidR="00A01CEE"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حکومتی</w:t>
      </w:r>
      <w:bookmarkEnd w:id="12"/>
    </w:p>
    <w:p w:rsidR="00534DE3" w:rsidRPr="007904CF" w:rsidRDefault="00534DE3" w:rsidP="007904CF">
      <w:pPr>
        <w:tabs>
          <w:tab w:val="left" w:pos="5466"/>
        </w:tabs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3" w:name="_Toc440462091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شرط اول: علم آمر و ناهی به حکم</w:t>
      </w:r>
      <w:bookmarkEnd w:id="13"/>
    </w:p>
    <w:p w:rsidR="00402DCD" w:rsidRPr="007904CF" w:rsidRDefault="001E03D2" w:rsidP="001E03D2">
      <w:pPr>
        <w:tabs>
          <w:tab w:val="left" w:pos="5466"/>
        </w:tabs>
        <w:jc w:val="both"/>
        <w:rPr>
          <w:rFonts w:ascii="Traditional Arabic" w:hAnsi="Traditional Arabic" w:cs="Traditional Arabic"/>
          <w:color w:val="000000"/>
          <w:sz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rtl/>
        </w:rPr>
        <w:t xml:space="preserve">اینکه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>آی</w:t>
      </w:r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>ا حاکم باید احکام دین را بداند</w:t>
      </w:r>
      <w:r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>دو احتمال وجود دارد:</w:t>
      </w:r>
    </w:p>
    <w:p w:rsidR="00402DCD" w:rsidRPr="007904CF" w:rsidRDefault="00402DCD" w:rsidP="007904CF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4" w:name="_Toc440462092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احتمال اول:</w:t>
      </w:r>
      <w:bookmarkEnd w:id="14"/>
    </w:p>
    <w:p w:rsidR="00402DCD" w:rsidRPr="007904CF" w:rsidRDefault="00402DCD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احتمال اول آن است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مشروط به علم است، اگر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این شرط باشد، شرط وجوب است.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حاکم اگر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>آگاه بود به شکل روشن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وظیفه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>دارد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الا فلا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.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حتی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با احتمال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تکلیف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یا علم اجمالی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تکلیف ندارد،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تحقیق لازم نیست چون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علم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>شرط وجوب است. علم به معروف و منکر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شرط وجوب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است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نه واجب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.</w:t>
      </w:r>
    </w:p>
    <w:p w:rsidR="00402DCD" w:rsidRPr="007904CF" w:rsidRDefault="00402DCD" w:rsidP="007904CF">
      <w:pPr>
        <w:tabs>
          <w:tab w:val="left" w:pos="5466"/>
        </w:tabs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5" w:name="_Toc440462093"/>
      <w:r w:rsidRPr="007904C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احتمال دوم:</w:t>
      </w:r>
      <w:bookmarkEnd w:id="15"/>
    </w:p>
    <w:p w:rsidR="00534DE3" w:rsidRPr="007904CF" w:rsidRDefault="006A21C7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حاکمیتی با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</w:t>
      </w:r>
      <w:r>
        <w:rPr>
          <w:rFonts w:ascii="Traditional Arabic" w:hAnsi="Traditional Arabic" w:cs="Traditional Arabic" w:hint="cs"/>
          <w:color w:val="000000"/>
          <w:sz w:val="28"/>
          <w:rtl/>
        </w:rPr>
        <w:t>به‌عنوان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وظیفه همگان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ی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متفاوت است؛ </w:t>
      </w:r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علم شرط نیست. </w:t>
      </w:r>
      <w:r w:rsidR="00534DE3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وظیفه حاکم آن است که باید بداند و علم کسب کند. 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صیانت از 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ارزش‌های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اجتماعی اسلامی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وظیفه حکومت است. </w:t>
      </w:r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>علم شرط واجب است نه شرط وجوب.</w:t>
      </w:r>
    </w:p>
    <w:p w:rsidR="008E7979" w:rsidRPr="007904CF" w:rsidRDefault="00402DCD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ظاهر ادله و اطلاق آن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می‌رساند که وظیفه‌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مندی حاکم در </w:t>
      </w:r>
      <w:r w:rsidR="006A21C7">
        <w:rPr>
          <w:rFonts w:ascii="Traditional Arabic" w:hAnsi="Traditional Arabic" w:cs="Traditional Arabic" w:hint="cs"/>
          <w:color w:val="000000"/>
          <w:sz w:val="28"/>
          <w:rtl/>
        </w:rPr>
        <w:t>امربه‌معروف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و نهی از منکر مشروط به علم نیست لذا وجهی ندارد که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اطلاق حمل بر صورت علم شود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؛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زیرا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>:</w:t>
      </w:r>
    </w:p>
    <w:p w:rsidR="008E7979" w:rsidRPr="007904CF" w:rsidRDefault="00402DCD" w:rsidP="001E03D2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1. </w:t>
      </w:r>
      <w:r w:rsidR="001E03D2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محدود و مشروط کردن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اطلاق ادله 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>نیازمند دلیل است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>؛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زیرا جایگاه وی مثل جایگاه عالم دین است. پس 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دلیل به </w:t>
      </w:r>
      <w:r w:rsidR="008E7979" w:rsidRPr="007904CF">
        <w:rPr>
          <w:rFonts w:ascii="Traditional Arabic" w:hAnsi="Traditional Arabic" w:cs="Traditional Arabic" w:hint="cs"/>
          <w:color w:val="000000"/>
          <w:sz w:val="28"/>
          <w:rtl/>
        </w:rPr>
        <w:t>اطلاق باقی است.</w:t>
      </w:r>
    </w:p>
    <w:p w:rsidR="008E7979" w:rsidRPr="007904CF" w:rsidRDefault="008E7979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2. بر فرض که خطاب مشروط به علم باشد؛ ادله دی</w:t>
      </w:r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>گری داریم که کسب علم برای حاکم اسلامی را واجب می‌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داند. حاکم باید بداند.</w:t>
      </w:r>
    </w:p>
    <w:p w:rsidR="008E7979" w:rsidRPr="007904CF" w:rsidRDefault="008E7979" w:rsidP="007904CF">
      <w:pPr>
        <w:tabs>
          <w:tab w:val="left" w:pos="5466"/>
        </w:tabs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این شرط</w:t>
      </w:r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چند نکته تکمیلی دارد که در جلسه </w:t>
      </w:r>
      <w:r w:rsidR="001E03D2">
        <w:rPr>
          <w:rFonts w:ascii="Traditional Arabic" w:hAnsi="Traditional Arabic" w:cs="Traditional Arabic" w:hint="cs"/>
          <w:color w:val="000000"/>
          <w:sz w:val="28"/>
          <w:rtl/>
        </w:rPr>
        <w:t xml:space="preserve">بعد </w:t>
      </w:r>
      <w:bookmarkStart w:id="16" w:name="_GoBack"/>
      <w:bookmarkEnd w:id="16"/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عرض می‌کنم و سپس </w:t>
      </w:r>
      <w:r w:rsidR="00694A9C">
        <w:rPr>
          <w:rFonts w:ascii="Traditional Arabic" w:hAnsi="Traditional Arabic" w:cs="Traditional Arabic" w:hint="cs"/>
          <w:color w:val="000000"/>
          <w:sz w:val="28"/>
          <w:rtl/>
        </w:rPr>
        <w:t>‌به</w:t>
      </w:r>
      <w:r w:rsidR="00402DCD" w:rsidRPr="007904CF">
        <w:rPr>
          <w:rFonts w:ascii="Traditional Arabic" w:hAnsi="Traditional Arabic" w:cs="Traditional Arabic" w:hint="cs"/>
          <w:color w:val="000000"/>
          <w:sz w:val="28"/>
          <w:rtl/>
        </w:rPr>
        <w:t xml:space="preserve"> ش</w:t>
      </w:r>
      <w:r w:rsidRPr="007904CF">
        <w:rPr>
          <w:rFonts w:ascii="Traditional Arabic" w:hAnsi="Traditional Arabic" w:cs="Traditional Arabic" w:hint="cs"/>
          <w:color w:val="000000"/>
          <w:sz w:val="28"/>
          <w:rtl/>
        </w:rPr>
        <w:t>رایط دیگر خواهیم پرداخت.</w:t>
      </w:r>
    </w:p>
    <w:sectPr w:rsidR="008E7979" w:rsidRPr="007904CF" w:rsidSect="00A7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A1" w:rsidRDefault="002A52A1" w:rsidP="000D5800">
      <w:r>
        <w:separator/>
      </w:r>
    </w:p>
  </w:endnote>
  <w:endnote w:type="continuationSeparator" w:id="0">
    <w:p w:rsidR="002A52A1" w:rsidRDefault="002A52A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C7" w:rsidRDefault="006A2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4A" w:rsidRDefault="00C84F4A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3D2">
      <w:rPr>
        <w:noProof/>
        <w:rtl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C7" w:rsidRDefault="006A2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A1" w:rsidRDefault="002A52A1" w:rsidP="000D5800">
      <w:r>
        <w:separator/>
      </w:r>
    </w:p>
  </w:footnote>
  <w:footnote w:type="continuationSeparator" w:id="0">
    <w:p w:rsidR="002A52A1" w:rsidRDefault="002A52A1" w:rsidP="000D5800">
      <w:r>
        <w:continuationSeparator/>
      </w:r>
    </w:p>
  </w:footnote>
  <w:footnote w:id="1">
    <w:p w:rsidR="005C3982" w:rsidRPr="005C3982" w:rsidRDefault="005C3982" w:rsidP="005C3982">
      <w:pPr>
        <w:tabs>
          <w:tab w:val="left" w:pos="5466"/>
        </w:tabs>
        <w:rPr>
          <w:rFonts w:cs="B Lotus" w:hint="c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="00694A9C">
        <w:rPr>
          <w:rFonts w:cs="B Lotus" w:hint="cs"/>
          <w:color w:val="000000"/>
          <w:sz w:val="20"/>
          <w:szCs w:val="20"/>
          <w:rtl/>
        </w:rPr>
        <w:t>نه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="006A21C7">
        <w:rPr>
          <w:rFonts w:cs="B Lotus" w:hint="cs"/>
          <w:color w:val="000000"/>
          <w:sz w:val="20"/>
          <w:szCs w:val="20"/>
          <w:rtl/>
        </w:rPr>
        <w:t>الفصاحه</w:t>
      </w:r>
      <w:r w:rsidR="006A21C7">
        <w:rPr>
          <w:rFonts w:cs="B Lotus"/>
          <w:color w:val="000000"/>
          <w:sz w:val="20"/>
          <w:szCs w:val="20"/>
          <w:rtl/>
        </w:rPr>
        <w:t xml:space="preserve"> (</w:t>
      </w:r>
      <w:r w:rsidRPr="005C3982">
        <w:rPr>
          <w:rFonts w:cs="B Lotus" w:hint="cs"/>
          <w:color w:val="000000"/>
          <w:sz w:val="20"/>
          <w:szCs w:val="20"/>
          <w:rtl/>
        </w:rPr>
        <w:t>مجموعه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كلمات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قصار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حضرت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رسول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ص</w:t>
      </w:r>
      <w:r w:rsidRPr="005C3982">
        <w:rPr>
          <w:rFonts w:cs="B Lotus"/>
          <w:color w:val="000000"/>
          <w:sz w:val="20"/>
          <w:szCs w:val="20"/>
          <w:rtl/>
        </w:rPr>
        <w:t>)</w:t>
      </w:r>
      <w:r w:rsidRPr="005C3982">
        <w:rPr>
          <w:rFonts w:cs="B Lotus" w:hint="cs"/>
          <w:color w:val="000000"/>
          <w:sz w:val="20"/>
          <w:szCs w:val="20"/>
          <w:rtl/>
        </w:rPr>
        <w:t>،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ابو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القاسم‏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پاينده،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انتشارات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دنياى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دانش‏،</w:t>
      </w:r>
      <w:r w:rsidRPr="005C3982">
        <w:rPr>
          <w:rFonts w:cs="B Lotus"/>
          <w:color w:val="000000"/>
          <w:sz w:val="20"/>
          <w:szCs w:val="20"/>
          <w:rtl/>
        </w:rPr>
        <w:t xml:space="preserve"> 1382</w:t>
      </w:r>
      <w:r w:rsidRPr="005C3982">
        <w:rPr>
          <w:rFonts w:cs="B Lotus" w:hint="cs"/>
          <w:color w:val="000000"/>
          <w:sz w:val="20"/>
          <w:szCs w:val="20"/>
          <w:rtl/>
        </w:rPr>
        <w:t>،</w:t>
      </w:r>
      <w:r w:rsidRPr="005C3982">
        <w:rPr>
          <w:rFonts w:cs="B Lotus"/>
          <w:color w:val="000000"/>
          <w:sz w:val="20"/>
          <w:szCs w:val="20"/>
          <w:rtl/>
        </w:rPr>
        <w:t xml:space="preserve"> </w:t>
      </w:r>
      <w:r w:rsidRPr="005C3982">
        <w:rPr>
          <w:rFonts w:cs="B Lotus" w:hint="cs"/>
          <w:color w:val="000000"/>
          <w:sz w:val="20"/>
          <w:szCs w:val="20"/>
          <w:rtl/>
        </w:rPr>
        <w:t>ص</w:t>
      </w:r>
      <w:r w:rsidRPr="005C3982">
        <w:rPr>
          <w:rFonts w:cs="B Lotus"/>
          <w:color w:val="000000"/>
          <w:sz w:val="20"/>
          <w:szCs w:val="20"/>
          <w:rtl/>
        </w:rPr>
        <w:t xml:space="preserve"> 218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C7" w:rsidRDefault="006A2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4A" w:rsidRDefault="007904CF" w:rsidP="000E16D8">
    <w:pPr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0E16D8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84F4A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>تربیتی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0E16D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C84F4A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C84F4A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>امر به معروف و نهی از منکر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0E16D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 xml:space="preserve"> تاریخ جلسه:</w:t>
    </w:r>
    <w:r w:rsidR="00593EF1">
      <w:rPr>
        <w:rFonts w:ascii="Adobe Arabic" w:hAnsi="Adobe Arabic" w:cs="Adobe Arabic" w:hint="cs"/>
        <w:b/>
        <w:bCs/>
        <w:sz w:val="24"/>
        <w:szCs w:val="24"/>
        <w:rtl/>
      </w:rPr>
      <w:t>23</w:t>
    </w:r>
    <w:r w:rsidR="000E16D8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F0E5C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0E16D8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466E5">
      <w:rPr>
        <w:rFonts w:ascii="Adobe Arabic" w:hAnsi="Adobe Arabic" w:cs="Adobe Arabic" w:hint="cs"/>
        <w:b/>
        <w:bCs/>
        <w:sz w:val="24"/>
        <w:szCs w:val="24"/>
        <w:rtl/>
      </w:rPr>
      <w:t>1394</w:t>
    </w:r>
  </w:p>
  <w:p w:rsidR="00C84F4A" w:rsidRDefault="002466E5" w:rsidP="00391BEF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0E16D8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C84F4A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0E16D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="00C84F4A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DF0E5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91BEF">
      <w:rPr>
        <w:rFonts w:ascii="Adobe Arabic" w:hAnsi="Adobe Arabic" w:cs="Adobe Arabic" w:hint="cs"/>
        <w:b/>
        <w:bCs/>
        <w:sz w:val="24"/>
        <w:szCs w:val="24"/>
        <w:rtl/>
      </w:rPr>
      <w:t>وظایف نهاد‌ها (حکومت)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0E16D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C84F4A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0E16D8">
      <w:rPr>
        <w:rFonts w:eastAsia="Calibri" w:hint="cs"/>
        <w:rtl/>
      </w:rPr>
      <w:t xml:space="preserve"> 117</w:t>
    </w:r>
  </w:p>
  <w:p w:rsidR="00C84F4A" w:rsidRPr="00873379" w:rsidRDefault="007904CF" w:rsidP="00873379">
    <w:pPr>
      <w:pStyle w:val="Header"/>
    </w:pPr>
    <w:r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C7" w:rsidRDefault="006A2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D5E6A"/>
    <w:rsid w:val="000D6922"/>
    <w:rsid w:val="000E16D8"/>
    <w:rsid w:val="000F1897"/>
    <w:rsid w:val="000F7E72"/>
    <w:rsid w:val="00101E2D"/>
    <w:rsid w:val="00102405"/>
    <w:rsid w:val="00102CEB"/>
    <w:rsid w:val="001158AB"/>
    <w:rsid w:val="00117955"/>
    <w:rsid w:val="00130E04"/>
    <w:rsid w:val="00133537"/>
    <w:rsid w:val="00133E1D"/>
    <w:rsid w:val="0013617D"/>
    <w:rsid w:val="00136442"/>
    <w:rsid w:val="00147DAE"/>
    <w:rsid w:val="00150D4B"/>
    <w:rsid w:val="00152670"/>
    <w:rsid w:val="00166DD8"/>
    <w:rsid w:val="001712D6"/>
    <w:rsid w:val="001757C8"/>
    <w:rsid w:val="00177934"/>
    <w:rsid w:val="00192A6A"/>
    <w:rsid w:val="00195F4C"/>
    <w:rsid w:val="00197CDD"/>
    <w:rsid w:val="001C367D"/>
    <w:rsid w:val="001C3CCA"/>
    <w:rsid w:val="001D24F8"/>
    <w:rsid w:val="001D542D"/>
    <w:rsid w:val="001D6605"/>
    <w:rsid w:val="001E03D2"/>
    <w:rsid w:val="001E306E"/>
    <w:rsid w:val="001E3FB0"/>
    <w:rsid w:val="001E4FFF"/>
    <w:rsid w:val="001F2E3E"/>
    <w:rsid w:val="00224C0A"/>
    <w:rsid w:val="002308C2"/>
    <w:rsid w:val="00232273"/>
    <w:rsid w:val="00232C9A"/>
    <w:rsid w:val="00233777"/>
    <w:rsid w:val="002376A5"/>
    <w:rsid w:val="002417C9"/>
    <w:rsid w:val="002466E5"/>
    <w:rsid w:val="00250911"/>
    <w:rsid w:val="002529C5"/>
    <w:rsid w:val="00270294"/>
    <w:rsid w:val="00273951"/>
    <w:rsid w:val="002914BD"/>
    <w:rsid w:val="00297263"/>
    <w:rsid w:val="002A52A1"/>
    <w:rsid w:val="002B7AD5"/>
    <w:rsid w:val="002C03FA"/>
    <w:rsid w:val="002C56FD"/>
    <w:rsid w:val="002D32DD"/>
    <w:rsid w:val="002D49E4"/>
    <w:rsid w:val="002E450B"/>
    <w:rsid w:val="002E73F9"/>
    <w:rsid w:val="002F05B9"/>
    <w:rsid w:val="00306A2E"/>
    <w:rsid w:val="00327E4D"/>
    <w:rsid w:val="00340BA3"/>
    <w:rsid w:val="00346C8B"/>
    <w:rsid w:val="00366400"/>
    <w:rsid w:val="003671C2"/>
    <w:rsid w:val="003758ED"/>
    <w:rsid w:val="00391BEF"/>
    <w:rsid w:val="003963D7"/>
    <w:rsid w:val="00396F28"/>
    <w:rsid w:val="003A1A05"/>
    <w:rsid w:val="003A2654"/>
    <w:rsid w:val="003A7688"/>
    <w:rsid w:val="003C06BF"/>
    <w:rsid w:val="003C7899"/>
    <w:rsid w:val="003D2F0A"/>
    <w:rsid w:val="003D563F"/>
    <w:rsid w:val="003E1E58"/>
    <w:rsid w:val="003E2BAB"/>
    <w:rsid w:val="003F318E"/>
    <w:rsid w:val="00402DCD"/>
    <w:rsid w:val="00405199"/>
    <w:rsid w:val="00410699"/>
    <w:rsid w:val="00415360"/>
    <w:rsid w:val="00430EA5"/>
    <w:rsid w:val="004365ED"/>
    <w:rsid w:val="0044591E"/>
    <w:rsid w:val="004476F0"/>
    <w:rsid w:val="00455B91"/>
    <w:rsid w:val="004651D2"/>
    <w:rsid w:val="00465D26"/>
    <w:rsid w:val="004679F8"/>
    <w:rsid w:val="00470EE9"/>
    <w:rsid w:val="004836D2"/>
    <w:rsid w:val="004B2FFD"/>
    <w:rsid w:val="004B337F"/>
    <w:rsid w:val="004B521B"/>
    <w:rsid w:val="004E122C"/>
    <w:rsid w:val="004E7D14"/>
    <w:rsid w:val="004F19BF"/>
    <w:rsid w:val="004F3596"/>
    <w:rsid w:val="00530FD7"/>
    <w:rsid w:val="00534DE3"/>
    <w:rsid w:val="00557BB7"/>
    <w:rsid w:val="00572E2D"/>
    <w:rsid w:val="00592103"/>
    <w:rsid w:val="00593EF1"/>
    <w:rsid w:val="005941DD"/>
    <w:rsid w:val="005A4048"/>
    <w:rsid w:val="005A545E"/>
    <w:rsid w:val="005A5862"/>
    <w:rsid w:val="005B0852"/>
    <w:rsid w:val="005C06AE"/>
    <w:rsid w:val="005C3982"/>
    <w:rsid w:val="005C6222"/>
    <w:rsid w:val="005C6F53"/>
    <w:rsid w:val="005E2C80"/>
    <w:rsid w:val="005E793E"/>
    <w:rsid w:val="00610C18"/>
    <w:rsid w:val="00612385"/>
    <w:rsid w:val="0061376C"/>
    <w:rsid w:val="00621803"/>
    <w:rsid w:val="00636EFA"/>
    <w:rsid w:val="00643F9C"/>
    <w:rsid w:val="00660287"/>
    <w:rsid w:val="0066229C"/>
    <w:rsid w:val="00684239"/>
    <w:rsid w:val="00694A9C"/>
    <w:rsid w:val="0069696C"/>
    <w:rsid w:val="00696C84"/>
    <w:rsid w:val="006A085A"/>
    <w:rsid w:val="006A21C7"/>
    <w:rsid w:val="006A2813"/>
    <w:rsid w:val="006D3A87"/>
    <w:rsid w:val="006F01B4"/>
    <w:rsid w:val="006F277E"/>
    <w:rsid w:val="0073036B"/>
    <w:rsid w:val="00731259"/>
    <w:rsid w:val="00733B2D"/>
    <w:rsid w:val="00734D59"/>
    <w:rsid w:val="0073609B"/>
    <w:rsid w:val="0075033E"/>
    <w:rsid w:val="00752745"/>
    <w:rsid w:val="0075336C"/>
    <w:rsid w:val="007637B6"/>
    <w:rsid w:val="0076665E"/>
    <w:rsid w:val="00772185"/>
    <w:rsid w:val="007749BC"/>
    <w:rsid w:val="00780C88"/>
    <w:rsid w:val="00780E25"/>
    <w:rsid w:val="007818F0"/>
    <w:rsid w:val="00783462"/>
    <w:rsid w:val="00787B13"/>
    <w:rsid w:val="007904CF"/>
    <w:rsid w:val="00792FAC"/>
    <w:rsid w:val="007A5D2F"/>
    <w:rsid w:val="007B0062"/>
    <w:rsid w:val="007B6FEB"/>
    <w:rsid w:val="007C1452"/>
    <w:rsid w:val="007C1EF7"/>
    <w:rsid w:val="007C710E"/>
    <w:rsid w:val="007D0B88"/>
    <w:rsid w:val="007D1549"/>
    <w:rsid w:val="007E03E9"/>
    <w:rsid w:val="007E04EE"/>
    <w:rsid w:val="007E05B0"/>
    <w:rsid w:val="007E623C"/>
    <w:rsid w:val="007E7FA7"/>
    <w:rsid w:val="007F0721"/>
    <w:rsid w:val="007F0E60"/>
    <w:rsid w:val="007F4A90"/>
    <w:rsid w:val="00803501"/>
    <w:rsid w:val="0080799B"/>
    <w:rsid w:val="00807BE3"/>
    <w:rsid w:val="00811F02"/>
    <w:rsid w:val="00817ABA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4376"/>
    <w:rsid w:val="008B565A"/>
    <w:rsid w:val="008C3414"/>
    <w:rsid w:val="008C66DC"/>
    <w:rsid w:val="008C7320"/>
    <w:rsid w:val="008D030F"/>
    <w:rsid w:val="008D36D5"/>
    <w:rsid w:val="008D7F67"/>
    <w:rsid w:val="008E3903"/>
    <w:rsid w:val="008E7979"/>
    <w:rsid w:val="008F63E3"/>
    <w:rsid w:val="008F7202"/>
    <w:rsid w:val="0090292E"/>
    <w:rsid w:val="00913C3B"/>
    <w:rsid w:val="00915509"/>
    <w:rsid w:val="00916B62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D2E0E"/>
    <w:rsid w:val="009F4EB3"/>
    <w:rsid w:val="00A01CEE"/>
    <w:rsid w:val="00A06D48"/>
    <w:rsid w:val="00A21834"/>
    <w:rsid w:val="00A22538"/>
    <w:rsid w:val="00A31C17"/>
    <w:rsid w:val="00A31FDE"/>
    <w:rsid w:val="00A33FA9"/>
    <w:rsid w:val="00A35AC2"/>
    <w:rsid w:val="00A37C77"/>
    <w:rsid w:val="00A5418D"/>
    <w:rsid w:val="00A725C2"/>
    <w:rsid w:val="00A73F23"/>
    <w:rsid w:val="00A769EE"/>
    <w:rsid w:val="00A810A5"/>
    <w:rsid w:val="00A8590A"/>
    <w:rsid w:val="00A9616A"/>
    <w:rsid w:val="00A96F68"/>
    <w:rsid w:val="00AA2342"/>
    <w:rsid w:val="00AD0304"/>
    <w:rsid w:val="00AD0A72"/>
    <w:rsid w:val="00AD27BE"/>
    <w:rsid w:val="00AE7B6C"/>
    <w:rsid w:val="00AF0F1A"/>
    <w:rsid w:val="00AF37D0"/>
    <w:rsid w:val="00B15027"/>
    <w:rsid w:val="00B20CF3"/>
    <w:rsid w:val="00B21CF4"/>
    <w:rsid w:val="00B24300"/>
    <w:rsid w:val="00B26B97"/>
    <w:rsid w:val="00B34BCF"/>
    <w:rsid w:val="00B601CD"/>
    <w:rsid w:val="00B63F15"/>
    <w:rsid w:val="00B9119B"/>
    <w:rsid w:val="00BA51A8"/>
    <w:rsid w:val="00BB44A5"/>
    <w:rsid w:val="00BB5F7E"/>
    <w:rsid w:val="00BC26F6"/>
    <w:rsid w:val="00BC4833"/>
    <w:rsid w:val="00BC73D8"/>
    <w:rsid w:val="00BD3122"/>
    <w:rsid w:val="00BD40DA"/>
    <w:rsid w:val="00BF3D67"/>
    <w:rsid w:val="00C074C2"/>
    <w:rsid w:val="00C160AF"/>
    <w:rsid w:val="00C20BFD"/>
    <w:rsid w:val="00C22299"/>
    <w:rsid w:val="00C2269D"/>
    <w:rsid w:val="00C25609"/>
    <w:rsid w:val="00C262D7"/>
    <w:rsid w:val="00C26607"/>
    <w:rsid w:val="00C43439"/>
    <w:rsid w:val="00C50F4B"/>
    <w:rsid w:val="00C60D75"/>
    <w:rsid w:val="00C64CEA"/>
    <w:rsid w:val="00C73012"/>
    <w:rsid w:val="00C763DD"/>
    <w:rsid w:val="00C84F4A"/>
    <w:rsid w:val="00C84FC0"/>
    <w:rsid w:val="00C9244A"/>
    <w:rsid w:val="00CA0893"/>
    <w:rsid w:val="00CA0DE7"/>
    <w:rsid w:val="00CA11AF"/>
    <w:rsid w:val="00CB0E5D"/>
    <w:rsid w:val="00CB5DA3"/>
    <w:rsid w:val="00CB6F17"/>
    <w:rsid w:val="00CC3976"/>
    <w:rsid w:val="00CE09B7"/>
    <w:rsid w:val="00CE1DF5"/>
    <w:rsid w:val="00CE31E6"/>
    <w:rsid w:val="00CE3B74"/>
    <w:rsid w:val="00CF3425"/>
    <w:rsid w:val="00CF42E2"/>
    <w:rsid w:val="00CF7916"/>
    <w:rsid w:val="00D158F3"/>
    <w:rsid w:val="00D17E39"/>
    <w:rsid w:val="00D222A5"/>
    <w:rsid w:val="00D3328B"/>
    <w:rsid w:val="00D3665C"/>
    <w:rsid w:val="00D4416C"/>
    <w:rsid w:val="00D508CC"/>
    <w:rsid w:val="00D50F4B"/>
    <w:rsid w:val="00D60547"/>
    <w:rsid w:val="00D66444"/>
    <w:rsid w:val="00D76353"/>
    <w:rsid w:val="00D95FE9"/>
    <w:rsid w:val="00DB28BB"/>
    <w:rsid w:val="00DC5616"/>
    <w:rsid w:val="00DC603F"/>
    <w:rsid w:val="00DC7A2D"/>
    <w:rsid w:val="00DD3C0D"/>
    <w:rsid w:val="00DD4864"/>
    <w:rsid w:val="00DD71A2"/>
    <w:rsid w:val="00DE1DC4"/>
    <w:rsid w:val="00DF0D23"/>
    <w:rsid w:val="00DF0E5C"/>
    <w:rsid w:val="00E037E9"/>
    <w:rsid w:val="00E0639C"/>
    <w:rsid w:val="00E067E6"/>
    <w:rsid w:val="00E12531"/>
    <w:rsid w:val="00E143B0"/>
    <w:rsid w:val="00E25945"/>
    <w:rsid w:val="00E55891"/>
    <w:rsid w:val="00E6283A"/>
    <w:rsid w:val="00E64A37"/>
    <w:rsid w:val="00E732A3"/>
    <w:rsid w:val="00E83A85"/>
    <w:rsid w:val="00E9026B"/>
    <w:rsid w:val="00E90FC4"/>
    <w:rsid w:val="00EA01EC"/>
    <w:rsid w:val="00EA15B0"/>
    <w:rsid w:val="00EA5D97"/>
    <w:rsid w:val="00EA7BB5"/>
    <w:rsid w:val="00EC4393"/>
    <w:rsid w:val="00EE1C07"/>
    <w:rsid w:val="00EE2C91"/>
    <w:rsid w:val="00EE3979"/>
    <w:rsid w:val="00EF138C"/>
    <w:rsid w:val="00F034CE"/>
    <w:rsid w:val="00F10A0F"/>
    <w:rsid w:val="00F10DDD"/>
    <w:rsid w:val="00F40284"/>
    <w:rsid w:val="00F42BDA"/>
    <w:rsid w:val="00F55BF0"/>
    <w:rsid w:val="00F67976"/>
    <w:rsid w:val="00F70BE1"/>
    <w:rsid w:val="00F81C2B"/>
    <w:rsid w:val="00F85929"/>
    <w:rsid w:val="00F92C7F"/>
    <w:rsid w:val="00FA5382"/>
    <w:rsid w:val="00FB2A55"/>
    <w:rsid w:val="00FC0862"/>
    <w:rsid w:val="00FC70FB"/>
    <w:rsid w:val="00FD143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 w:cs="Times New Roman"/>
      <w:bCs/>
      <w:sz w:val="44"/>
      <w:szCs w:val="42"/>
      <w:lang w:val="x-none" w:eastAsia="x-none" w:bidi="ar-SA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 w:cs="Times New Roman"/>
      <w:bCs/>
      <w:sz w:val="44"/>
      <w:szCs w:val="42"/>
      <w:lang w:val="x-none" w:eastAsia="x-none" w:bidi="ar-SA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0136-7EC5-4EE1-B425-F6476F91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48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اکبریان</cp:lastModifiedBy>
  <cp:revision>4</cp:revision>
  <dcterms:created xsi:type="dcterms:W3CDTF">2016-01-11T04:37:00Z</dcterms:created>
  <dcterms:modified xsi:type="dcterms:W3CDTF">2016-01-11T05:25:00Z</dcterms:modified>
</cp:coreProperties>
</file>