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28" w:rsidRPr="00C13228" w:rsidRDefault="00025EBB" w:rsidP="00C13228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C13228" w:rsidRPr="00C1322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13228" w:rsidRPr="00C1322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13228" w:rsidRPr="00C13228">
        <w:rPr>
          <w:rFonts w:ascii="IRBadr" w:hAnsi="IRBadr" w:cs="IRBadr"/>
          <w:sz w:val="28"/>
          <w:szCs w:val="28"/>
          <w:lang w:bidi="fa-IR"/>
        </w:rPr>
        <w:instrText>TOC</w:instrText>
      </w:r>
      <w:r w:rsidR="00C13228" w:rsidRPr="00C13228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C13228" w:rsidRPr="00C13228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C13228" w:rsidRPr="00C1322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13228" w:rsidRPr="00C1322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13228" w:rsidRPr="00C13228" w:rsidRDefault="00FA7337" w:rsidP="00C13228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27" w:history="1">
        <w:r w:rsidR="00C13228" w:rsidRPr="00C13228">
          <w:rPr>
            <w:rStyle w:val="aff1"/>
            <w:rFonts w:ascii="IRBadr" w:hAnsi="IRBadr" w:cs="IRBadr"/>
            <w:noProof/>
            <w:rtl/>
          </w:rPr>
          <w:t>قواعد سه گانه فقه التربیة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_Toc433716427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2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28" w:history="1">
        <w:r w:rsidR="00C13228" w:rsidRPr="00C13228">
          <w:rPr>
            <w:rStyle w:val="aff1"/>
            <w:rFonts w:ascii="IRBadr" w:hAnsi="IRBadr" w:cs="IRBadr"/>
            <w:noProof/>
            <w:rtl/>
          </w:rPr>
          <w:t>مرور بحث گذشته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_Toc433716428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2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29" w:history="1">
        <w:r w:rsidR="00C13228">
          <w:rPr>
            <w:rStyle w:val="aff1"/>
            <w:rFonts w:ascii="IRBadr" w:hAnsi="IRBadr" w:cs="IRBadr"/>
            <w:noProof/>
            <w:rtl/>
          </w:rPr>
          <w:t>جمع‌بندی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_Toc433716429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2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0" w:history="1">
        <w:r w:rsidR="00C13228" w:rsidRPr="00C13228">
          <w:rPr>
            <w:rStyle w:val="aff1"/>
            <w:rFonts w:ascii="IRBadr" w:hAnsi="IRBadr" w:cs="IRBadr"/>
            <w:noProof/>
            <w:rtl/>
          </w:rPr>
          <w:t>مرحله انکار لسانی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_Toc433716430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2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1" w:history="1">
        <w:r w:rsidR="00C13228" w:rsidRPr="00C13228">
          <w:rPr>
            <w:rStyle w:val="aff1"/>
            <w:rFonts w:ascii="IRBadr" w:hAnsi="IRBadr" w:cs="IRBadr"/>
            <w:noProof/>
            <w:rtl/>
          </w:rPr>
          <w:t xml:space="preserve">مراد از </w:t>
        </w:r>
        <w:r w:rsidR="00C13228">
          <w:rPr>
            <w:rStyle w:val="aff1"/>
            <w:rFonts w:ascii="IRBadr" w:hAnsi="IRBadr" w:cs="IRBadr"/>
            <w:noProof/>
            <w:rtl/>
          </w:rPr>
          <w:t>امربه‌معروف</w:t>
        </w:r>
        <w:r w:rsidR="00C13228" w:rsidRPr="00C13228">
          <w:rPr>
            <w:rStyle w:val="aff1"/>
            <w:rFonts w:ascii="IRBadr" w:hAnsi="IRBadr" w:cs="IRBadr"/>
            <w:noProof/>
            <w:rtl/>
          </w:rPr>
          <w:t xml:space="preserve"> و نهی از منکر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_Toc433716431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3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2" w:history="1">
        <w:r w:rsidR="00C13228" w:rsidRPr="00C13228">
          <w:rPr>
            <w:rStyle w:val="aff1"/>
            <w:rFonts w:ascii="IRBadr" w:hAnsi="IRBadr" w:cs="IRBadr"/>
            <w:noProof/>
            <w:rtl/>
          </w:rPr>
          <w:t>احتمالات در این مقام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_Toc433716432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3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3" w:history="1">
        <w:r w:rsidR="00C13228" w:rsidRPr="00C13228">
          <w:rPr>
            <w:rStyle w:val="aff1"/>
            <w:rFonts w:ascii="IRBadr" w:hAnsi="IRBadr" w:cs="IRBadr"/>
            <w:noProof/>
            <w:rtl/>
          </w:rPr>
          <w:t>احتمال اول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_Toc433716433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3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4" w:history="1">
        <w:r w:rsidR="00C13228" w:rsidRPr="00C13228">
          <w:rPr>
            <w:rStyle w:val="aff1"/>
            <w:rFonts w:ascii="IRBadr" w:hAnsi="IRBadr" w:cs="IRBadr"/>
            <w:noProof/>
            <w:rtl/>
          </w:rPr>
          <w:t>احتمال دوم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_Toc433716434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3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5" w:history="1">
        <w:r w:rsidR="00C13228" w:rsidRPr="00C13228">
          <w:rPr>
            <w:rStyle w:val="aff1"/>
            <w:rFonts w:ascii="IRBadr" w:hAnsi="IRBadr" w:cs="IRBadr"/>
            <w:noProof/>
            <w:rtl/>
          </w:rPr>
          <w:t>احتمال سوم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_Toc433716435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3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Pr="00C13228" w:rsidRDefault="00FA7337" w:rsidP="00C13228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6436" w:history="1">
        <w:r w:rsidR="00C13228">
          <w:rPr>
            <w:rStyle w:val="aff1"/>
            <w:rFonts w:ascii="IRBadr" w:hAnsi="IRBadr" w:cs="IRBadr"/>
            <w:noProof/>
            <w:rtl/>
          </w:rPr>
          <w:t>جمع‌بندی</w:t>
        </w:r>
        <w:r w:rsidR="00C13228" w:rsidRPr="00C13228">
          <w:rPr>
            <w:rFonts w:ascii="IRBadr" w:hAnsi="IRBadr" w:cs="IRBadr"/>
            <w:noProof/>
            <w:webHidden/>
          </w:rPr>
          <w:tab/>
        </w:r>
        <w:r w:rsidR="00C13228" w:rsidRPr="00C13228">
          <w:rPr>
            <w:rFonts w:ascii="IRBadr" w:hAnsi="IRBadr" w:cs="IRBadr"/>
            <w:noProof/>
            <w:webHidden/>
          </w:rPr>
          <w:fldChar w:fldCharType="begin"/>
        </w:r>
        <w:r w:rsidR="00C13228" w:rsidRPr="00C13228">
          <w:rPr>
            <w:rFonts w:ascii="IRBadr" w:hAnsi="IRBadr" w:cs="IRBadr"/>
            <w:noProof/>
            <w:webHidden/>
          </w:rPr>
          <w:instrText xml:space="preserve"> PAGEREF _Toc433716436 \h </w:instrText>
        </w:r>
        <w:r w:rsidR="00C13228" w:rsidRPr="00C13228">
          <w:rPr>
            <w:rFonts w:ascii="IRBadr" w:hAnsi="IRBadr" w:cs="IRBadr"/>
            <w:noProof/>
            <w:webHidden/>
          </w:rPr>
        </w:r>
        <w:r w:rsidR="00C13228" w:rsidRPr="00C13228">
          <w:rPr>
            <w:rFonts w:ascii="IRBadr" w:hAnsi="IRBadr" w:cs="IRBadr"/>
            <w:noProof/>
            <w:webHidden/>
          </w:rPr>
          <w:fldChar w:fldCharType="separate"/>
        </w:r>
        <w:r w:rsidR="00C13228" w:rsidRPr="00C13228">
          <w:rPr>
            <w:rFonts w:ascii="IRBadr" w:hAnsi="IRBadr" w:cs="IRBadr"/>
            <w:noProof/>
            <w:webHidden/>
          </w:rPr>
          <w:t>4</w:t>
        </w:r>
        <w:r w:rsidR="00C13228" w:rsidRPr="00C13228">
          <w:rPr>
            <w:rFonts w:ascii="IRBadr" w:hAnsi="IRBadr" w:cs="IRBadr"/>
            <w:noProof/>
            <w:webHidden/>
          </w:rPr>
          <w:fldChar w:fldCharType="end"/>
        </w:r>
      </w:hyperlink>
    </w:p>
    <w:p w:rsidR="00C13228" w:rsidRDefault="00C13228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1322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13228" w:rsidRDefault="00C13228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3B6690" w:rsidRDefault="003B6690" w:rsidP="00C13228">
      <w:pPr>
        <w:pStyle w:val="1"/>
        <w:rPr>
          <w:rtl/>
        </w:rPr>
      </w:pPr>
      <w:bookmarkStart w:id="0" w:name="_Toc433716376"/>
      <w:bookmarkStart w:id="1" w:name="_Toc433716427"/>
      <w:r>
        <w:rPr>
          <w:rFonts w:hint="cs"/>
          <w:rtl/>
        </w:rPr>
        <w:lastRenderedPageBreak/>
        <w:t>قواعد سه گانه فقه التربیة</w:t>
      </w:r>
      <w:bookmarkEnd w:id="0"/>
      <w:bookmarkEnd w:id="1"/>
    </w:p>
    <w:p w:rsidR="003B6690" w:rsidRDefault="003B6690" w:rsidP="00C13228">
      <w:pPr>
        <w:pStyle w:val="1"/>
        <w:rPr>
          <w:rtl/>
        </w:rPr>
      </w:pPr>
      <w:bookmarkStart w:id="2" w:name="_Toc433716377"/>
      <w:bookmarkStart w:id="3" w:name="_Toc433716428"/>
      <w:r>
        <w:rPr>
          <w:rFonts w:hint="cs"/>
          <w:rtl/>
        </w:rPr>
        <w:t>مرور بحث گذشته</w:t>
      </w:r>
      <w:bookmarkEnd w:id="2"/>
      <w:bookmarkEnd w:id="3"/>
    </w:p>
    <w:p w:rsidR="00C13228" w:rsidRDefault="00743E3F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نتیجه جلسه گذشته این بود که بحث قاعده ارشاد،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هدا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را قواعدی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زنجیره‌وار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‌می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دانیم که در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مجموعه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 تربیت قرار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43E3F" w:rsidRDefault="00743E3F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قاعده ارشاد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تعلیمی بود،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هدایت و تربیت ناظر به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غیر آموزشی و تربیت به معنای خاص بود که با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روش‌ها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مثل موعظه و تذکر صورت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B6690" w:rsidRDefault="00C13228" w:rsidP="00C13228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743E3F" w:rsidRDefault="00743E3F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قاعده اول و دوم کمتر در کلمات فقهاء شکل فقهی داشت که ما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بسط دادیم و شکلی فقهی برای آن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قراردادیم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سومین قاعده است که جهت بازدارندگی شخصی است که به سمت خلاف حرکت کرده است.</w:t>
      </w:r>
    </w:p>
    <w:p w:rsidR="00743E3F" w:rsidRDefault="00743E3F" w:rsidP="00B01D0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خصوص این قاعده،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آن و ادله وسیع آن را بررسی نمودیم،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شرایط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پرداختیم و مرتبه چهارم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به‌مراتب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ظاهراً در این بحث قریب به بیست صورت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بخش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خاصی از آن بحث به احوال روحی و حالات نفسی فرد در این زمینه 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 xml:space="preserve">مرتبط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بود که پیشنهاد شد چندین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پایان‌نامه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راستا تدوین گردد.</w:t>
      </w:r>
    </w:p>
    <w:p w:rsidR="00743E3F" w:rsidRDefault="00743E3F" w:rsidP="00C13228">
      <w:pPr>
        <w:pStyle w:val="2"/>
        <w:rPr>
          <w:rtl/>
        </w:rPr>
      </w:pPr>
      <w:bookmarkStart w:id="4" w:name="_Toc433716379"/>
      <w:bookmarkStart w:id="5" w:name="_Toc433716430"/>
      <w:r>
        <w:rPr>
          <w:rFonts w:hint="cs"/>
          <w:rtl/>
        </w:rPr>
        <w:t>مرحله انکار لسانی</w:t>
      </w:r>
      <w:bookmarkEnd w:id="4"/>
      <w:bookmarkEnd w:id="5"/>
    </w:p>
    <w:p w:rsidR="00C13228" w:rsidRDefault="00C13228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مراتب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اظهارات اولیه در صورت و حالتی خفیفی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دوم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جلسه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انکار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به لسان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 xml:space="preserve"> همان امری است که بدان تذکر لسانی گفته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43E3F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43E3F" w:rsidRDefault="00743E3F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جواهر چند صفحه در قبال انکار به لسان مطالبی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سایر کتب نیز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بحث را مشاهده کرد.</w:t>
      </w:r>
    </w:p>
    <w:p w:rsidR="003B6690" w:rsidRDefault="003B6690" w:rsidP="00C13228">
      <w:pPr>
        <w:pStyle w:val="2"/>
        <w:rPr>
          <w:rtl/>
        </w:rPr>
      </w:pPr>
      <w:bookmarkStart w:id="6" w:name="_Toc433716380"/>
      <w:bookmarkStart w:id="7" w:name="_Toc433716431"/>
      <w:r>
        <w:rPr>
          <w:rFonts w:hint="cs"/>
          <w:rtl/>
        </w:rPr>
        <w:lastRenderedPageBreak/>
        <w:t xml:space="preserve">مراد از </w:t>
      </w:r>
      <w:r w:rsidR="00C13228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6"/>
      <w:bookmarkEnd w:id="7"/>
    </w:p>
    <w:p w:rsidR="00743E3F" w:rsidRDefault="00743E3F" w:rsidP="00B01D0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بحث نیاز به دلیل چندانی ندارد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 xml:space="preserve">؛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قدر متیقن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حالت لسانی آن است،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در اینجا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آن تذکر دهیم این است که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دلیل به چه معناست؟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و اگر دارای مصادیق متعدد بود،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رابطه طولی یا عرضی برقرار است؟</w:t>
      </w:r>
    </w:p>
    <w:p w:rsidR="003B6690" w:rsidRDefault="003B6690" w:rsidP="00C13228">
      <w:pPr>
        <w:pStyle w:val="2"/>
        <w:rPr>
          <w:rtl/>
        </w:rPr>
      </w:pPr>
      <w:bookmarkStart w:id="8" w:name="_Toc433716381"/>
      <w:bookmarkStart w:id="9" w:name="_Toc433716432"/>
      <w:r>
        <w:rPr>
          <w:rFonts w:hint="cs"/>
          <w:rtl/>
        </w:rPr>
        <w:t>احتمالات در این مقام</w:t>
      </w:r>
      <w:bookmarkEnd w:id="8"/>
      <w:bookmarkEnd w:id="9"/>
    </w:p>
    <w:p w:rsidR="003B6690" w:rsidRDefault="003B6690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مفهوم شناسی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احتمال است؛</w:t>
      </w:r>
    </w:p>
    <w:p w:rsidR="003B6690" w:rsidRDefault="003B6690" w:rsidP="00C13228">
      <w:pPr>
        <w:pStyle w:val="2"/>
        <w:rPr>
          <w:rtl/>
        </w:rPr>
      </w:pPr>
      <w:bookmarkStart w:id="10" w:name="_Toc433716382"/>
      <w:bookmarkStart w:id="11" w:name="_Toc433716433"/>
      <w:r>
        <w:rPr>
          <w:rFonts w:hint="cs"/>
          <w:rtl/>
        </w:rPr>
        <w:t>احتمال اول</w:t>
      </w:r>
      <w:bookmarkEnd w:id="10"/>
      <w:bookmarkEnd w:id="11"/>
    </w:p>
    <w:p w:rsidR="00C13228" w:rsidRDefault="003B6690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احتمال اول این است که مقص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>د از آن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بعث و زجر انشائی به کلام است که در اصول این مطلب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بعث و زجر خارجی نیست.</w:t>
      </w:r>
    </w:p>
    <w:p w:rsidR="003B6690" w:rsidRDefault="003B6690" w:rsidP="00B01D0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معنای اول است و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در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نوعی علو و اعتلاء وجود دارد و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دربردارنده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درجه‌ای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مولویت است و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معنی فرمان خواهد بود.</w:t>
      </w:r>
      <w:r w:rsidR="00B01D06" w:rsidRPr="00B01D0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قطعاً این حد در امرونهی وجود دارد.</w:t>
      </w:r>
    </w:p>
    <w:p w:rsidR="00C13228" w:rsidRDefault="00C13228" w:rsidP="00C13228">
      <w:pPr>
        <w:pStyle w:val="2"/>
        <w:rPr>
          <w:rtl/>
        </w:rPr>
      </w:pPr>
      <w:bookmarkStart w:id="12" w:name="_Toc433716383"/>
      <w:bookmarkStart w:id="13" w:name="_Toc433716434"/>
      <w:r>
        <w:rPr>
          <w:rFonts w:hint="cs"/>
          <w:rtl/>
        </w:rPr>
        <w:t>احتمال دوم</w:t>
      </w:r>
      <w:bookmarkEnd w:id="12"/>
      <w:bookmarkEnd w:id="13"/>
    </w:p>
    <w:p w:rsidR="003B6690" w:rsidRDefault="00C13228" w:rsidP="00B01D0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احتمال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مفهوم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را از قولی به افعالی تعمیم دهیم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به‌منزله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قول است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مانند اشاره و کتابت یا مواردی مانند کنایه که از این قبیل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عرف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این تعمیم دوم را </w:t>
      </w:r>
      <w:r w:rsidR="00B01D06">
        <w:rPr>
          <w:rFonts w:ascii="IRBadr" w:hAnsi="IRBadr" w:cs="IRBadr" w:hint="cs"/>
          <w:sz w:val="28"/>
          <w:szCs w:val="28"/>
          <w:rtl/>
          <w:lang w:bidi="fa-IR"/>
        </w:rPr>
        <w:t>انکار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و با آن مساعد است.</w:t>
      </w:r>
    </w:p>
    <w:p w:rsidR="00C13228" w:rsidRDefault="00C13228" w:rsidP="00C13228">
      <w:pPr>
        <w:pStyle w:val="2"/>
      </w:pPr>
      <w:bookmarkStart w:id="14" w:name="_Toc433716384"/>
      <w:bookmarkStart w:id="15" w:name="_Toc433716435"/>
      <w:r>
        <w:rPr>
          <w:rFonts w:hint="cs"/>
          <w:rtl/>
        </w:rPr>
        <w:lastRenderedPageBreak/>
        <w:t>احتمال سوم</w:t>
      </w:r>
      <w:bookmarkEnd w:id="14"/>
      <w:bookmarkEnd w:id="15"/>
    </w:p>
    <w:p w:rsidR="00C13228" w:rsidRDefault="003B6690" w:rsidP="00C13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معنای سوم این است که مفهوم را از اول و دوم تعمیم داده و قلمرو جدیدی برای آن ترسیم کنیم و آن اقوالی یا ما یقوم مقامه است که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درون‌مایه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زجری و بعثی در آن وجود ندارد یا حتی این صیغه را به کار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مثلاً به نحو خواهش است که فرد به دیگری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مثلاً چقدر خوب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انجام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13228" w:rsidRDefault="00C13228" w:rsidP="00C13228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DC4CA0" w:rsidRDefault="00B01D06" w:rsidP="00DC4CA0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با آنچه بیان شد امر و نهی مورد بحث در امر به معروف و نهی از منکر،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لسان تقاضا،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موعظه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و تذکر را نیز دربر 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322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C4CA0">
        <w:rPr>
          <w:rFonts w:ascii="IRBadr" w:hAnsi="IRBadr" w:cs="IRBadr" w:hint="cs"/>
          <w:sz w:val="28"/>
          <w:szCs w:val="28"/>
          <w:rtl/>
          <w:lang w:bidi="fa-IR"/>
        </w:rPr>
        <w:t xml:space="preserve">در حالی که </w:t>
      </w:r>
      <w:r w:rsidR="003B6690">
        <w:rPr>
          <w:rFonts w:ascii="IRBadr" w:hAnsi="IRBadr" w:cs="IRBadr" w:hint="cs"/>
          <w:sz w:val="28"/>
          <w:szCs w:val="28"/>
          <w:rtl/>
          <w:lang w:bidi="fa-IR"/>
        </w:rPr>
        <w:t xml:space="preserve"> حقیقتاً این موارد تقاضا بوده و از علو و استعلاء تهی هستند.</w:t>
      </w:r>
      <w:r w:rsidR="00C132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9B4655" w:rsidRDefault="00C13228" w:rsidP="00DC4CA0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16" w:name="_GoBack"/>
      <w:bookmarkEnd w:id="16"/>
      <w:r>
        <w:rPr>
          <w:rFonts w:ascii="IRBadr" w:hAnsi="IRBadr" w:cs="IRBadr"/>
          <w:sz w:val="28"/>
          <w:szCs w:val="28"/>
          <w:rtl/>
          <w:lang w:bidi="fa-IR"/>
        </w:rPr>
        <w:t>معنا</w:t>
      </w:r>
      <w:r>
        <w:rPr>
          <w:rFonts w:ascii="IRBadr" w:hAnsi="IRBadr" w:cs="IRBadr" w:hint="cs"/>
          <w:sz w:val="28"/>
          <w:szCs w:val="28"/>
          <w:rtl/>
          <w:lang w:bidi="fa-IR"/>
        </w:rPr>
        <w:t>ی چهارمی نیز وجود دارد که ان شاء الله هفته آینده موردبحث قرار خواهد گرفت.</w:t>
      </w:r>
    </w:p>
    <w:p w:rsidR="003B6690" w:rsidRPr="00485C6D" w:rsidRDefault="003B6690" w:rsidP="003B6690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3B6690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37" w:rsidRDefault="00FA7337" w:rsidP="000D5800">
      <w:pPr>
        <w:spacing w:after="0" w:line="240" w:lineRule="auto"/>
      </w:pPr>
      <w:r>
        <w:separator/>
      </w:r>
    </w:p>
  </w:endnote>
  <w:endnote w:type="continuationSeparator" w:id="0">
    <w:p w:rsidR="00FA7337" w:rsidRDefault="00FA733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8" w:rsidRDefault="00C1322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8" w:rsidRDefault="00C13228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8" w:rsidRDefault="00C1322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37" w:rsidRDefault="00FA7337" w:rsidP="000D5800">
      <w:pPr>
        <w:spacing w:after="0" w:line="240" w:lineRule="auto"/>
      </w:pPr>
      <w:r>
        <w:separator/>
      </w:r>
    </w:p>
  </w:footnote>
  <w:footnote w:type="continuationSeparator" w:id="0">
    <w:p w:rsidR="00FA7337" w:rsidRDefault="00FA7337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8" w:rsidRDefault="00C1322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43E3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CBB6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B01F1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743E3F">
      <w:rPr>
        <w:rFonts w:ascii="IranNastaliq" w:hAnsi="IranNastaliq" w:cs="IranNastaliq" w:hint="cs"/>
        <w:sz w:val="40"/>
        <w:szCs w:val="40"/>
        <w:rtl/>
        <w:lang w:bidi="fa-IR"/>
      </w:rPr>
      <w:t>743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8" w:rsidRDefault="00C1322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25EBB"/>
    <w:rsid w:val="000324F1"/>
    <w:rsid w:val="00052BA3"/>
    <w:rsid w:val="0006363E"/>
    <w:rsid w:val="00080DFF"/>
    <w:rsid w:val="00085ED5"/>
    <w:rsid w:val="00096608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C4D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45356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3F1D"/>
    <w:rsid w:val="003A7D46"/>
    <w:rsid w:val="003B6690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5C6D"/>
    <w:rsid w:val="004B337F"/>
    <w:rsid w:val="004E7830"/>
    <w:rsid w:val="004F3596"/>
    <w:rsid w:val="00505A7B"/>
    <w:rsid w:val="00572680"/>
    <w:rsid w:val="00572E2D"/>
    <w:rsid w:val="00592103"/>
    <w:rsid w:val="005A545E"/>
    <w:rsid w:val="005A5862"/>
    <w:rsid w:val="005B01F1"/>
    <w:rsid w:val="005B0852"/>
    <w:rsid w:val="005C06AE"/>
    <w:rsid w:val="00610C18"/>
    <w:rsid w:val="00610D06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027F7"/>
    <w:rsid w:val="0072383B"/>
    <w:rsid w:val="00734D59"/>
    <w:rsid w:val="0073609B"/>
    <w:rsid w:val="00743E3F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135D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C6390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4655"/>
    <w:rsid w:val="009B61C3"/>
    <w:rsid w:val="009C7B4F"/>
    <w:rsid w:val="009E20E6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163F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B01D06"/>
    <w:rsid w:val="00B06BB8"/>
    <w:rsid w:val="00B15027"/>
    <w:rsid w:val="00B21096"/>
    <w:rsid w:val="00B21CF4"/>
    <w:rsid w:val="00B23B0E"/>
    <w:rsid w:val="00B24300"/>
    <w:rsid w:val="00B31426"/>
    <w:rsid w:val="00B63F15"/>
    <w:rsid w:val="00B67C08"/>
    <w:rsid w:val="00B7512E"/>
    <w:rsid w:val="00B85A27"/>
    <w:rsid w:val="00B95F43"/>
    <w:rsid w:val="00BB5F7E"/>
    <w:rsid w:val="00BB6A1C"/>
    <w:rsid w:val="00BC1C66"/>
    <w:rsid w:val="00BC26F6"/>
    <w:rsid w:val="00BD3122"/>
    <w:rsid w:val="00BD40DA"/>
    <w:rsid w:val="00C13228"/>
    <w:rsid w:val="00C160AF"/>
    <w:rsid w:val="00C22299"/>
    <w:rsid w:val="00C25609"/>
    <w:rsid w:val="00C26607"/>
    <w:rsid w:val="00C60D75"/>
    <w:rsid w:val="00C64CEA"/>
    <w:rsid w:val="00C73012"/>
    <w:rsid w:val="00C763DD"/>
    <w:rsid w:val="00C83EB0"/>
    <w:rsid w:val="00C84FC0"/>
    <w:rsid w:val="00C9244A"/>
    <w:rsid w:val="00CA305B"/>
    <w:rsid w:val="00CA7D54"/>
    <w:rsid w:val="00CB5DA3"/>
    <w:rsid w:val="00CC603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4B05"/>
    <w:rsid w:val="00DC4CA0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42A7"/>
    <w:rsid w:val="00EF138C"/>
    <w:rsid w:val="00F034CE"/>
    <w:rsid w:val="00F06E6E"/>
    <w:rsid w:val="00F10A0F"/>
    <w:rsid w:val="00F1398E"/>
    <w:rsid w:val="00F40284"/>
    <w:rsid w:val="00F67976"/>
    <w:rsid w:val="00F70BE1"/>
    <w:rsid w:val="00F74740"/>
    <w:rsid w:val="00FA733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97C4-AAB8-4C9A-BD5B-C4A666F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1510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80</cp:revision>
  <dcterms:created xsi:type="dcterms:W3CDTF">2014-11-18T06:47:00Z</dcterms:created>
  <dcterms:modified xsi:type="dcterms:W3CDTF">2015-09-27T07:51:00Z</dcterms:modified>
</cp:coreProperties>
</file>