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07" w:rsidRDefault="0082238F" w:rsidP="008F0107">
      <w:pPr>
        <w:bidi/>
        <w:spacing w:line="360" w:lineRule="auto"/>
        <w:jc w:val="both"/>
        <w:rPr>
          <w:noProof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 w:rsidRPr="008F0107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8F0107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8F010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F0107">
        <w:rPr>
          <w:rFonts w:ascii="IRBadr" w:hAnsi="IRBadr" w:cs="IRBadr"/>
          <w:sz w:val="28"/>
          <w:szCs w:val="28"/>
          <w:lang w:bidi="fa-IR"/>
        </w:rPr>
        <w:instrText>TOC</w:instrText>
      </w:r>
      <w:r w:rsidR="008F0107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8F0107">
        <w:rPr>
          <w:rFonts w:ascii="IRBadr" w:hAnsi="IRBadr" w:cs="IRBadr"/>
          <w:sz w:val="28"/>
          <w:szCs w:val="28"/>
          <w:lang w:bidi="fa-IR"/>
        </w:rPr>
        <w:instrText>o "</w:instrText>
      </w:r>
      <w:r w:rsidR="008F0107">
        <w:rPr>
          <w:rFonts w:ascii="IRBadr" w:hAnsi="IRBadr" w:cs="IRBadr"/>
          <w:sz w:val="28"/>
          <w:szCs w:val="28"/>
          <w:rtl/>
          <w:lang w:bidi="fa-IR"/>
        </w:rPr>
        <w:instrText>1-7</w:instrText>
      </w:r>
      <w:r w:rsidR="008F0107">
        <w:rPr>
          <w:rFonts w:ascii="IRBadr" w:hAnsi="IRBadr" w:cs="IRBadr"/>
          <w:sz w:val="28"/>
          <w:szCs w:val="28"/>
          <w:lang w:bidi="fa-IR"/>
        </w:rPr>
        <w:instrText>" \h \z \u</w:instrText>
      </w:r>
      <w:r w:rsidR="008F010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F0107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8F0107" w:rsidRPr="008F0107" w:rsidRDefault="000047E2" w:rsidP="008F0107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2" w:history="1">
        <w:r w:rsidR="008F0107" w:rsidRPr="008F0107">
          <w:rPr>
            <w:rStyle w:val="aff1"/>
            <w:rFonts w:ascii="IRBadr" w:hAnsi="IRBadr" w:cs="IRBadr"/>
            <w:noProof/>
            <w:rtl/>
          </w:rPr>
          <w:t xml:space="preserve">مراتب </w:t>
        </w:r>
        <w:r w:rsidR="008F0107">
          <w:rPr>
            <w:rStyle w:val="aff1"/>
            <w:rFonts w:ascii="IRBadr" w:hAnsi="IRBadr" w:cs="IRBadr"/>
            <w:noProof/>
            <w:rtl/>
          </w:rPr>
          <w:t>امربه‌معروف</w:t>
        </w:r>
        <w:r w:rsidR="008F0107" w:rsidRPr="008F0107">
          <w:rPr>
            <w:rStyle w:val="aff1"/>
            <w:rFonts w:ascii="IRBadr" w:hAnsi="IRBadr" w:cs="IRBadr"/>
            <w:noProof/>
            <w:rtl/>
          </w:rPr>
          <w:t xml:space="preserve"> و نهی از منکر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_Toc431368112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3" w:history="1">
        <w:r w:rsidR="008F0107" w:rsidRPr="008F0107">
          <w:rPr>
            <w:rStyle w:val="aff1"/>
            <w:rFonts w:ascii="IRBadr" w:hAnsi="IRBadr" w:cs="IRBadr"/>
            <w:noProof/>
            <w:rtl/>
          </w:rPr>
          <w:t xml:space="preserve">مراد از </w:t>
        </w:r>
        <w:r w:rsidR="008F0107">
          <w:rPr>
            <w:rStyle w:val="aff1"/>
            <w:rFonts w:ascii="IRBadr" w:hAnsi="IRBadr" w:cs="IRBadr"/>
            <w:noProof/>
            <w:rtl/>
          </w:rPr>
          <w:t>امرونهی</w:t>
        </w:r>
        <w:r w:rsidR="008F0107" w:rsidRPr="008F0107">
          <w:rPr>
            <w:rStyle w:val="aff1"/>
            <w:rFonts w:ascii="IRBadr" w:hAnsi="IRBadr" w:cs="IRBadr"/>
            <w:noProof/>
            <w:rtl/>
          </w:rPr>
          <w:t xml:space="preserve"> در این مقام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_Toc431368113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4" w:history="1">
        <w:r w:rsidR="008F0107" w:rsidRPr="008F0107">
          <w:rPr>
            <w:rStyle w:val="aff1"/>
            <w:rFonts w:ascii="IRBadr" w:hAnsi="IRBadr" w:cs="IRBadr"/>
            <w:noProof/>
            <w:rtl/>
          </w:rPr>
          <w:t>مرور بحث سابق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_Toc431368114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5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احتمالات در این مقام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_Toc431368115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6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احتمال اول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_Toc431368116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7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احتمال دوم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_Toc431368117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8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احتمال سوم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_Toc431368118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2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19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استدراک از بحث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_Toc431368119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3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0" w:history="1">
        <w:r w:rsidR="008F0107">
          <w:rPr>
            <w:rStyle w:val="aff1"/>
            <w:rFonts w:ascii="IRBadr" w:hAnsi="IRBadr" w:cs="IRBadr"/>
            <w:noProof/>
            <w:rtl/>
          </w:rPr>
          <w:t>نتیجه‌گیری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_Toc431368120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3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1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احتمال مقابل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_Toc431368121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3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2" w:history="1">
        <w:r w:rsidR="008F0107" w:rsidRPr="008F0107">
          <w:rPr>
            <w:rStyle w:val="aff1"/>
            <w:rFonts w:ascii="IRBadr" w:hAnsi="IRBadr" w:cs="IRBadr"/>
            <w:noProof/>
            <w:rtl/>
          </w:rPr>
          <w:t>علیت بحث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_Toc431368122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3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3" w:history="1">
        <w:r w:rsidR="008F0107" w:rsidRPr="008F0107">
          <w:rPr>
            <w:rStyle w:val="aff1"/>
            <w:rFonts w:ascii="IRBadr" w:hAnsi="IRBadr" w:cs="IRBadr"/>
            <w:noProof/>
            <w:rtl/>
          </w:rPr>
          <w:t>تقریرات وجه دوم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_Toc431368123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3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4" w:history="1">
        <w:r w:rsidR="008F0107">
          <w:rPr>
            <w:rStyle w:val="aff1"/>
            <w:rFonts w:ascii="IRBadr" w:hAnsi="IRBadr" w:cs="IRBadr"/>
            <w:noProof/>
            <w:rtl/>
          </w:rPr>
          <w:t>نتیجه‌گیری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_Toc431368124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4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5" w:history="1">
        <w:r w:rsidR="008F0107" w:rsidRPr="008F0107">
          <w:rPr>
            <w:rStyle w:val="aff1"/>
            <w:rFonts w:ascii="IRBadr" w:hAnsi="IRBadr" w:cs="IRBadr"/>
            <w:noProof/>
            <w:rtl/>
          </w:rPr>
          <w:t>مورد قسم سوم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_Toc431368125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4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6" w:history="1">
        <w:r w:rsidR="008F0107" w:rsidRPr="008F0107">
          <w:rPr>
            <w:rStyle w:val="aff1"/>
            <w:rFonts w:ascii="IRBadr" w:hAnsi="IRBadr" w:cs="IRBadr"/>
            <w:noProof/>
            <w:rtl/>
          </w:rPr>
          <w:t>ثمره بحث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_Toc431368126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4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7" w:history="1">
        <w:r w:rsidR="008F0107">
          <w:rPr>
            <w:rStyle w:val="aff1"/>
            <w:rFonts w:ascii="IRBadr" w:hAnsi="IRBadr" w:cs="IRBadr"/>
            <w:noProof/>
            <w:rtl/>
          </w:rPr>
          <w:t>جمع‌بندی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_Toc431368127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5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8" w:history="1">
        <w:r w:rsidR="008F0107" w:rsidRPr="008F0107">
          <w:rPr>
            <w:rStyle w:val="aff1"/>
            <w:rFonts w:ascii="IRBadr" w:hAnsi="IRBadr" w:cs="IRBadr"/>
            <w:noProof/>
            <w:rtl/>
          </w:rPr>
          <w:t>احتمال چهارم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_Toc431368128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5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Pr="008F0107" w:rsidRDefault="000047E2" w:rsidP="008F0107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8129" w:history="1">
        <w:r w:rsidR="008F0107" w:rsidRPr="008F0107">
          <w:rPr>
            <w:rStyle w:val="aff1"/>
            <w:rFonts w:ascii="IRBadr" w:hAnsi="IRBadr" w:cs="IRBadr"/>
            <w:noProof/>
            <w:rtl/>
          </w:rPr>
          <w:t>وجوه احتمال فوق</w:t>
        </w:r>
        <w:r w:rsidR="008F0107" w:rsidRPr="008F0107">
          <w:rPr>
            <w:rFonts w:ascii="IRBadr" w:hAnsi="IRBadr" w:cs="IRBadr"/>
            <w:noProof/>
            <w:webHidden/>
          </w:rPr>
          <w:tab/>
        </w:r>
        <w:r w:rsidR="008F0107" w:rsidRPr="008F0107">
          <w:rPr>
            <w:rFonts w:ascii="IRBadr" w:hAnsi="IRBadr" w:cs="IRBadr"/>
            <w:noProof/>
            <w:webHidden/>
          </w:rPr>
          <w:fldChar w:fldCharType="begin"/>
        </w:r>
        <w:r w:rsidR="008F0107" w:rsidRPr="008F0107">
          <w:rPr>
            <w:rFonts w:ascii="IRBadr" w:hAnsi="IRBadr" w:cs="IRBadr"/>
            <w:noProof/>
            <w:webHidden/>
          </w:rPr>
          <w:instrText xml:space="preserve"> PAGEREF _Toc431368129 \h </w:instrText>
        </w:r>
        <w:r w:rsidR="008F0107" w:rsidRPr="008F0107">
          <w:rPr>
            <w:rFonts w:ascii="IRBadr" w:hAnsi="IRBadr" w:cs="IRBadr"/>
            <w:noProof/>
            <w:webHidden/>
          </w:rPr>
        </w:r>
        <w:r w:rsidR="008F0107" w:rsidRPr="008F0107">
          <w:rPr>
            <w:rFonts w:ascii="IRBadr" w:hAnsi="IRBadr" w:cs="IRBadr"/>
            <w:noProof/>
            <w:webHidden/>
          </w:rPr>
          <w:fldChar w:fldCharType="separate"/>
        </w:r>
        <w:r w:rsidR="008F0107" w:rsidRPr="008F0107">
          <w:rPr>
            <w:rFonts w:ascii="IRBadr" w:hAnsi="IRBadr" w:cs="IRBadr"/>
            <w:noProof/>
            <w:webHidden/>
          </w:rPr>
          <w:t>5</w:t>
        </w:r>
        <w:r w:rsidR="008F0107" w:rsidRPr="008F0107">
          <w:rPr>
            <w:rFonts w:ascii="IRBadr" w:hAnsi="IRBadr" w:cs="IRBadr"/>
            <w:noProof/>
            <w:webHidden/>
          </w:rPr>
          <w:fldChar w:fldCharType="end"/>
        </w:r>
      </w:hyperlink>
    </w:p>
    <w:p w:rsidR="008F0107" w:rsidRDefault="008F0107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F0107" w:rsidRDefault="008F0107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50B56" w:rsidRPr="008F0107" w:rsidRDefault="00C50B56" w:rsidP="008F0107">
      <w:pPr>
        <w:pStyle w:val="1"/>
        <w:rPr>
          <w:rFonts w:ascii="IRBadr" w:hAnsi="IRBadr" w:cs="IRBadr"/>
          <w:rtl/>
        </w:rPr>
      </w:pPr>
      <w:bookmarkStart w:id="0" w:name="_Toc431368112"/>
      <w:r w:rsidRPr="008F0107">
        <w:rPr>
          <w:rFonts w:ascii="IRBadr" w:hAnsi="IRBadr" w:cs="IRBadr"/>
          <w:rtl/>
        </w:rPr>
        <w:lastRenderedPageBreak/>
        <w:t xml:space="preserve">مراتب </w:t>
      </w:r>
      <w:r w:rsidR="008F0107">
        <w:rPr>
          <w:rFonts w:ascii="IRBadr" w:hAnsi="IRBadr" w:cs="IRBadr"/>
          <w:rtl/>
        </w:rPr>
        <w:t>امربه‌معروف</w:t>
      </w:r>
      <w:r w:rsidRPr="008F0107">
        <w:rPr>
          <w:rFonts w:ascii="IRBadr" w:hAnsi="IRBadr" w:cs="IRBadr"/>
          <w:rtl/>
        </w:rPr>
        <w:t xml:space="preserve"> و نهی از منکر</w:t>
      </w:r>
      <w:bookmarkEnd w:id="0"/>
    </w:p>
    <w:p w:rsidR="00C50B56" w:rsidRPr="008F0107" w:rsidRDefault="00C50B56" w:rsidP="008F0107">
      <w:pPr>
        <w:pStyle w:val="1"/>
        <w:rPr>
          <w:rFonts w:ascii="IRBadr" w:hAnsi="IRBadr" w:cs="IRBadr"/>
          <w:rtl/>
        </w:rPr>
      </w:pPr>
      <w:bookmarkStart w:id="1" w:name="_Toc431368113"/>
      <w:r w:rsidRPr="008F0107">
        <w:rPr>
          <w:rFonts w:ascii="IRBadr" w:hAnsi="IRBadr" w:cs="IRBadr"/>
          <w:rtl/>
        </w:rPr>
        <w:t xml:space="preserve">مراد از </w:t>
      </w:r>
      <w:r w:rsidR="008F0107">
        <w:rPr>
          <w:rFonts w:ascii="IRBadr" w:hAnsi="IRBadr" w:cs="IRBadr"/>
          <w:rtl/>
        </w:rPr>
        <w:t>امرونهی</w:t>
      </w:r>
      <w:r w:rsidRPr="008F0107">
        <w:rPr>
          <w:rFonts w:ascii="IRBadr" w:hAnsi="IRBadr" w:cs="IRBadr"/>
          <w:rtl/>
        </w:rPr>
        <w:t xml:space="preserve"> در این مقام</w:t>
      </w:r>
      <w:bookmarkEnd w:id="1"/>
    </w:p>
    <w:p w:rsidR="00C50B56" w:rsidRPr="008F0107" w:rsidRDefault="00C50B56" w:rsidP="008F0107">
      <w:pPr>
        <w:pStyle w:val="1"/>
        <w:rPr>
          <w:rFonts w:ascii="IRBadr" w:hAnsi="IRBadr" w:cs="IRBadr"/>
          <w:rtl/>
        </w:rPr>
      </w:pPr>
      <w:bookmarkStart w:id="2" w:name="_Toc431368114"/>
      <w:r w:rsidRPr="008F0107">
        <w:rPr>
          <w:rFonts w:ascii="IRBadr" w:hAnsi="IRBadr" w:cs="IRBadr"/>
          <w:rtl/>
        </w:rPr>
        <w:t>مرور بحث سابق</w:t>
      </w:r>
      <w:bookmarkEnd w:id="2"/>
    </w:p>
    <w:p w:rsidR="00A1445D" w:rsidRPr="008F0107" w:rsidRDefault="00A1445D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بیان ما در مراتب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بود که به مرتبه دوم یعنی مرتبه لسانی رسیدیم.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مطلب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که در آنجا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بود و در بحث قبلی دخالت دارد،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است که معنی الفاظ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چیست؟</w:t>
      </w:r>
    </w:p>
    <w:p w:rsidR="00A1445D" w:rsidRPr="008F0107" w:rsidRDefault="00A1445D" w:rsidP="008F0107">
      <w:pPr>
        <w:pStyle w:val="2"/>
        <w:rPr>
          <w:rFonts w:ascii="IRBadr" w:hAnsi="IRBadr" w:cs="IRBadr"/>
          <w:rtl/>
        </w:rPr>
      </w:pPr>
      <w:bookmarkStart w:id="3" w:name="_Toc431368115"/>
      <w:r w:rsidRPr="008F0107">
        <w:rPr>
          <w:rFonts w:ascii="IRBadr" w:hAnsi="IRBadr" w:cs="IRBadr"/>
          <w:rtl/>
        </w:rPr>
        <w:t>احتمالات در این مقام</w:t>
      </w:r>
      <w:bookmarkEnd w:id="3"/>
    </w:p>
    <w:p w:rsidR="00A51830" w:rsidRPr="008F0107" w:rsidRDefault="00A1445D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>احتمالاتی در تفسیر این دو واژه وجود داشت؛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4" w:name="_Toc431368116"/>
      <w:r w:rsidRPr="008F0107">
        <w:rPr>
          <w:rFonts w:ascii="IRBadr" w:hAnsi="IRBadr" w:cs="IRBadr"/>
          <w:rtl/>
        </w:rPr>
        <w:t>احتمال اول</w:t>
      </w:r>
      <w:bookmarkEnd w:id="4"/>
      <w:r w:rsidR="004C4CE5">
        <w:rPr>
          <w:rFonts w:ascii="IRBadr" w:hAnsi="IRBadr" w:cs="IRBadr" w:hint="cs"/>
          <w:rtl/>
        </w:rPr>
        <w:t xml:space="preserve"> : بعث و زجر زبانی</w:t>
      </w:r>
    </w:p>
    <w:p w:rsidR="00C50B56" w:rsidRPr="008F0107" w:rsidRDefault="00A1445D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>احتمال اول بعث و زجر زبانی است.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5" w:name="_Toc431368117"/>
      <w:r w:rsidRPr="008F0107">
        <w:rPr>
          <w:rFonts w:ascii="IRBadr" w:hAnsi="IRBadr" w:cs="IRBadr"/>
          <w:rtl/>
        </w:rPr>
        <w:t>احتمال دوم</w:t>
      </w:r>
      <w:bookmarkEnd w:id="5"/>
      <w:r w:rsidR="004C4CE5">
        <w:rPr>
          <w:rFonts w:ascii="IRBadr" w:hAnsi="IRBadr" w:cs="IRBadr" w:hint="cs"/>
          <w:rtl/>
        </w:rPr>
        <w:t>: شمول نسبت به اشاره و کتابت</w:t>
      </w:r>
    </w:p>
    <w:p w:rsidR="00C50B56" w:rsidRPr="008F0107" w:rsidRDefault="00A1445D" w:rsidP="003C698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>احتمال دوم،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شمول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بود که علاوه بر </w:t>
      </w:r>
      <w:r w:rsidR="003C6983" w:rsidRPr="008F0107">
        <w:rPr>
          <w:rFonts w:ascii="IRBadr" w:hAnsi="IRBadr" w:cs="IRBadr"/>
          <w:sz w:val="28"/>
          <w:szCs w:val="28"/>
          <w:rtl/>
          <w:lang w:bidi="fa-IR"/>
        </w:rPr>
        <w:t xml:space="preserve">بعث و زجر زبانی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امثال اشاره و کتابت را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دربر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گیرد.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6" w:name="_Toc431368118"/>
      <w:r w:rsidRPr="008F0107">
        <w:rPr>
          <w:rFonts w:ascii="IRBadr" w:hAnsi="IRBadr" w:cs="IRBadr"/>
          <w:rtl/>
        </w:rPr>
        <w:t>احتمال سوم</w:t>
      </w:r>
      <w:bookmarkEnd w:id="6"/>
      <w:r w:rsidR="004C4CE5">
        <w:rPr>
          <w:rFonts w:ascii="IRBadr" w:hAnsi="IRBadr" w:cs="IRBadr" w:hint="cs"/>
          <w:rtl/>
        </w:rPr>
        <w:t>: اقوال غیر تحکمی</w:t>
      </w:r>
    </w:p>
    <w:p w:rsidR="00A1445D" w:rsidRPr="008F0107" w:rsidRDefault="00A1445D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احتمال سوم اوسع از این موارد بود که بقیه سخنان و کلماتی که قالب بعث و زجری ندارد را دربر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همانند سخن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موعظه‌ای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یا توبیخی و یا مواردی که فلسفه حکم بیان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1445D" w:rsidRPr="008F0107" w:rsidRDefault="00A1445D" w:rsidP="008F0107">
      <w:pPr>
        <w:pStyle w:val="2"/>
        <w:rPr>
          <w:rFonts w:ascii="IRBadr" w:hAnsi="IRBadr" w:cs="IRBadr"/>
          <w:rtl/>
        </w:rPr>
      </w:pPr>
      <w:bookmarkStart w:id="7" w:name="_Toc431368119"/>
      <w:r w:rsidRPr="008F0107">
        <w:rPr>
          <w:rFonts w:ascii="IRBadr" w:hAnsi="IRBadr" w:cs="IRBadr"/>
          <w:rtl/>
        </w:rPr>
        <w:lastRenderedPageBreak/>
        <w:t>استدراک از بحث</w:t>
      </w:r>
      <w:bookmarkEnd w:id="7"/>
    </w:p>
    <w:p w:rsidR="00C50B56" w:rsidRPr="008F0107" w:rsidRDefault="00A1445D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>اما اگر این موارد به داعی بعث و زجر صورت گیرد،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موارد قبل داخل خواهد بود.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صیغ بعث و زجر لازم نیست که به نحو افعل و مانند آن باشد.</w:t>
      </w:r>
    </w:p>
    <w:p w:rsidR="00C50B56" w:rsidRPr="008F0107" w:rsidRDefault="008F0107" w:rsidP="008F0107">
      <w:pPr>
        <w:pStyle w:val="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A1445D" w:rsidRPr="008F0107" w:rsidRDefault="00A1445D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>لذا اقوال مشجعه،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رادعه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 مانعه که حالت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امرونهی‌ای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ندارد محل کلام است و برخی گفتند 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که این موارد شامل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نبوده و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به معنای اقوالی است که درون مایه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امرونهی‌ای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یعنی بعث و استعلایی در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وجود دارد که ظاهر کلام امام در تحریر نیز همین است.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8" w:name="_Toc431368121"/>
      <w:r w:rsidRPr="008F0107">
        <w:rPr>
          <w:rFonts w:ascii="IRBadr" w:hAnsi="IRBadr" w:cs="IRBadr"/>
          <w:rtl/>
        </w:rPr>
        <w:t>احتمال مقابل</w:t>
      </w:r>
      <w:bookmarkEnd w:id="8"/>
    </w:p>
    <w:p w:rsidR="00C50B56" w:rsidRPr="008F0107" w:rsidRDefault="00423820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احتمال نقطه مقابل این است که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ولو اینکه چنین معنایی را دارد،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در اینجا با مناسبات حکم و موضوع معنای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عام‌تری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9" w:name="_Toc431368122"/>
      <w:r w:rsidRPr="008F0107">
        <w:rPr>
          <w:rFonts w:ascii="IRBadr" w:hAnsi="IRBadr" w:cs="IRBadr"/>
          <w:rtl/>
        </w:rPr>
        <w:t>علیت بحث</w:t>
      </w:r>
      <w:bookmarkEnd w:id="9"/>
    </w:p>
    <w:p w:rsidR="00423820" w:rsidRPr="008F0107" w:rsidRDefault="00423820" w:rsidP="003C698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ما در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 نهی از منکر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که به خیر دعوت شود و افراد به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سمت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ن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سوق پیدا کند،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با مناسبات موجود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از معنای خود کنده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 توسعه پیدا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10" w:name="_Toc431368123"/>
      <w:r w:rsidRPr="008F0107">
        <w:rPr>
          <w:rFonts w:ascii="IRBadr" w:hAnsi="IRBadr" w:cs="IRBadr"/>
          <w:rtl/>
        </w:rPr>
        <w:t>تقریرات وجه دوم</w:t>
      </w:r>
      <w:bookmarkEnd w:id="10"/>
    </w:p>
    <w:p w:rsidR="00C50B56" w:rsidRPr="008F0107" w:rsidRDefault="008F0107" w:rsidP="003C698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در اینجا هرچند معنای مجازی و یا مشترک لفظی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مناسبات حکم و موضوع در اینجا قید استعلاء را دخیل در حکم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وجه دوم را </w:t>
      </w:r>
      <w:r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فنی به 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>چند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صورت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معنا نمود؛</w:t>
      </w:r>
    </w:p>
    <w:p w:rsidR="003C6983" w:rsidRDefault="00423820" w:rsidP="003C698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یکی اینکه واژه در معنای عامی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423820" w:rsidRPr="008F0107" w:rsidRDefault="003C6983" w:rsidP="003C698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دوم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اینکه اگر مورد اول قبول نشود،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گفت که در اینجا القاء خصوصیت و تنقیح مناطی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شکل‌گرفته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50B56" w:rsidRPr="008F0107" w:rsidRDefault="008F0107" w:rsidP="008F0107">
      <w:pPr>
        <w:pStyle w:val="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3C6983" w:rsidRDefault="008F0107" w:rsidP="003C6983">
      <w:pPr>
        <w:pStyle w:val="aff2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به‌احتمال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دوم معنی کلمه عوض نشده برخلاف معنای اول که در واژه تصرف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sz w:val="28"/>
          <w:szCs w:val="28"/>
          <w:rtl/>
          <w:lang w:bidi="fa-IR"/>
        </w:rPr>
        <w:t>شود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در اینجا معتقدیم که دایره وجوب </w:t>
      </w:r>
      <w:r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423820" w:rsidRPr="008F0107">
        <w:rPr>
          <w:rFonts w:ascii="IRBadr" w:hAnsi="IRBadr" w:cs="IRBadr"/>
          <w:sz w:val="28"/>
          <w:szCs w:val="28"/>
          <w:rtl/>
          <w:lang w:bidi="fa-IR"/>
        </w:rPr>
        <w:t xml:space="preserve"> شمول دارد یا به شمول لفظی یا به شمول مناطی و فحوایی </w:t>
      </w:r>
    </w:p>
    <w:p w:rsidR="008F0107" w:rsidRPr="008F0107" w:rsidRDefault="00423820" w:rsidP="003C6983">
      <w:pPr>
        <w:pStyle w:val="aff2"/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سوم اینکه اگر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اخذ نشود ادله دیگری مانند قاعده دعوت وجود دارد که این شمولیت را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8F0107">
        <w:rPr>
          <w:rFonts w:ascii="IRBadr" w:hAnsi="IRBadr" w:cs="IRBadr" w:hint="eastAsia"/>
          <w:sz w:val="28"/>
          <w:szCs w:val="28"/>
          <w:rtl/>
          <w:lang w:bidi="fa-IR"/>
        </w:rPr>
        <w:t>رساند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که هم قاعده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 نهی از منکر،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ارشاد و هم</w:t>
      </w:r>
      <w:r w:rsidR="00E330A6" w:rsidRPr="008F0107">
        <w:rPr>
          <w:rFonts w:ascii="IRBadr" w:hAnsi="IRBadr" w:cs="IRBadr"/>
          <w:sz w:val="28"/>
          <w:szCs w:val="28"/>
          <w:rtl/>
          <w:lang w:bidi="fa-IR"/>
        </w:rPr>
        <w:t xml:space="preserve"> هدایت و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تربیت را در 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8F0107">
        <w:rPr>
          <w:rFonts w:ascii="IRBadr" w:hAnsi="IRBadr" w:cs="IRBadr" w:hint="eastAsia"/>
          <w:sz w:val="28"/>
          <w:szCs w:val="28"/>
          <w:rtl/>
          <w:lang w:bidi="fa-IR"/>
        </w:rPr>
        <w:t>گ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F0107">
        <w:rPr>
          <w:rFonts w:ascii="IRBadr" w:hAnsi="IRBadr" w:cs="IRBadr" w:hint="eastAsia"/>
          <w:sz w:val="28"/>
          <w:szCs w:val="28"/>
          <w:rtl/>
          <w:lang w:bidi="fa-IR"/>
        </w:rPr>
        <w:t>رد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30A6" w:rsidRPr="008F0107">
        <w:rPr>
          <w:rFonts w:ascii="IRBadr" w:hAnsi="IRBadr" w:cs="IRBadr"/>
          <w:sz w:val="28"/>
          <w:szCs w:val="28"/>
          <w:rtl/>
          <w:lang w:bidi="fa-IR"/>
        </w:rPr>
        <w:t>مانند</w:t>
      </w:r>
      <w:r w:rsidR="008F0107" w:rsidRP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010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لَقَدْ أَرْسَلْنا 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مُوس</w:t>
      </w:r>
      <w:r w:rsidR="008F0107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بِآ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اتِنا أَنْ أَخْرِجْ قَوْمَ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الظُّلُماتِ إِلَ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النُّورِ وَ ذَ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رْهُمْ بِأَ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امِ اللَّهِ إِنَّ 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8F0107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ذلِ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لَآ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اتٍ لِ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لِّ صَبَّارٍ شَ</w:t>
      </w:r>
      <w:r w:rsid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F0107" w:rsidRPr="008F010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ور»</w:t>
      </w:r>
      <w:r w:rsidR="008F0107" w:rsidRPr="008F0107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11" w:name="_Toc431368125"/>
      <w:r w:rsidRPr="008F0107">
        <w:rPr>
          <w:rFonts w:ascii="IRBadr" w:hAnsi="IRBadr" w:cs="IRBadr"/>
          <w:rtl/>
        </w:rPr>
        <w:t>مورد قسم سوم</w:t>
      </w:r>
      <w:bookmarkEnd w:id="11"/>
    </w:p>
    <w:p w:rsidR="00423820" w:rsidRPr="008F0107" w:rsidRDefault="00E330A6" w:rsidP="003C698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مورد 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 xml:space="preserve">قسم 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سوم در قبال کسی است که جمود بر لفظ داشت که کلمه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یعنی فرمان د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>ادن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این سه وجه دارای تفاوت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>‌هایی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در موارد جزیی</w:t>
      </w:r>
      <w:r w:rsidR="003C6983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تر هستند.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ما وجه اول و دوم را بعید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ی‌دانیم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و وجه سوم را به جهت اطمینان خاطر بیان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12" w:name="_Toc431368126"/>
      <w:r w:rsidRPr="008F0107">
        <w:rPr>
          <w:rFonts w:ascii="IRBadr" w:hAnsi="IRBadr" w:cs="IRBadr"/>
          <w:rtl/>
        </w:rPr>
        <w:t>ثمره بحث</w:t>
      </w:r>
      <w:bookmarkEnd w:id="12"/>
    </w:p>
    <w:p w:rsidR="00A1445D" w:rsidRPr="008F0107" w:rsidRDefault="008F0107" w:rsidP="00316DB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ثمره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بحث این است که اگر کسی خلافی را مرتکب </w:t>
      </w:r>
      <w:r>
        <w:rPr>
          <w:rFonts w:ascii="IRBadr" w:hAnsi="IRBadr" w:cs="IRBadr" w:hint="cs"/>
          <w:sz w:val="28"/>
          <w:szCs w:val="28"/>
          <w:rtl/>
          <w:lang w:bidi="fa-IR"/>
        </w:rPr>
        <w:t>‌شود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>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ترک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واجب</w:t>
      </w:r>
      <w:r w:rsidR="00BA3A49">
        <w:rPr>
          <w:rFonts w:ascii="IRBadr" w:hAnsi="IRBadr" w:cs="IRBadr" w:hint="cs"/>
          <w:sz w:val="28"/>
          <w:szCs w:val="28"/>
          <w:rtl/>
          <w:lang w:bidi="fa-IR"/>
        </w:rPr>
        <w:t>ی کرده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یا حرام</w:t>
      </w:r>
      <w:r w:rsidR="00BA3A49">
        <w:rPr>
          <w:rFonts w:ascii="IRBadr" w:hAnsi="IRBadr" w:cs="IRBadr" w:hint="cs"/>
          <w:sz w:val="28"/>
          <w:szCs w:val="28"/>
          <w:rtl/>
          <w:lang w:bidi="fa-IR"/>
        </w:rPr>
        <w:t>ی انجام دهد و کسی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او را با تقاضا و تمنا از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بازداشت.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6DBE">
        <w:rPr>
          <w:rFonts w:ascii="IRBadr" w:hAnsi="IRBadr" w:cs="IRBadr" w:hint="cs"/>
          <w:sz w:val="28"/>
          <w:szCs w:val="28"/>
          <w:rtl/>
          <w:lang w:bidi="fa-IR"/>
        </w:rPr>
        <w:t xml:space="preserve">آیا به همان تقاضا و تمنا می‌شود اکتفا کرد یا نه؟ </w:t>
      </w:r>
      <w:r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کسی قائل شد که معنای </w:t>
      </w:r>
      <w:r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و نهی از منکر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این مورد را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احتمال </w:t>
      </w:r>
      <w:r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که شاید شارع بر این تحکم استعلایی عنایت دارد.</w:t>
      </w:r>
    </w:p>
    <w:p w:rsidR="00323F28" w:rsidRPr="008F0107" w:rsidRDefault="00316DBE" w:rsidP="00316DB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غیر این صورت اگر با تقاضا و تمنا به نتیجه برسد 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باید به سراغ فعلی دیگری رفت و گفت این از واجباتی است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 تقاضا و تمنا به نتیجه رسیده و 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زائل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و دیگر موضوعیت ندارد.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در اینجا قائل به مورد سوم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هستیم و می‌گوییم که امر به معروف و نهی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از منکر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اختصاص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به موارد تحکمی و استعلایی ندارد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حال یا شئون مفهومی یا مناطی 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که به نظر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 xml:space="preserve"> ارتکازات عقلائیه آن را تأیید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323F28" w:rsidRPr="008F010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13" w:name="_Toc431368128"/>
      <w:r w:rsidRPr="008F0107">
        <w:rPr>
          <w:rFonts w:ascii="IRBadr" w:hAnsi="IRBadr" w:cs="IRBadr"/>
          <w:rtl/>
        </w:rPr>
        <w:t>احتمال چهارم</w:t>
      </w:r>
      <w:bookmarkEnd w:id="13"/>
      <w:r w:rsidR="004C4CE5">
        <w:rPr>
          <w:rFonts w:ascii="IRBadr" w:hAnsi="IRBadr" w:cs="IRBadr" w:hint="cs"/>
          <w:rtl/>
        </w:rPr>
        <w:t>: اقدامات عملی</w:t>
      </w:r>
    </w:p>
    <w:p w:rsidR="00323F28" w:rsidRPr="008F0107" w:rsidRDefault="00323F28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احتمال چهارم این است که ترقی کنیم و از اقوال به سمت افعال عملی که از آن، اقدام به ید تعبیر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،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حرکت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کنیم.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سؤال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این است که آیا این موارد نیز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در مفهوم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مراد از افعال در اینجا اشاره و همانند اخم نیست</w:t>
      </w:r>
      <w:r w:rsidR="004C4CE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چراکه در قول اول مطرح شد و خارج از محل کلام است.</w:t>
      </w:r>
    </w:p>
    <w:p w:rsidR="00C50B56" w:rsidRPr="008F0107" w:rsidRDefault="00C50B56" w:rsidP="008F0107">
      <w:pPr>
        <w:pStyle w:val="2"/>
        <w:rPr>
          <w:rFonts w:ascii="IRBadr" w:hAnsi="IRBadr" w:cs="IRBadr"/>
          <w:rtl/>
        </w:rPr>
      </w:pPr>
      <w:bookmarkStart w:id="14" w:name="_Toc431368129"/>
      <w:r w:rsidRPr="008F0107">
        <w:rPr>
          <w:rFonts w:ascii="IRBadr" w:hAnsi="IRBadr" w:cs="IRBadr"/>
          <w:rtl/>
        </w:rPr>
        <w:t>وجوه احتمال فوق</w:t>
      </w:r>
      <w:bookmarkEnd w:id="14"/>
    </w:p>
    <w:p w:rsidR="00323F28" w:rsidRPr="008F0107" w:rsidRDefault="00323F28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حال در اینجا فرقی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که شمول به نحو مفهومی یا مناطی یا دلیل خاص باشد که حکومت است.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شمول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دارای چند وجه است؛</w:t>
      </w:r>
    </w:p>
    <w:p w:rsidR="00323F28" w:rsidRPr="008F0107" w:rsidRDefault="00323F28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وجه اول شمول مفهومی است که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چنین توسعه معنایی دارد که این را برخلاف احتمال سابق بعید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>.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دوم این است که شمول مناطی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باشد که این نیز بعید است</w:t>
      </w:r>
      <w:r w:rsidR="004C4CE5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چراکه با موارد سابق مساوی نیست و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ی‌دانیم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که شارع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را قصد کرده است یا خیر؟ حتی با اذن حاکم بعید است که چنین تعمیمی وجود داشت</w:t>
      </w:r>
      <w:r w:rsidR="004C4CE5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323F28" w:rsidRPr="008F0107" w:rsidRDefault="00323F28" w:rsidP="008F01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دو راه دیگر وجود دارد که بعداً </w:t>
      </w:r>
      <w:bookmarkStart w:id="15" w:name="_GoBack"/>
      <w:bookmarkEnd w:id="15"/>
      <w:r w:rsidRPr="008F0107">
        <w:rPr>
          <w:rFonts w:ascii="IRBadr" w:hAnsi="IRBadr" w:cs="IRBadr"/>
          <w:sz w:val="28"/>
          <w:szCs w:val="28"/>
          <w:rtl/>
          <w:lang w:bidi="fa-IR"/>
        </w:rPr>
        <w:t>باید بحث شود؛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0107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8F010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F0107">
        <w:rPr>
          <w:rFonts w:ascii="IRBadr" w:hAnsi="IRBadr" w:cs="IRBadr"/>
          <w:sz w:val="28"/>
          <w:szCs w:val="28"/>
          <w:rtl/>
          <w:lang w:bidi="fa-IR"/>
        </w:rPr>
        <w:t xml:space="preserve"> ادله عامه و دیگری روایات متعدد خاصه ایست که بر این شمول دلالت داشته باشد.</w:t>
      </w:r>
    </w:p>
    <w:p w:rsidR="00323F28" w:rsidRDefault="00323F28" w:rsidP="00323F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1445D" w:rsidRPr="00BC1C66" w:rsidRDefault="00A1445D" w:rsidP="00A1445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1445D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E2" w:rsidRDefault="000047E2" w:rsidP="000D5800">
      <w:pPr>
        <w:spacing w:after="0" w:line="240" w:lineRule="auto"/>
      </w:pPr>
      <w:r>
        <w:separator/>
      </w:r>
    </w:p>
  </w:endnote>
  <w:endnote w:type="continuationSeparator" w:id="0">
    <w:p w:rsidR="000047E2" w:rsidRDefault="000047E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07" w:rsidRDefault="008F010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07" w:rsidRDefault="008F0107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07" w:rsidRDefault="008F010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E2" w:rsidRDefault="000047E2" w:rsidP="008F0107">
      <w:pPr>
        <w:spacing w:after="0" w:line="240" w:lineRule="auto"/>
        <w:jc w:val="right"/>
      </w:pPr>
      <w:r>
        <w:separator/>
      </w:r>
    </w:p>
  </w:footnote>
  <w:footnote w:type="continuationSeparator" w:id="0">
    <w:p w:rsidR="000047E2" w:rsidRDefault="000047E2" w:rsidP="000D5800">
      <w:pPr>
        <w:spacing w:after="0" w:line="240" w:lineRule="auto"/>
      </w:pPr>
      <w:r>
        <w:continuationSeparator/>
      </w:r>
    </w:p>
  </w:footnote>
  <w:footnote w:id="1">
    <w:p w:rsidR="008F0107" w:rsidRDefault="008F0107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8F0107">
        <w:rPr>
          <w:rFonts w:hint="cs"/>
          <w:rtl/>
        </w:rPr>
        <w:t>إبراه</w:t>
      </w:r>
      <w:r>
        <w:rPr>
          <w:rFonts w:hint="cs"/>
          <w:rtl/>
        </w:rPr>
        <w:t>ی</w:t>
      </w:r>
      <w:r w:rsidRPr="008F0107">
        <w:rPr>
          <w:rFonts w:hint="cs"/>
          <w:rtl/>
        </w:rPr>
        <w:t>م</w:t>
      </w:r>
      <w:r w:rsidRPr="008F0107">
        <w:rPr>
          <w:rtl/>
        </w:rPr>
        <w:t xml:space="preserve"> /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07" w:rsidRDefault="008F010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A1445D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A5F5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BB3BE8">
      <w:rPr>
        <w:rFonts w:ascii="IranNastaliq" w:hAnsi="IranNastaliq" w:cs="IranNastaliq" w:hint="cs"/>
        <w:sz w:val="40"/>
        <w:szCs w:val="40"/>
        <w:rtl/>
        <w:lang w:bidi="fa-IR"/>
      </w:rPr>
      <w:t>7</w:t>
    </w:r>
    <w:r w:rsidR="00A1445D">
      <w:rPr>
        <w:rFonts w:ascii="IranNastaliq" w:hAnsi="IranNastaliq" w:cs="IranNastaliq" w:hint="cs"/>
        <w:sz w:val="40"/>
        <w:szCs w:val="40"/>
        <w:rtl/>
        <w:lang w:bidi="fa-IR"/>
      </w:rPr>
      <w:t>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07" w:rsidRDefault="008F0107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047E2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00F"/>
    <w:rsid w:val="00156CF3"/>
    <w:rsid w:val="00166DD8"/>
    <w:rsid w:val="001712D6"/>
    <w:rsid w:val="001757C8"/>
    <w:rsid w:val="00177934"/>
    <w:rsid w:val="00192A6A"/>
    <w:rsid w:val="00197CDD"/>
    <w:rsid w:val="001A5569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16DBE"/>
    <w:rsid w:val="00323F28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6983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3820"/>
    <w:rsid w:val="0044591E"/>
    <w:rsid w:val="004651D2"/>
    <w:rsid w:val="00465D26"/>
    <w:rsid w:val="004679F8"/>
    <w:rsid w:val="004B337F"/>
    <w:rsid w:val="004C367A"/>
    <w:rsid w:val="004C4CE5"/>
    <w:rsid w:val="004E7830"/>
    <w:rsid w:val="004F3596"/>
    <w:rsid w:val="00501BA1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72E9"/>
    <w:rsid w:val="008F0107"/>
    <w:rsid w:val="008F63E3"/>
    <w:rsid w:val="00913C3B"/>
    <w:rsid w:val="00915509"/>
    <w:rsid w:val="00927388"/>
    <w:rsid w:val="009274FE"/>
    <w:rsid w:val="009349C7"/>
    <w:rsid w:val="009401AC"/>
    <w:rsid w:val="009613AC"/>
    <w:rsid w:val="00961C98"/>
    <w:rsid w:val="00963AA3"/>
    <w:rsid w:val="00980643"/>
    <w:rsid w:val="00992D2C"/>
    <w:rsid w:val="009A7CD2"/>
    <w:rsid w:val="009B61C3"/>
    <w:rsid w:val="009C7B4F"/>
    <w:rsid w:val="009E4228"/>
    <w:rsid w:val="009E577C"/>
    <w:rsid w:val="009E588F"/>
    <w:rsid w:val="009F4EB3"/>
    <w:rsid w:val="00A04E98"/>
    <w:rsid w:val="00A06D48"/>
    <w:rsid w:val="00A1445D"/>
    <w:rsid w:val="00A21834"/>
    <w:rsid w:val="00A31C17"/>
    <w:rsid w:val="00A31FDE"/>
    <w:rsid w:val="00A35AC2"/>
    <w:rsid w:val="00A37C77"/>
    <w:rsid w:val="00A51830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A3A49"/>
    <w:rsid w:val="00BB3BE8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50B56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E7A08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30A6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4456A41-76FE-47B9-AD63-F23F68C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A5569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A5569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A5569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A5569"/>
    <w:rPr>
      <w:rFonts w:ascii="Cambria" w:eastAsia="2  Lotus" w:hAnsi="Cambria" w:cs="2  Badr"/>
      <w:bCs/>
      <w:sz w:val="40"/>
      <w:szCs w:val="40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  <w:style w:type="paragraph" w:styleId="aff2">
    <w:name w:val="Normal (Web)"/>
    <w:basedOn w:val="a"/>
    <w:uiPriority w:val="99"/>
    <w:semiHidden/>
    <w:unhideWhenUsed/>
    <w:rsid w:val="008F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0260-6C40-4D87-ADF2-54D44441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1090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66</cp:revision>
  <dcterms:created xsi:type="dcterms:W3CDTF">2014-11-18T06:47:00Z</dcterms:created>
  <dcterms:modified xsi:type="dcterms:W3CDTF">2015-09-30T07:41:00Z</dcterms:modified>
</cp:coreProperties>
</file>