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D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6A2714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7B732F" w:rsidRPr="006A2714" w:rsidRDefault="007B732F" w:rsidP="007B732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6A2714">
        <w:rPr>
          <w:rFonts w:ascii="IRBadr" w:hAnsi="IRBadr" w:cs="IRBadr"/>
          <w:sz w:val="28"/>
          <w:rtl/>
        </w:rPr>
        <w:fldChar w:fldCharType="begin"/>
      </w:r>
      <w:r w:rsidRPr="006A2714">
        <w:rPr>
          <w:rFonts w:ascii="IRBadr" w:hAnsi="IRBadr" w:cs="IRBadr"/>
          <w:sz w:val="28"/>
          <w:rtl/>
        </w:rPr>
        <w:instrText xml:space="preserve"> </w:instrText>
      </w:r>
      <w:r w:rsidRPr="006A2714">
        <w:rPr>
          <w:rFonts w:ascii="IRBadr" w:hAnsi="IRBadr" w:cs="IRBadr"/>
          <w:sz w:val="28"/>
        </w:rPr>
        <w:instrText>TOC</w:instrText>
      </w:r>
      <w:r w:rsidRPr="006A2714">
        <w:rPr>
          <w:rFonts w:ascii="IRBadr" w:hAnsi="IRBadr" w:cs="IRBadr"/>
          <w:sz w:val="28"/>
          <w:rtl/>
        </w:rPr>
        <w:instrText xml:space="preserve"> \</w:instrText>
      </w:r>
      <w:r w:rsidRPr="006A2714">
        <w:rPr>
          <w:rFonts w:ascii="IRBadr" w:hAnsi="IRBadr" w:cs="IRBadr"/>
          <w:sz w:val="28"/>
        </w:rPr>
        <w:instrText>o "</w:instrText>
      </w:r>
      <w:r w:rsidRPr="006A2714">
        <w:rPr>
          <w:rFonts w:ascii="IRBadr" w:hAnsi="IRBadr" w:cs="IRBadr"/>
          <w:sz w:val="28"/>
          <w:rtl/>
        </w:rPr>
        <w:instrText>1-3</w:instrText>
      </w:r>
      <w:r w:rsidRPr="006A2714">
        <w:rPr>
          <w:rFonts w:ascii="IRBadr" w:hAnsi="IRBadr" w:cs="IRBadr"/>
          <w:sz w:val="28"/>
        </w:rPr>
        <w:instrText>" \h \z \u</w:instrText>
      </w:r>
      <w:r w:rsidRPr="006A2714">
        <w:rPr>
          <w:rFonts w:ascii="IRBadr" w:hAnsi="IRBadr" w:cs="IRBadr"/>
          <w:sz w:val="28"/>
          <w:rtl/>
        </w:rPr>
        <w:instrText xml:space="preserve"> </w:instrText>
      </w:r>
      <w:r w:rsidRPr="006A2714">
        <w:rPr>
          <w:rFonts w:ascii="IRBadr" w:hAnsi="IRBadr" w:cs="IRBadr"/>
          <w:sz w:val="28"/>
          <w:rtl/>
        </w:rPr>
        <w:fldChar w:fldCharType="separate"/>
      </w:r>
      <w:hyperlink w:anchor="_Toc426361533" w:history="1">
        <w:r w:rsidRPr="006A2714">
          <w:rPr>
            <w:rStyle w:val="Hyperlink"/>
            <w:rFonts w:ascii="IRBadr" w:hAnsi="IRBadr" w:cs="IRBadr"/>
            <w:noProof/>
            <w:rtl/>
          </w:rPr>
          <w:t>ادله قذف صبی</w:t>
        </w:r>
        <w:r w:rsidRPr="006A2714">
          <w:rPr>
            <w:rFonts w:ascii="IRBadr" w:hAnsi="IRBadr" w:cs="IRBadr"/>
            <w:noProof/>
            <w:webHidden/>
          </w:rPr>
          <w:tab/>
        </w:r>
        <w:r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6A2714">
          <w:rPr>
            <w:rFonts w:ascii="IRBadr" w:hAnsi="IRBadr" w:cs="IRBadr"/>
            <w:noProof/>
            <w:webHidden/>
          </w:rPr>
          <w:instrText xml:space="preserve"> PAGEREF _Toc426361533 \h </w:instrText>
        </w:r>
        <w:r w:rsidRPr="006A2714">
          <w:rPr>
            <w:rStyle w:val="Hyperlink"/>
            <w:rFonts w:ascii="IRBadr" w:hAnsi="IRBadr" w:cs="IRBadr"/>
            <w:noProof/>
            <w:rtl/>
          </w:rPr>
        </w:r>
        <w:r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6A2714">
          <w:rPr>
            <w:rFonts w:ascii="IRBadr" w:hAnsi="IRBadr" w:cs="IRBadr"/>
            <w:noProof/>
            <w:webHidden/>
          </w:rPr>
          <w:t>1</w:t>
        </w:r>
        <w:r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4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مرور ادله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_Toc426361534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1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5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علت نفی قاعده تعزیر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_Toc426361535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6" w:history="1">
        <w:r w:rsidR="006A2714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_Toc426361536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7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نتیجه دوم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_Toc426361537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8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نتیجه سوم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_Toc426361538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361539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_Toc426361539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0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حق تأدیب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_Toc426361540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2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1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_Toc426361541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3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2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نکاتی در قبال سیره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_Toc426361542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3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3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شروط قذف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_Toc426361543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3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4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دلیل دوم انصراف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_Toc426361544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3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5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>دلیل سوم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_Toc426361545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3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1546A" w:rsidP="007B732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361546" w:history="1">
        <w:r w:rsidR="007B732F" w:rsidRPr="006A2714">
          <w:rPr>
            <w:rStyle w:val="Hyperlink"/>
            <w:rFonts w:ascii="IRBadr" w:hAnsi="IRBadr" w:cs="IRBadr"/>
            <w:noProof/>
            <w:rtl/>
          </w:rPr>
          <w:t xml:space="preserve">دلیل 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t>چ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t>هارم</w:t>
        </w:r>
        <w:r w:rsidR="007B732F" w:rsidRPr="006A2714">
          <w:rPr>
            <w:rFonts w:ascii="IRBadr" w:hAnsi="IRBadr" w:cs="IRBadr"/>
            <w:noProof/>
            <w:webHidden/>
          </w:rPr>
          <w:tab/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B732F" w:rsidRPr="006A2714">
          <w:rPr>
            <w:rFonts w:ascii="IRBadr" w:hAnsi="IRBadr" w:cs="IRBadr"/>
            <w:noProof/>
            <w:webHidden/>
          </w:rPr>
          <w:instrText xml:space="preserve"> PAGEREF _Toc426361546 \h </w:instrText>
        </w:r>
        <w:r w:rsidR="007B732F" w:rsidRPr="006A2714">
          <w:rPr>
            <w:rStyle w:val="Hyperlink"/>
            <w:rFonts w:ascii="IRBadr" w:hAnsi="IRBadr" w:cs="IRBadr"/>
            <w:noProof/>
            <w:rtl/>
          </w:rPr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B732F" w:rsidRPr="006A2714">
          <w:rPr>
            <w:rFonts w:ascii="IRBadr" w:hAnsi="IRBadr" w:cs="IRBadr"/>
            <w:noProof/>
            <w:webHidden/>
          </w:rPr>
          <w:t>4</w:t>
        </w:r>
        <w:r w:rsidR="007B732F" w:rsidRPr="006A271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B732F" w:rsidRPr="006A2714" w:rsidRDefault="007B732F" w:rsidP="007B732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A2714" w:rsidRDefault="006A2714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361533"/>
      <w:r>
        <w:rPr>
          <w:rFonts w:ascii="IRBadr" w:hAnsi="IRBadr" w:cs="IRBadr"/>
          <w:rtl/>
        </w:rPr>
        <w:br w:type="page"/>
      </w:r>
    </w:p>
    <w:p w:rsidR="00964536" w:rsidRPr="006A2714" w:rsidRDefault="003C7A32" w:rsidP="00A8100E">
      <w:pPr>
        <w:pStyle w:val="Heading1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lastRenderedPageBreak/>
        <w:t>ادله قذف صبی</w:t>
      </w:r>
      <w:bookmarkEnd w:id="1"/>
    </w:p>
    <w:p w:rsidR="003C7A32" w:rsidRPr="006A2714" w:rsidRDefault="003C7A32" w:rsidP="00A8100E">
      <w:pPr>
        <w:pStyle w:val="Heading1"/>
        <w:rPr>
          <w:rFonts w:ascii="IRBadr" w:hAnsi="IRBadr" w:cs="IRBadr"/>
          <w:rtl/>
        </w:rPr>
      </w:pPr>
      <w:bookmarkStart w:id="2" w:name="_Toc426361534"/>
      <w:r w:rsidRPr="006A2714">
        <w:rPr>
          <w:rFonts w:ascii="IRBadr" w:hAnsi="IRBadr" w:cs="IRBadr"/>
          <w:rtl/>
        </w:rPr>
        <w:t>مرور ادله</w:t>
      </w:r>
      <w:bookmarkEnd w:id="2"/>
    </w:p>
    <w:p w:rsidR="003C7A32" w:rsidRPr="006A2714" w:rsidRDefault="003C7A32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ادله مربوط به ثبوت تعزیر قذف از ناحیه صبی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از این ادله تمامیت نداشت و عمده دلیلی که در اینجا مطرح بود،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یزید کناسی و روایت مرسله یونس بود،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شهرت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مرددی نیز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6A2714">
        <w:rPr>
          <w:rFonts w:ascii="IRBadr" w:hAnsi="IRBadr" w:cs="IRBadr" w:hint="cs"/>
          <w:sz w:val="28"/>
          <w:szCs w:val="28"/>
          <w:rtl/>
          <w:lang w:bidi="fa-IR"/>
        </w:rPr>
        <w:t>ین‌بین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وجود داشت که طبق یک معنی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می‌توانست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جابر ضعف سندهای ذکر شده باشد.</w:t>
      </w:r>
    </w:p>
    <w:p w:rsidR="00964536" w:rsidRPr="006A2714" w:rsidRDefault="003C7A32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آقای گلپایگانی به خاطر روایت یونس قائل به تعزیر در صبی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اما قاعده کلی را قبول ندارند که برای هر امر موجب عصیانی تعزیر لازم است.</w:t>
      </w:r>
    </w:p>
    <w:p w:rsidR="00964536" w:rsidRPr="006A2714" w:rsidRDefault="003C7A32" w:rsidP="00A8100E">
      <w:pPr>
        <w:pStyle w:val="Heading2"/>
        <w:rPr>
          <w:rFonts w:ascii="IRBadr" w:hAnsi="IRBadr" w:cs="IRBadr"/>
          <w:rtl/>
        </w:rPr>
      </w:pPr>
      <w:bookmarkStart w:id="3" w:name="_Toc426361535"/>
      <w:r w:rsidRPr="006A2714">
        <w:rPr>
          <w:rFonts w:ascii="IRBadr" w:hAnsi="IRBadr" w:cs="IRBadr"/>
          <w:rtl/>
        </w:rPr>
        <w:t>علت نفی قاعده تعزیر</w:t>
      </w:r>
      <w:bookmarkEnd w:id="3"/>
    </w:p>
    <w:p w:rsidR="003C7A32" w:rsidRPr="006A2714" w:rsidRDefault="006A2714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3C7A32" w:rsidRPr="006A2714">
        <w:rPr>
          <w:rFonts w:ascii="IRBadr" w:hAnsi="IRBadr" w:cs="IRBadr"/>
          <w:sz w:val="28"/>
          <w:szCs w:val="28"/>
          <w:rtl/>
          <w:lang w:bidi="fa-IR"/>
        </w:rPr>
        <w:t xml:space="preserve"> که ایشان در بیان رد خود نسبت به این قاعده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آورده‌اند</w:t>
      </w:r>
      <w:r w:rsidR="003C7A32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سیره</w:t>
      </w:r>
      <w:r w:rsidR="003C7A32" w:rsidRPr="006A2714">
        <w:rPr>
          <w:rFonts w:ascii="IRBadr" w:hAnsi="IRBadr" w:cs="IRBadr"/>
          <w:sz w:val="28"/>
          <w:szCs w:val="28"/>
          <w:rtl/>
          <w:lang w:bidi="fa-IR"/>
        </w:rPr>
        <w:t xml:space="preserve"> نیز بر این گویا نیست که در قبال هر عملی که از صبی صادر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C7A32" w:rsidRPr="006A2714">
        <w:rPr>
          <w:rFonts w:ascii="IRBadr" w:hAnsi="IRBadr" w:cs="IRBadr"/>
          <w:sz w:val="28"/>
          <w:szCs w:val="28"/>
          <w:rtl/>
          <w:lang w:bidi="fa-IR"/>
        </w:rPr>
        <w:t>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="003C7A32" w:rsidRPr="006A2714">
        <w:rPr>
          <w:rFonts w:ascii="IRBadr" w:hAnsi="IRBadr" w:cs="IRBadr"/>
          <w:sz w:val="28"/>
          <w:szCs w:val="28"/>
          <w:rtl/>
          <w:lang w:bidi="fa-IR"/>
        </w:rPr>
        <w:t xml:space="preserve"> لازم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A523EA" w:rsidRPr="006A2714">
        <w:rPr>
          <w:rFonts w:ascii="IRBadr" w:hAnsi="IRBadr" w:cs="IRBadr"/>
          <w:sz w:val="28"/>
          <w:szCs w:val="28"/>
          <w:rtl/>
          <w:lang w:bidi="fa-IR"/>
        </w:rPr>
        <w:t xml:space="preserve"> به عکس سیره بر عدم تعزیر وجود دارد.</w:t>
      </w:r>
    </w:p>
    <w:p w:rsidR="00A523EA" w:rsidRPr="006A2714" w:rsidRDefault="006A2714" w:rsidP="00A8100E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A523EA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برای ثبوت تعزیر در حد قذف به چهار دلیل استشهاد کردیم. و این ادله محل خدشه قرار گرفت. چه دلیل اول و دوم که </w:t>
      </w:r>
      <w:r w:rsidR="00A523EA" w:rsidRPr="006A2714">
        <w:rPr>
          <w:rFonts w:ascii="IRBadr" w:hAnsi="IRBadr" w:cs="IRBadr"/>
          <w:sz w:val="28"/>
          <w:szCs w:val="28"/>
          <w:rtl/>
          <w:lang w:bidi="fa-IR"/>
        </w:rPr>
        <w:t xml:space="preserve">می‌خواست 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قاعده کلی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23EA" w:rsidRPr="006A2714">
        <w:rPr>
          <w:rFonts w:ascii="IRBadr" w:hAnsi="IRBadr" w:cs="IRBadr"/>
          <w:sz w:val="28"/>
          <w:szCs w:val="28"/>
          <w:rtl/>
          <w:lang w:bidi="fa-IR"/>
        </w:rPr>
        <w:t xml:space="preserve">ارائه 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کند. چه دلیل سوم و چهارم که روایت مخصوص باب قذف بود. بنابراین ما تا اینجا دلیلی برای ثبوت تعزیر فی کل معصیه که از ناحیه صبی صادر می‌شود، نداریم.</w:t>
      </w:r>
    </w:p>
    <w:p w:rsidR="00A523EA" w:rsidRPr="006A2714" w:rsidRDefault="00A523EA" w:rsidP="00A8100E">
      <w:pPr>
        <w:pStyle w:val="Heading2"/>
        <w:rPr>
          <w:rFonts w:ascii="IRBadr" w:hAnsi="IRBadr" w:cs="IRBadr"/>
          <w:rtl/>
        </w:rPr>
      </w:pPr>
      <w:bookmarkStart w:id="4" w:name="_Toc426361537"/>
      <w:r w:rsidRPr="006A2714">
        <w:rPr>
          <w:rFonts w:ascii="IRBadr" w:hAnsi="IRBadr" w:cs="IRBadr"/>
          <w:rtl/>
        </w:rPr>
        <w:t>نتیجه دوم</w:t>
      </w:r>
      <w:bookmarkEnd w:id="4"/>
    </w:p>
    <w:p w:rsidR="00A523EA" w:rsidRPr="006A2714" w:rsidRDefault="00A523E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این نتیجه اول بود،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اینجا نتیجه دومی نیز وجود دارد که؛ در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معاصی‌ای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که برای بالغین حد وجود 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 گفته شود برای صبی نیز تعزیر ثابت است.</w:t>
      </w:r>
    </w:p>
    <w:p w:rsidR="00A523EA" w:rsidRPr="006A2714" w:rsidRDefault="00A523EA" w:rsidP="00A8100E">
      <w:pPr>
        <w:pStyle w:val="Heading2"/>
        <w:rPr>
          <w:rFonts w:ascii="IRBadr" w:hAnsi="IRBadr" w:cs="IRBadr"/>
          <w:rtl/>
        </w:rPr>
      </w:pPr>
      <w:bookmarkStart w:id="5" w:name="_Toc426361538"/>
      <w:r w:rsidRPr="006A2714">
        <w:rPr>
          <w:rFonts w:ascii="IRBadr" w:hAnsi="IRBadr" w:cs="IRBadr"/>
          <w:rtl/>
        </w:rPr>
        <w:t>نتیجه سوم</w:t>
      </w:r>
      <w:bookmarkEnd w:id="5"/>
    </w:p>
    <w:p w:rsidR="00A523EA" w:rsidRPr="006A2714" w:rsidRDefault="00A523E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اگر برای کسی شهرت قوی ثابت شود و مبانی ذکر شده در روایت را بپذیرد،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 برای قذف تعزیر قائل شود.</w:t>
      </w:r>
    </w:p>
    <w:p w:rsidR="00A523EA" w:rsidRPr="006A2714" w:rsidRDefault="00A523EA" w:rsidP="00A8100E">
      <w:pPr>
        <w:pStyle w:val="Heading2"/>
        <w:rPr>
          <w:rFonts w:ascii="IRBadr" w:hAnsi="IRBadr" w:cs="IRBadr"/>
          <w:rtl/>
        </w:rPr>
      </w:pPr>
      <w:bookmarkStart w:id="6" w:name="_Toc426361539"/>
      <w:r w:rsidRPr="006A2714">
        <w:rPr>
          <w:rFonts w:ascii="IRBadr" w:hAnsi="IRBadr" w:cs="IRBadr"/>
          <w:rtl/>
        </w:rPr>
        <w:lastRenderedPageBreak/>
        <w:t>اتخاذ مبنا</w:t>
      </w:r>
      <w:bookmarkEnd w:id="6"/>
    </w:p>
    <w:p w:rsidR="00A523EA" w:rsidRPr="006A2714" w:rsidRDefault="00A523E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طبق نظر ما،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نتیجه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اول و دوم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 نتیجه سوم محل تردید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ازآنجاکه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حدود نیازمند دلیلی برای ثبوت هستیم و اصل نیز عدم تعزیر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تعزیری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مگر در موارد بیان شده توسط دلیل خاص وجود ندارد.</w:t>
      </w:r>
    </w:p>
    <w:p w:rsidR="00A523EA" w:rsidRPr="006A2714" w:rsidRDefault="00A523EA" w:rsidP="00A8100E">
      <w:pPr>
        <w:pStyle w:val="Heading3"/>
        <w:rPr>
          <w:rFonts w:ascii="IRBadr" w:hAnsi="IRBadr" w:cs="IRBadr"/>
          <w:rtl/>
        </w:rPr>
      </w:pPr>
      <w:bookmarkStart w:id="7" w:name="_Toc426361540"/>
      <w:r w:rsidRPr="006A2714">
        <w:rPr>
          <w:rFonts w:ascii="IRBadr" w:hAnsi="IRBadr" w:cs="IRBadr"/>
          <w:rtl/>
        </w:rPr>
        <w:t>حق تأدیب</w:t>
      </w:r>
      <w:bookmarkEnd w:id="7"/>
    </w:p>
    <w:p w:rsidR="00A523EA" w:rsidRPr="006A2714" w:rsidRDefault="00A523E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در مباحث پیشین به این امر اشاره شد که حق تعزیر با حق تأدیب دو امر متفاوت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ولی صبی حق تأدیب او وجود دارد و نیازمند ادله تعزیر برای اثبات آن نیستیم.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تأدیب روایاتی وجود دارد که این حق را برای ولی او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برمی‌شمارد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90A6C" w:rsidRPr="006A2714" w:rsidRDefault="00C90A6C" w:rsidP="00A8100E">
      <w:pPr>
        <w:pStyle w:val="Heading3"/>
        <w:rPr>
          <w:rFonts w:ascii="IRBadr" w:hAnsi="IRBadr" w:cs="IRBadr"/>
          <w:rtl/>
        </w:rPr>
      </w:pPr>
      <w:bookmarkStart w:id="8" w:name="_Toc426361541"/>
      <w:r w:rsidRPr="006A2714">
        <w:rPr>
          <w:rFonts w:ascii="IRBadr" w:hAnsi="IRBadr" w:cs="IRBadr"/>
          <w:rtl/>
        </w:rPr>
        <w:t>اتخاذ مبنا</w:t>
      </w:r>
      <w:bookmarkEnd w:id="8"/>
    </w:p>
    <w:p w:rsidR="00C90A6C" w:rsidRPr="006A2714" w:rsidRDefault="00C90A6C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لازم است به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نیز در این برهه اشاره شود که ادعای عدم وجود سیره توسط آقای گلپایگانی ادعایی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90A6C" w:rsidRPr="006A2714" w:rsidRDefault="00C90A6C" w:rsidP="00A8100E">
      <w:pPr>
        <w:pStyle w:val="Heading3"/>
        <w:rPr>
          <w:rFonts w:ascii="IRBadr" w:hAnsi="IRBadr" w:cs="IRBadr"/>
          <w:rtl/>
        </w:rPr>
      </w:pPr>
      <w:bookmarkStart w:id="9" w:name="_Toc426361542"/>
      <w:r w:rsidRPr="006A2714">
        <w:rPr>
          <w:rFonts w:ascii="IRBadr" w:hAnsi="IRBadr" w:cs="IRBadr"/>
          <w:rtl/>
        </w:rPr>
        <w:t>نکاتی در قبال سیره</w:t>
      </w:r>
      <w:bookmarkEnd w:id="9"/>
    </w:p>
    <w:p w:rsidR="00C90A6C" w:rsidRPr="006A2714" w:rsidRDefault="00C90A6C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در قبال سیره،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به دو نکته توجه داشت؛</w:t>
      </w:r>
    </w:p>
    <w:p w:rsidR="00C90A6C" w:rsidRPr="006A2714" w:rsidRDefault="00C90A6C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اولین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نکته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 که میان عدم وجود سیره و سیره بر عدم باید تفکیک صورت بگیرد،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دو تفاوت آشکاری با یکدیگر دارند.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وجود سیره چندان دلیلیتی ندارد،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اثبات سیره بر عدم آن امری دشوار است. نکته دوم اینکه؛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سیره نیز وجود داشته باشد،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سیره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دلیلی لبی است و قدر متیقن آن ترک واجبات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معاصی دشوار است که بتوان بدان تمسک نمود.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در</w:t>
      </w:r>
      <w:r w:rsidR="006A2714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زم</w:t>
      </w:r>
      <w:r w:rsidR="006A2714">
        <w:rPr>
          <w:rFonts w:ascii="IRBadr" w:hAnsi="IRBadr" w:cs="IRBadr" w:hint="cs"/>
          <w:sz w:val="28"/>
          <w:szCs w:val="28"/>
          <w:rtl/>
          <w:lang w:bidi="fa-IR"/>
        </w:rPr>
        <w:t>ینه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دقیق‌تری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وجود دارد که در این مجال جای بحث از آن نیست.</w:t>
      </w:r>
    </w:p>
    <w:p w:rsidR="00C90A6C" w:rsidRPr="006A2714" w:rsidRDefault="00C90A6C" w:rsidP="00A8100E">
      <w:pPr>
        <w:pStyle w:val="Heading3"/>
        <w:rPr>
          <w:rFonts w:ascii="IRBadr" w:hAnsi="IRBadr" w:cs="IRBadr"/>
          <w:rtl/>
        </w:rPr>
      </w:pPr>
      <w:bookmarkStart w:id="10" w:name="_Toc426361543"/>
      <w:r w:rsidRPr="006A2714">
        <w:rPr>
          <w:rFonts w:ascii="IRBadr" w:hAnsi="IRBadr" w:cs="IRBadr"/>
          <w:rtl/>
        </w:rPr>
        <w:t>شروط قذف</w:t>
      </w:r>
      <w:bookmarkEnd w:id="10"/>
    </w:p>
    <w:p w:rsidR="00C90A6C" w:rsidRPr="006A2714" w:rsidRDefault="00C90A6C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شروط تحقق قذف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قرار گرفت و گفتیم 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اول آن بلوغ است و پس از آن لازم است که فرد عقل داشته باشد لذا در مجنون حد قذف اجرا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حین قذف گرفتار جنون باشد حد منتفی خواهد بود چه این جنون ادواری و چه اطباقی باشد.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اگر مجنون ادواری در حال سلامت مرتکب آن شده بود،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مستحق حد است.</w:t>
      </w:r>
    </w:p>
    <w:p w:rsidR="00C90A6C" w:rsidRPr="006A2714" w:rsidRDefault="00C90A6C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ممکن است کسی ادعا کند ادله،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از مجنون انصراف 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ادله حد که به خاطر قاعده درع،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انصراف از قوت بیشتری برخوردار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90A6C" w:rsidRPr="006A2714" w:rsidRDefault="00EF7E67" w:rsidP="00A8100E">
      <w:pPr>
        <w:pStyle w:val="Heading3"/>
        <w:rPr>
          <w:rFonts w:ascii="IRBadr" w:hAnsi="IRBadr" w:cs="IRBadr"/>
          <w:rtl/>
        </w:rPr>
      </w:pPr>
      <w:bookmarkStart w:id="11" w:name="_Toc426361544"/>
      <w:r w:rsidRPr="006A2714">
        <w:rPr>
          <w:rFonts w:ascii="IRBadr" w:hAnsi="IRBadr" w:cs="IRBadr"/>
          <w:rtl/>
        </w:rPr>
        <w:lastRenderedPageBreak/>
        <w:t>دلیل دوم انصراف</w:t>
      </w:r>
      <w:bookmarkEnd w:id="11"/>
    </w:p>
    <w:p w:rsidR="00EF7E67" w:rsidRPr="006A2714" w:rsidRDefault="00EF7E6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دلیل دوم،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رفع قلم از صبی و مجنون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گفتیم دلیل رفع قلم مطلق تکالیف را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احکام تکلیفی و چه احکام وضعی.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یا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اینکه گفته شود حکم تکلیفی را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بگوییم رفع حکم تکلیفی ملازم رفع حد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رفع کلی محقق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F7E67" w:rsidRPr="006A2714" w:rsidRDefault="00EF7E67" w:rsidP="00A8100E">
      <w:pPr>
        <w:pStyle w:val="Heading3"/>
        <w:rPr>
          <w:rFonts w:ascii="IRBadr" w:hAnsi="IRBadr" w:cs="IRBadr"/>
          <w:rtl/>
        </w:rPr>
      </w:pPr>
      <w:bookmarkStart w:id="12" w:name="_Toc426361545"/>
      <w:r w:rsidRPr="006A2714">
        <w:rPr>
          <w:rFonts w:ascii="IRBadr" w:hAnsi="IRBadr" w:cs="IRBadr"/>
          <w:rtl/>
        </w:rPr>
        <w:t>دلیل سوم</w:t>
      </w:r>
      <w:bookmarkEnd w:id="12"/>
    </w:p>
    <w:p w:rsidR="00EF7E67" w:rsidRPr="006A2714" w:rsidRDefault="00EF7E6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دلیل سوم نیز روایتی است معتبره از 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>حماد بن عیسی،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ابواب مقدمات حدود، باب هشت، حدیث اول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سند معتبری دارد.</w:t>
      </w:r>
    </w:p>
    <w:p w:rsidR="00A8100E" w:rsidRPr="006A2714" w:rsidRDefault="00A8100E" w:rsidP="00A8100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«لا حدّ عل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المجنون و الصب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 النائم حتّ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ست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قظ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6A271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A8100E" w:rsidRPr="006A2714" w:rsidRDefault="00A8100E" w:rsidP="00A8100E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EF7E67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یعنی اگر </w:t>
      </w:r>
      <w:r w:rsidR="00EF7E67" w:rsidRPr="006A2714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مجنون در حال جنون عملی سر بزند، حدی بر او ثابت نیست. روایات دیگری در این بحث داریم که نشان می‌دهد که حد بر مجنون ثابت نیست و اجماعی </w:t>
      </w:r>
      <w:r w:rsidR="00EF7E67" w:rsidRPr="006A2714">
        <w:rPr>
          <w:rFonts w:ascii="IRBadr" w:hAnsi="IRBadr" w:cs="IRBadr"/>
          <w:sz w:val="28"/>
          <w:szCs w:val="28"/>
          <w:rtl/>
          <w:lang w:bidi="fa-IR"/>
        </w:rPr>
        <w:t>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ست.</w:t>
      </w:r>
    </w:p>
    <w:p w:rsidR="00EF7E67" w:rsidRPr="006A2714" w:rsidRDefault="00EF7E67" w:rsidP="00A8100E">
      <w:pPr>
        <w:pStyle w:val="Heading3"/>
        <w:rPr>
          <w:rFonts w:ascii="IRBadr" w:hAnsi="IRBadr" w:cs="IRBadr"/>
          <w:rtl/>
        </w:rPr>
      </w:pPr>
      <w:bookmarkStart w:id="13" w:name="_Toc426361546"/>
      <w:r w:rsidRPr="006A2714">
        <w:rPr>
          <w:rFonts w:ascii="IRBadr" w:hAnsi="IRBadr" w:cs="IRBadr"/>
          <w:rtl/>
        </w:rPr>
        <w:t>دلیل چهارم</w:t>
      </w:r>
      <w:bookmarkEnd w:id="13"/>
    </w:p>
    <w:p w:rsidR="00EF7E67" w:rsidRPr="006A2714" w:rsidRDefault="00EF7E6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دلیل چهارمی که در اینجا ممکن است کسی بدان متمسک شود،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درع است.</w:t>
      </w:r>
    </w:p>
    <w:p w:rsidR="00EF7E67" w:rsidRPr="006A2714" w:rsidRDefault="00EF7E6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خطا در حال سلامت</w:t>
      </w:r>
    </w:p>
    <w:p w:rsidR="00EF7E67" w:rsidRPr="006A2714" w:rsidRDefault="00EF7E6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فرع دیگری که از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دوم در تحیر وجود 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 که اگر در حال سلامت از او فعلی که مستحق حد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صادر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شود،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از آن بلافاصله گرفتار جنون 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مجالی برای اجرای حد وجود نداشت یا اینکه عذری در اجرای آن پیش آمد،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اینجا تکلیف چیست؟</w:t>
      </w:r>
    </w:p>
    <w:p w:rsidR="00EF7E67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در اینجا دو دلیل مقابل هم قرار می‌گیرد. یک دلیل مطلقاتی است که می‌گوید </w:t>
      </w:r>
      <w:r w:rsidR="00EF7E67" w:rsidRPr="006A2714">
        <w:rPr>
          <w:rFonts w:ascii="IRBadr" w:hAnsi="IRBadr" w:cs="IRBadr"/>
          <w:sz w:val="28"/>
          <w:szCs w:val="28"/>
          <w:rtl/>
          <w:lang w:bidi="fa-IR"/>
        </w:rPr>
        <w:t>مدتی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حد نیست، هر وقت ثابت شد، حد را باید اجرا کرد. نظیر همان نماز آیات در زلزله 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>که این فوریت به نحوی استمراری است.</w:t>
      </w:r>
    </w:p>
    <w:p w:rsidR="005660FA" w:rsidRPr="006A2714" w:rsidRDefault="006A2714" w:rsidP="00A8100E">
      <w:pPr>
        <w:pStyle w:val="Heading4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مؤید</w:t>
      </w:r>
      <w:r w:rsidR="005660FA" w:rsidRPr="006A2714">
        <w:rPr>
          <w:rFonts w:ascii="IRBadr" w:hAnsi="IRBadr" w:cs="IRBadr"/>
          <w:rtl/>
        </w:rPr>
        <w:t xml:space="preserve"> اطلاق فوق</w:t>
      </w:r>
    </w:p>
    <w:p w:rsidR="00A8100E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lastRenderedPageBreak/>
        <w:t>اطلاق این اقتضا می‌کند که اگر این شخص مجنون هم ش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>ود، باید اجرا گردد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 برای اینکه فوراً ففوراً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 xml:space="preserve"> بر اینکه در اینجا دلیل خاصی نیز وجود دارد که این اطلاق را تأیید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8100E" w:rsidRPr="006A2714" w:rsidRDefault="0091149A" w:rsidP="00A8100E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الْحَسَنُ بْنُ مَحْبُوبٍ عَنْ عَلِ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رِئَابٍ عَنْ أَبِ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عُبَ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دَةَ عَنْ أَبِ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فِ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وَجَبَ عَلَ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حَدٌّ فَلَمْ 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ضْرَبْ حَتَّ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خُولِطَ فَقَالَ إِنْ 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أَوْجَبَ عَلَ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نَفْسِهِ الْحَدَّ وَ هُوَ صَحِ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حٌ لَا عِلَّةَ بِهِ مِنْ ذَهَابِ عَقْلٍ أُقِ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عَلَ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الْحَدُّ 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ائِناً مَا 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A8100E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A8100E" w:rsidRPr="006A271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5660FA" w:rsidRPr="006A2714" w:rsidRDefault="005660F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سند روایت سند مطلوبی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سند مرحوم صدوق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سندی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نیز شیخ دارد که هر دو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معتبر هستند.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مردی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بر او حد ثابت شد، ولی اجرا نشد تا اینکه مبتلای به جنون 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گشت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. امام باقر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جواب دادند، حد را بر خودش ثابت کرده است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صحیح بوده است. یعنی موجب حد در حال سلامت از او صادر شده است.</w:t>
      </w:r>
    </w:p>
    <w:p w:rsidR="005660FA" w:rsidRPr="006A2714" w:rsidRDefault="005660FA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معنای خوله در روایت</w:t>
      </w:r>
    </w:p>
    <w:p w:rsidR="005660FA" w:rsidRPr="006A2714" w:rsidRDefault="005660F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البته برخی ادعا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که خوله در روایت به معنای حالتی شبیه به جنون است و مراد خود جنون نبوده و مربوط به این بحث نیست.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="0045335D" w:rsidRPr="006A2714">
        <w:rPr>
          <w:rFonts w:ascii="IRBadr" w:hAnsi="IRBadr" w:cs="IRBadr"/>
          <w:sz w:val="28"/>
          <w:szCs w:val="28"/>
          <w:rtl/>
          <w:lang w:bidi="fa-IR"/>
        </w:rPr>
        <w:t xml:space="preserve"> گلپایگانی چنین احتمالی داده است.</w:t>
      </w:r>
    </w:p>
    <w:p w:rsidR="005660FA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خوله گاهی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به‌مراتب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پایین‌تر از جنون هم اطلاق می‌شود، ولی این اشکال وارد نیست، برای اینکه در جواب امام دارد، و هو صحیح لا عله به لذهاب عقل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>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 xml:space="preserve"> به قرینه مقابله احتمال داده شده دفع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660FA"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660FA" w:rsidRPr="006A2714" w:rsidRDefault="005660FA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حکم عقلی مردود</w:t>
      </w:r>
    </w:p>
    <w:p w:rsidR="005660FA" w:rsidRPr="006A2714" w:rsidRDefault="005660F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جای تعجب وجود دارد که آقای گلپایگانی در اینجا فرموده است؛ حکم عقلی قطعی وجود دارد که به این روایت در اینجا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عمل کرد،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فلسفه‌ای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برای جاری کردن حد بر فرد مجنون دیده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امری است که عقل آن را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نمی‌پسندد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. این از مدود مواردی است که ایشان حکم روایت معتبری را با حکمی عقلی کنار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می‌گذارد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مناقشه در استدلال فوق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مناقشه اول</w:t>
      </w:r>
    </w:p>
    <w:p w:rsidR="006035E7" w:rsidRPr="006A2714" w:rsidRDefault="006035E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مناقشه اولی که در دلیل ایشان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نمود،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خوله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ظهور در تعمیم دارد.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مناقشه دوم</w:t>
      </w:r>
    </w:p>
    <w:p w:rsidR="006035E7" w:rsidRPr="006A2714" w:rsidRDefault="006A2714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هنگامی‌که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روایتی با سندی معتبر وجود 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نمی‌توان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با دلیلی عقلی آن را کنار گذاشت.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شاید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فلسفه‌های</w:t>
      </w:r>
      <w:r w:rsidR="006035E7" w:rsidRPr="006A2714">
        <w:rPr>
          <w:rFonts w:ascii="IRBadr" w:hAnsi="IRBadr" w:cs="IRBadr"/>
          <w:sz w:val="28"/>
          <w:szCs w:val="28"/>
          <w:rtl/>
          <w:lang w:bidi="fa-IR"/>
        </w:rPr>
        <w:t xml:space="preserve"> دیگری وجود داشته باشد که عقل از فهم آن قاصر باشد.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دو احتمال در روایت حماد</w:t>
      </w:r>
    </w:p>
    <w:p w:rsidR="006035E7" w:rsidRPr="006A2714" w:rsidRDefault="006035E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در روایت حماد بن عیسی که بیان 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احتمال وجود دارد؛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احتمال اول</w:t>
      </w:r>
    </w:p>
    <w:p w:rsidR="006035E7" w:rsidRPr="006A2714" w:rsidRDefault="006035E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احتمال اول اینکه؛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روایت این است که اگر در حال جنون از او عملی صادر 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حد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احتمال دوم</w:t>
      </w:r>
    </w:p>
    <w:p w:rsidR="006035E7" w:rsidRPr="006A2714" w:rsidRDefault="006035E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و احتمال دومی نیز وجود دارد که؛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حال جنون حد بر او جاری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به خاطر قرائنی که در اینجا وجود دارد،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همین احتمال دوم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در مجنون دلیلی نداریم که هر معصیتی که از او صادر 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قطعاً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دلیل مطلقی در اینجا وجود ندارد.</w:t>
      </w:r>
    </w:p>
    <w:p w:rsidR="006035E7" w:rsidRPr="006A2714" w:rsidRDefault="006035E7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شرط اختیار</w:t>
      </w:r>
    </w:p>
    <w:p w:rsidR="006035E7" w:rsidRPr="006A2714" w:rsidRDefault="006035E7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>شرط دیگری که در تحقق قذف لازم است،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اختیار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 xml:space="preserve"> اگر در حال اکراه قذف از او صادر شده باشد،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 xml:space="preserve"> رفع قلم او را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در برگرفته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 xml:space="preserve"> و حد ثابت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8100E" w:rsidRPr="006A2714" w:rsidRDefault="00A8100E" w:rsidP="00A8100E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عَلِ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الْحُسَ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التَّوْحِ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دِ وَ الْخِصَالِ عَنْ أَحْمَدَ بْنِ مُحَمَّدِ بْنِ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سَعْدِ بْنِ عَبْدِ اللَّهِ عَنْ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عْقُوبَ بْنِ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 عَنْ حَمَّادِ بْنِ عِ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حَرِ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زِ بْنِ عَبْدِ اللَّهِ عَنْ أَبِ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قَالَ رَسُولُ اللَّهِ ص رُفِعَ عَنْ أُمَّتِ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تِسْعَةُ أَشْ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اءَ الْخَطَأُ وَ النِّسْ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انُ- وَ مَا أُ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رِهُوا عَلَ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وَ مَا لَا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عْلَمُونَ- وَ مَا لَا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قُونَ وَ مَا اضْطُرُّوا إِلَ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هِ- وَ الْحَسَدُ وَ الطِّ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رَةُ- وَ التَّفَ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فِ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الْوَسْوَسَةِ فِ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الْخَلْوَةِ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 لَمْ </w:t>
      </w:r>
      <w:r w:rsidR="0091149A"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A271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نْطِقُوا بِشَفَةٍ.»</w:t>
      </w:r>
      <w:r w:rsidRPr="006A271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A8100E" w:rsidRPr="006A2714" w:rsidRDefault="00A8100E" w:rsidP="00A8100E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0D775A" w:rsidRPr="006A2714" w:rsidRDefault="0045335D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حدیث رفع سه نوع نقل شده است. سه یا شش یا نه 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 xml:space="preserve">امر 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د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 xml:space="preserve">ر احادیث معتبره رفع شده است که یکی از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0D775A" w:rsidRPr="006A2714">
        <w:rPr>
          <w:rFonts w:ascii="IRBadr" w:hAnsi="IRBadr" w:cs="IRBadr"/>
          <w:sz w:val="28"/>
          <w:szCs w:val="28"/>
          <w:rtl/>
          <w:lang w:bidi="fa-IR"/>
        </w:rPr>
        <w:t>ین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0D775A" w:rsidRPr="006A2714" w:rsidRDefault="000D775A" w:rsidP="00A8100E">
      <w:pPr>
        <w:pStyle w:val="Heading4"/>
        <w:ind w:firstLine="0"/>
        <w:rPr>
          <w:rFonts w:ascii="IRBadr" w:hAnsi="IRBadr" w:cs="IRBadr"/>
          <w:rtl/>
        </w:rPr>
      </w:pPr>
      <w:r w:rsidRPr="006A2714">
        <w:rPr>
          <w:rFonts w:ascii="IRBadr" w:hAnsi="IRBadr" w:cs="IRBadr"/>
          <w:rtl/>
        </w:rPr>
        <w:t>شرط قصد</w:t>
      </w:r>
    </w:p>
    <w:p w:rsidR="000D775A" w:rsidRPr="006A2714" w:rsidRDefault="000D775A" w:rsidP="00A8100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2714">
        <w:rPr>
          <w:rFonts w:ascii="IRBadr" w:hAnsi="IRBadr" w:cs="IRBadr"/>
          <w:sz w:val="28"/>
          <w:szCs w:val="28"/>
          <w:rtl/>
          <w:lang w:bidi="fa-IR"/>
        </w:rPr>
        <w:lastRenderedPageBreak/>
        <w:t>شرط دیگری که در ابواب دیگر نیز جاری بود،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قصد است.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او در حال قذف باید قصد جدی داشته باشد و هزل و سهو و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غفلت از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خارج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اگر با این حالات قذفی از او صادر شود،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از او انصراف پیدا 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>.</w:t>
      </w:r>
      <w:r w:rsidR="0091149A" w:rsidRPr="006A271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2714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Pr="006A2714">
        <w:rPr>
          <w:rFonts w:ascii="IRBadr" w:hAnsi="IRBadr" w:cs="IRBadr"/>
          <w:sz w:val="28"/>
          <w:szCs w:val="28"/>
          <w:rtl/>
          <w:lang w:bidi="fa-IR"/>
        </w:rPr>
        <w:t xml:space="preserve"> اینکه در اینجا قاعده درع نیز وجود دارد.</w:t>
      </w:r>
    </w:p>
    <w:p w:rsidR="00152670" w:rsidRPr="006A2714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6A2714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A" w:rsidRDefault="0071546A" w:rsidP="000D5800">
      <w:pPr>
        <w:spacing w:after="0" w:line="240" w:lineRule="auto"/>
      </w:pPr>
      <w:r>
        <w:separator/>
      </w:r>
    </w:p>
  </w:endnote>
  <w:endnote w:type="continuationSeparator" w:id="0">
    <w:p w:rsidR="0071546A" w:rsidRDefault="0071546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A" w:rsidRDefault="0071546A" w:rsidP="007B732F">
      <w:pPr>
        <w:bidi/>
        <w:spacing w:after="0" w:line="240" w:lineRule="auto"/>
      </w:pPr>
      <w:r>
        <w:separator/>
      </w:r>
    </w:p>
  </w:footnote>
  <w:footnote w:type="continuationSeparator" w:id="0">
    <w:p w:rsidR="0071546A" w:rsidRDefault="0071546A" w:rsidP="000D5800">
      <w:pPr>
        <w:spacing w:after="0" w:line="240" w:lineRule="auto"/>
      </w:pPr>
      <w:r>
        <w:continuationSeparator/>
      </w:r>
    </w:p>
  </w:footnote>
  <w:footnote w:id="1">
    <w:p w:rsidR="00A8100E" w:rsidRDefault="00A810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100E">
        <w:rPr>
          <w:rFonts w:ascii="Noor_Titr" w:hAnsi="Noor_Titr" w:cs="B Badr" w:hint="cs"/>
          <w:color w:val="000000" w:themeColor="text1"/>
          <w:rtl/>
        </w:rPr>
        <w:t xml:space="preserve">من لا </w:t>
      </w:r>
      <w:r w:rsidR="0091149A">
        <w:rPr>
          <w:rFonts w:ascii="Noor_Titr" w:hAnsi="Noor_Titr" w:cs="B Badr" w:hint="cs"/>
          <w:color w:val="000000" w:themeColor="text1"/>
          <w:rtl/>
        </w:rPr>
        <w:t>ی</w:t>
      </w:r>
      <w:r w:rsidRPr="00A8100E">
        <w:rPr>
          <w:rFonts w:ascii="Noor_Titr" w:hAnsi="Noor_Titr" w:cs="B Badr" w:hint="cs"/>
          <w:color w:val="000000" w:themeColor="text1"/>
          <w:rtl/>
        </w:rPr>
        <w:t>حضره الفق</w:t>
      </w:r>
      <w:r w:rsidR="0091149A">
        <w:rPr>
          <w:rFonts w:ascii="Noor_Titr" w:hAnsi="Noor_Titr" w:cs="B Badr" w:hint="cs"/>
          <w:color w:val="000000" w:themeColor="text1"/>
          <w:rtl/>
        </w:rPr>
        <w:t>ی</w:t>
      </w:r>
      <w:r w:rsidRPr="00A8100E">
        <w:rPr>
          <w:rFonts w:ascii="Noor_Titr" w:hAnsi="Noor_Titr" w:cs="B Badr" w:hint="cs"/>
          <w:color w:val="000000" w:themeColor="text1"/>
          <w:rtl/>
        </w:rPr>
        <w:t xml:space="preserve">ه؛ </w:t>
      </w:r>
      <w:r w:rsidR="0091149A">
        <w:rPr>
          <w:rFonts w:ascii="Noor_Titr" w:hAnsi="Noor_Titr" w:cs="B Badr"/>
          <w:color w:val="000000" w:themeColor="text1"/>
          <w:rtl/>
        </w:rPr>
        <w:t>ج 4</w:t>
      </w:r>
      <w:r w:rsidRPr="00A8100E">
        <w:rPr>
          <w:rFonts w:ascii="Noor_Titr" w:hAnsi="Noor_Titr" w:cs="B Badr" w:hint="cs"/>
          <w:color w:val="000000" w:themeColor="text1"/>
          <w:rtl/>
        </w:rPr>
        <w:t>، ص: 557</w:t>
      </w:r>
    </w:p>
  </w:footnote>
  <w:footnote w:id="2">
    <w:p w:rsidR="00A8100E" w:rsidRDefault="00A8100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100E">
        <w:rPr>
          <w:rFonts w:ascii="Noor_Titr" w:hAnsi="Noor_Titr" w:cs="B Badr" w:hint="cs"/>
          <w:color w:val="000000" w:themeColor="text1"/>
          <w:rtl/>
        </w:rPr>
        <w:t xml:space="preserve">من لا </w:t>
      </w:r>
      <w:r w:rsidR="0091149A">
        <w:rPr>
          <w:rFonts w:ascii="Noor_Titr" w:hAnsi="Noor_Titr" w:cs="B Badr" w:hint="cs"/>
          <w:color w:val="000000" w:themeColor="text1"/>
          <w:rtl/>
        </w:rPr>
        <w:t>ی</w:t>
      </w:r>
      <w:r w:rsidRPr="00A8100E">
        <w:rPr>
          <w:rFonts w:ascii="Noor_Titr" w:hAnsi="Noor_Titr" w:cs="B Badr" w:hint="cs"/>
          <w:color w:val="000000" w:themeColor="text1"/>
          <w:rtl/>
        </w:rPr>
        <w:t>حضره الفق</w:t>
      </w:r>
      <w:r w:rsidR="0091149A">
        <w:rPr>
          <w:rFonts w:ascii="Noor_Titr" w:hAnsi="Noor_Titr" w:cs="B Badr" w:hint="cs"/>
          <w:color w:val="000000" w:themeColor="text1"/>
          <w:rtl/>
        </w:rPr>
        <w:t>ی</w:t>
      </w:r>
      <w:r w:rsidRPr="00A8100E">
        <w:rPr>
          <w:rFonts w:ascii="Noor_Titr" w:hAnsi="Noor_Titr" w:cs="B Badr" w:hint="cs"/>
          <w:color w:val="000000" w:themeColor="text1"/>
          <w:rtl/>
        </w:rPr>
        <w:t xml:space="preserve">ه؛ </w:t>
      </w:r>
      <w:r w:rsidR="0091149A">
        <w:rPr>
          <w:rFonts w:ascii="Noor_Titr" w:hAnsi="Noor_Titr" w:cs="B Badr"/>
          <w:color w:val="000000" w:themeColor="text1"/>
          <w:rtl/>
        </w:rPr>
        <w:t>ج 4</w:t>
      </w:r>
      <w:r w:rsidRPr="00A8100E">
        <w:rPr>
          <w:rFonts w:ascii="Noor_Titr" w:hAnsi="Noor_Titr" w:cs="B Badr" w:hint="cs"/>
          <w:color w:val="000000" w:themeColor="text1"/>
          <w:rtl/>
        </w:rPr>
        <w:t>، ص: 42</w:t>
      </w:r>
    </w:p>
  </w:footnote>
  <w:footnote w:id="3">
    <w:p w:rsidR="00A8100E" w:rsidRDefault="00A8100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8100E">
        <w:rPr>
          <w:rFonts w:ascii="Noor_Titr" w:hAnsi="Noor_Titr" w:cs="B Badr" w:hint="cs"/>
          <w:color w:val="000000" w:themeColor="text1"/>
          <w:rtl/>
        </w:rPr>
        <w:t>وسائل الش</w:t>
      </w:r>
      <w:r w:rsidR="0091149A">
        <w:rPr>
          <w:rFonts w:ascii="Noor_Titr" w:hAnsi="Noor_Titr" w:cs="B Badr" w:hint="cs"/>
          <w:color w:val="000000" w:themeColor="text1"/>
          <w:rtl/>
        </w:rPr>
        <w:t>ی</w:t>
      </w:r>
      <w:r w:rsidRPr="00A8100E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91149A">
        <w:rPr>
          <w:rFonts w:ascii="Noor_Titr" w:hAnsi="Noor_Titr" w:cs="B Badr"/>
          <w:color w:val="000000" w:themeColor="text1"/>
          <w:rtl/>
        </w:rPr>
        <w:t>ج 15</w:t>
      </w:r>
      <w:r w:rsidRPr="00A8100E">
        <w:rPr>
          <w:rFonts w:ascii="Noor_Titr" w:hAnsi="Noor_Titr" w:cs="B Badr" w:hint="cs"/>
          <w:color w:val="000000" w:themeColor="text1"/>
          <w:rtl/>
        </w:rPr>
        <w:t>، ص: 369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5335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A4693D" wp14:editId="07662A0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74C32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7567BC83" wp14:editId="27B7E99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91149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5335D">
      <w:rPr>
        <w:rFonts w:ascii="IranNastaliq" w:hAnsi="IranNastaliq" w:cs="IranNastaliq" w:hint="cs"/>
        <w:sz w:val="40"/>
        <w:szCs w:val="40"/>
        <w:rtl/>
      </w:rPr>
      <w:t>803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775A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1080"/>
    <w:rsid w:val="00270294"/>
    <w:rsid w:val="00290FCA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C7A32"/>
    <w:rsid w:val="003D2F0A"/>
    <w:rsid w:val="003D563F"/>
    <w:rsid w:val="003E1E58"/>
    <w:rsid w:val="00405199"/>
    <w:rsid w:val="00410699"/>
    <w:rsid w:val="00415360"/>
    <w:rsid w:val="0044591E"/>
    <w:rsid w:val="0045335D"/>
    <w:rsid w:val="004651D2"/>
    <w:rsid w:val="00465D26"/>
    <w:rsid w:val="004679F8"/>
    <w:rsid w:val="004B337F"/>
    <w:rsid w:val="004F3596"/>
    <w:rsid w:val="00524917"/>
    <w:rsid w:val="005660FA"/>
    <w:rsid w:val="00572E2D"/>
    <w:rsid w:val="00592103"/>
    <w:rsid w:val="005941DD"/>
    <w:rsid w:val="005A545E"/>
    <w:rsid w:val="005A5862"/>
    <w:rsid w:val="005B0852"/>
    <w:rsid w:val="005C06AE"/>
    <w:rsid w:val="006035E7"/>
    <w:rsid w:val="00610C18"/>
    <w:rsid w:val="00612385"/>
    <w:rsid w:val="0061376C"/>
    <w:rsid w:val="00636EFA"/>
    <w:rsid w:val="0066229C"/>
    <w:rsid w:val="0069696C"/>
    <w:rsid w:val="006A085A"/>
    <w:rsid w:val="006A2714"/>
    <w:rsid w:val="006D3A87"/>
    <w:rsid w:val="006F01B4"/>
    <w:rsid w:val="0071546A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B732F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149A"/>
    <w:rsid w:val="00913C3B"/>
    <w:rsid w:val="00915509"/>
    <w:rsid w:val="00927388"/>
    <w:rsid w:val="009274FE"/>
    <w:rsid w:val="009401AC"/>
    <w:rsid w:val="009613AC"/>
    <w:rsid w:val="00964536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23EA"/>
    <w:rsid w:val="00A5418D"/>
    <w:rsid w:val="00A725C2"/>
    <w:rsid w:val="00A769EE"/>
    <w:rsid w:val="00A8100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0A6C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2FD2"/>
    <w:rsid w:val="00E83A85"/>
    <w:rsid w:val="00E90FC4"/>
    <w:rsid w:val="00EA01EC"/>
    <w:rsid w:val="00EA15B0"/>
    <w:rsid w:val="00EA5D97"/>
    <w:rsid w:val="00EC4393"/>
    <w:rsid w:val="00EC7268"/>
    <w:rsid w:val="00EE1C07"/>
    <w:rsid w:val="00EE2C91"/>
    <w:rsid w:val="00EE3979"/>
    <w:rsid w:val="00EF138C"/>
    <w:rsid w:val="00EF7E67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533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8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7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533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810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7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EE9-2701-477E-99A3-93F4C33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102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8</cp:revision>
  <dcterms:created xsi:type="dcterms:W3CDTF">2014-12-22T03:54:00Z</dcterms:created>
  <dcterms:modified xsi:type="dcterms:W3CDTF">2015-07-26T16:11:00Z</dcterms:modified>
</cp:coreProperties>
</file>