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32" w:rsidRPr="00CB2FF2" w:rsidRDefault="00CD130A" w:rsidP="00BE70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2FF2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C75784" w:rsidRPr="00CB2FF2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AB68B0" w:rsidRPr="00CB2FF2" w:rsidRDefault="00AB68B0" w:rsidP="00AB68B0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r w:rsidRPr="00CB2FF2">
        <w:rPr>
          <w:rFonts w:ascii="IRBadr" w:hAnsi="IRBadr" w:cs="IRBadr"/>
          <w:sz w:val="28"/>
          <w:rtl/>
        </w:rPr>
        <w:fldChar w:fldCharType="begin"/>
      </w:r>
      <w:r w:rsidRPr="00CB2FF2">
        <w:rPr>
          <w:rFonts w:ascii="IRBadr" w:hAnsi="IRBadr" w:cs="IRBadr"/>
          <w:sz w:val="28"/>
          <w:rtl/>
        </w:rPr>
        <w:instrText xml:space="preserve"> </w:instrText>
      </w:r>
      <w:r w:rsidRPr="00CB2FF2">
        <w:rPr>
          <w:rFonts w:ascii="IRBadr" w:hAnsi="IRBadr" w:cs="IRBadr"/>
          <w:sz w:val="28"/>
        </w:rPr>
        <w:instrText>TOC</w:instrText>
      </w:r>
      <w:r w:rsidRPr="00CB2FF2">
        <w:rPr>
          <w:rFonts w:ascii="IRBadr" w:hAnsi="IRBadr" w:cs="IRBadr"/>
          <w:sz w:val="28"/>
          <w:rtl/>
        </w:rPr>
        <w:instrText xml:space="preserve"> \</w:instrText>
      </w:r>
      <w:r w:rsidRPr="00CB2FF2">
        <w:rPr>
          <w:rFonts w:ascii="IRBadr" w:hAnsi="IRBadr" w:cs="IRBadr"/>
          <w:sz w:val="28"/>
        </w:rPr>
        <w:instrText>o "</w:instrText>
      </w:r>
      <w:r w:rsidRPr="00CB2FF2">
        <w:rPr>
          <w:rFonts w:ascii="IRBadr" w:hAnsi="IRBadr" w:cs="IRBadr"/>
          <w:sz w:val="28"/>
          <w:rtl/>
        </w:rPr>
        <w:instrText>1-6</w:instrText>
      </w:r>
      <w:r w:rsidRPr="00CB2FF2">
        <w:rPr>
          <w:rFonts w:ascii="IRBadr" w:hAnsi="IRBadr" w:cs="IRBadr"/>
          <w:sz w:val="28"/>
        </w:rPr>
        <w:instrText>" \h \z \u</w:instrText>
      </w:r>
      <w:r w:rsidRPr="00CB2FF2">
        <w:rPr>
          <w:rFonts w:ascii="IRBadr" w:hAnsi="IRBadr" w:cs="IRBadr"/>
          <w:sz w:val="28"/>
          <w:rtl/>
        </w:rPr>
        <w:instrText xml:space="preserve"> </w:instrText>
      </w:r>
      <w:r w:rsidRPr="00CB2FF2">
        <w:rPr>
          <w:rFonts w:ascii="IRBadr" w:hAnsi="IRBadr" w:cs="IRBadr"/>
          <w:sz w:val="28"/>
          <w:rtl/>
        </w:rPr>
        <w:fldChar w:fldCharType="separate"/>
      </w:r>
      <w:hyperlink w:anchor="_Toc429985039" w:history="1">
        <w:r w:rsidRPr="00CB2FF2">
          <w:rPr>
            <w:rStyle w:val="Hyperlink"/>
            <w:rFonts w:ascii="IRBadr" w:hAnsi="IRBadr" w:cs="IRBadr"/>
            <w:noProof/>
            <w:rtl/>
          </w:rPr>
          <w:t>حد غیر محصن</w:t>
        </w:r>
        <w:r w:rsidRPr="00CB2FF2">
          <w:rPr>
            <w:rFonts w:ascii="IRBadr" w:hAnsi="IRBadr" w:cs="IRBadr"/>
            <w:noProof/>
            <w:webHidden/>
          </w:rPr>
          <w:tab/>
        </w:r>
        <w:r w:rsidRPr="00CB2FF2">
          <w:rPr>
            <w:rFonts w:ascii="IRBadr" w:hAnsi="IRBadr" w:cs="IRBadr"/>
            <w:noProof/>
            <w:webHidden/>
          </w:rPr>
          <w:fldChar w:fldCharType="begin"/>
        </w:r>
        <w:r w:rsidRPr="00CB2FF2">
          <w:rPr>
            <w:rFonts w:ascii="IRBadr" w:hAnsi="IRBadr" w:cs="IRBadr"/>
            <w:noProof/>
            <w:webHidden/>
          </w:rPr>
          <w:instrText xml:space="preserve"> PAGEREF _Toc429985039 \h </w:instrText>
        </w:r>
        <w:r w:rsidRPr="00CB2FF2">
          <w:rPr>
            <w:rFonts w:ascii="IRBadr" w:hAnsi="IRBadr" w:cs="IRBadr"/>
            <w:noProof/>
            <w:webHidden/>
          </w:rPr>
        </w:r>
        <w:r w:rsidRPr="00CB2FF2">
          <w:rPr>
            <w:rFonts w:ascii="IRBadr" w:hAnsi="IRBadr" w:cs="IRBadr"/>
            <w:noProof/>
            <w:webHidden/>
          </w:rPr>
          <w:fldChar w:fldCharType="separate"/>
        </w:r>
        <w:r w:rsidRPr="00CB2FF2">
          <w:rPr>
            <w:rFonts w:ascii="IRBadr" w:hAnsi="IRBadr" w:cs="IRBadr"/>
            <w:noProof/>
            <w:webHidden/>
          </w:rPr>
          <w:t>2</w:t>
        </w:r>
        <w:r w:rsidRPr="00CB2FF2">
          <w:rPr>
            <w:rFonts w:ascii="IRBadr" w:hAnsi="IRBadr" w:cs="IRBadr"/>
            <w:noProof/>
            <w:webHidden/>
          </w:rPr>
          <w:fldChar w:fldCharType="end"/>
        </w:r>
      </w:hyperlink>
    </w:p>
    <w:p w:rsidR="00AB68B0" w:rsidRPr="00CB2FF2" w:rsidRDefault="00424658" w:rsidP="00AB68B0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29985040" w:history="1">
        <w:r w:rsidR="00AB68B0" w:rsidRPr="00CB2FF2">
          <w:rPr>
            <w:rStyle w:val="Hyperlink"/>
            <w:rFonts w:ascii="IRBadr" w:hAnsi="IRBadr" w:cs="IRBadr"/>
            <w:noProof/>
            <w:rtl/>
          </w:rPr>
          <w:t>روایات در این باب</w:t>
        </w:r>
        <w:r w:rsidR="00AB68B0" w:rsidRPr="00CB2FF2">
          <w:rPr>
            <w:rFonts w:ascii="IRBadr" w:hAnsi="IRBadr" w:cs="IRBadr"/>
            <w:noProof/>
            <w:webHidden/>
          </w:rPr>
          <w:tab/>
        </w:r>
        <w:r w:rsidR="00AB68B0" w:rsidRPr="00CB2FF2">
          <w:rPr>
            <w:rFonts w:ascii="IRBadr" w:hAnsi="IRBadr" w:cs="IRBadr"/>
            <w:noProof/>
            <w:webHidden/>
          </w:rPr>
          <w:fldChar w:fldCharType="begin"/>
        </w:r>
        <w:r w:rsidR="00AB68B0" w:rsidRPr="00CB2FF2">
          <w:rPr>
            <w:rFonts w:ascii="IRBadr" w:hAnsi="IRBadr" w:cs="IRBadr"/>
            <w:noProof/>
            <w:webHidden/>
          </w:rPr>
          <w:instrText xml:space="preserve"> PAGEREF _Toc429985040 \h </w:instrText>
        </w:r>
        <w:r w:rsidR="00AB68B0" w:rsidRPr="00CB2FF2">
          <w:rPr>
            <w:rFonts w:ascii="IRBadr" w:hAnsi="IRBadr" w:cs="IRBadr"/>
            <w:noProof/>
            <w:webHidden/>
          </w:rPr>
        </w:r>
        <w:r w:rsidR="00AB68B0" w:rsidRPr="00CB2FF2">
          <w:rPr>
            <w:rFonts w:ascii="IRBadr" w:hAnsi="IRBadr" w:cs="IRBadr"/>
            <w:noProof/>
            <w:webHidden/>
          </w:rPr>
          <w:fldChar w:fldCharType="separate"/>
        </w:r>
        <w:r w:rsidR="00AB68B0" w:rsidRPr="00CB2FF2">
          <w:rPr>
            <w:rFonts w:ascii="IRBadr" w:hAnsi="IRBadr" w:cs="IRBadr"/>
            <w:noProof/>
            <w:webHidden/>
          </w:rPr>
          <w:t>2</w:t>
        </w:r>
        <w:r w:rsidR="00AB68B0" w:rsidRPr="00CB2FF2">
          <w:rPr>
            <w:rFonts w:ascii="IRBadr" w:hAnsi="IRBadr" w:cs="IRBadr"/>
            <w:noProof/>
            <w:webHidden/>
          </w:rPr>
          <w:fldChar w:fldCharType="end"/>
        </w:r>
      </w:hyperlink>
    </w:p>
    <w:p w:rsidR="00AB68B0" w:rsidRPr="00CB2FF2" w:rsidRDefault="00424658" w:rsidP="00AB68B0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29985041" w:history="1">
        <w:r w:rsidR="00AB68B0" w:rsidRPr="00CB2FF2">
          <w:rPr>
            <w:rStyle w:val="Hyperlink"/>
            <w:rFonts w:ascii="IRBadr" w:hAnsi="IRBadr" w:cs="IRBadr"/>
            <w:noProof/>
            <w:rtl/>
          </w:rPr>
          <w:t>مرور بحث سابق</w:t>
        </w:r>
        <w:r w:rsidR="00AB68B0" w:rsidRPr="00CB2FF2">
          <w:rPr>
            <w:rFonts w:ascii="IRBadr" w:hAnsi="IRBadr" w:cs="IRBadr"/>
            <w:noProof/>
            <w:webHidden/>
          </w:rPr>
          <w:tab/>
        </w:r>
        <w:r w:rsidR="00AB68B0" w:rsidRPr="00CB2FF2">
          <w:rPr>
            <w:rFonts w:ascii="IRBadr" w:hAnsi="IRBadr" w:cs="IRBadr"/>
            <w:noProof/>
            <w:webHidden/>
          </w:rPr>
          <w:fldChar w:fldCharType="begin"/>
        </w:r>
        <w:r w:rsidR="00AB68B0" w:rsidRPr="00CB2FF2">
          <w:rPr>
            <w:rFonts w:ascii="IRBadr" w:hAnsi="IRBadr" w:cs="IRBadr"/>
            <w:noProof/>
            <w:webHidden/>
          </w:rPr>
          <w:instrText xml:space="preserve"> PAGEREF _Toc429985041 \h </w:instrText>
        </w:r>
        <w:r w:rsidR="00AB68B0" w:rsidRPr="00CB2FF2">
          <w:rPr>
            <w:rFonts w:ascii="IRBadr" w:hAnsi="IRBadr" w:cs="IRBadr"/>
            <w:noProof/>
            <w:webHidden/>
          </w:rPr>
        </w:r>
        <w:r w:rsidR="00AB68B0" w:rsidRPr="00CB2FF2">
          <w:rPr>
            <w:rFonts w:ascii="IRBadr" w:hAnsi="IRBadr" w:cs="IRBadr"/>
            <w:noProof/>
            <w:webHidden/>
          </w:rPr>
          <w:fldChar w:fldCharType="separate"/>
        </w:r>
        <w:r w:rsidR="00AB68B0" w:rsidRPr="00CB2FF2">
          <w:rPr>
            <w:rFonts w:ascii="IRBadr" w:hAnsi="IRBadr" w:cs="IRBadr"/>
            <w:noProof/>
            <w:webHidden/>
          </w:rPr>
          <w:t>2</w:t>
        </w:r>
        <w:r w:rsidR="00AB68B0" w:rsidRPr="00CB2FF2">
          <w:rPr>
            <w:rFonts w:ascii="IRBadr" w:hAnsi="IRBadr" w:cs="IRBadr"/>
            <w:noProof/>
            <w:webHidden/>
          </w:rPr>
          <w:fldChar w:fldCharType="end"/>
        </w:r>
      </w:hyperlink>
    </w:p>
    <w:p w:rsidR="00AB68B0" w:rsidRPr="00CB2FF2" w:rsidRDefault="00424658" w:rsidP="00AB68B0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29985042" w:history="1">
        <w:r w:rsidR="00AB68B0" w:rsidRPr="00CB2FF2">
          <w:rPr>
            <w:rStyle w:val="Hyperlink"/>
            <w:rFonts w:ascii="IRBadr" w:hAnsi="IRBadr" w:cs="IRBadr"/>
            <w:noProof/>
            <w:rtl/>
          </w:rPr>
          <w:t>گروه دوم</w:t>
        </w:r>
        <w:r w:rsidR="00AB68B0" w:rsidRPr="00CB2FF2">
          <w:rPr>
            <w:rFonts w:ascii="IRBadr" w:hAnsi="IRBadr" w:cs="IRBadr"/>
            <w:noProof/>
            <w:webHidden/>
          </w:rPr>
          <w:tab/>
        </w:r>
        <w:r w:rsidR="00AB68B0" w:rsidRPr="00CB2FF2">
          <w:rPr>
            <w:rFonts w:ascii="IRBadr" w:hAnsi="IRBadr" w:cs="IRBadr"/>
            <w:noProof/>
            <w:webHidden/>
          </w:rPr>
          <w:fldChar w:fldCharType="begin"/>
        </w:r>
        <w:r w:rsidR="00AB68B0" w:rsidRPr="00CB2FF2">
          <w:rPr>
            <w:rFonts w:ascii="IRBadr" w:hAnsi="IRBadr" w:cs="IRBadr"/>
            <w:noProof/>
            <w:webHidden/>
          </w:rPr>
          <w:instrText xml:space="preserve"> PAGEREF _Toc429985042 \h </w:instrText>
        </w:r>
        <w:r w:rsidR="00AB68B0" w:rsidRPr="00CB2FF2">
          <w:rPr>
            <w:rFonts w:ascii="IRBadr" w:hAnsi="IRBadr" w:cs="IRBadr"/>
            <w:noProof/>
            <w:webHidden/>
          </w:rPr>
        </w:r>
        <w:r w:rsidR="00AB68B0" w:rsidRPr="00CB2FF2">
          <w:rPr>
            <w:rFonts w:ascii="IRBadr" w:hAnsi="IRBadr" w:cs="IRBadr"/>
            <w:noProof/>
            <w:webHidden/>
          </w:rPr>
          <w:fldChar w:fldCharType="separate"/>
        </w:r>
        <w:r w:rsidR="00AB68B0" w:rsidRPr="00CB2FF2">
          <w:rPr>
            <w:rFonts w:ascii="IRBadr" w:hAnsi="IRBadr" w:cs="IRBadr"/>
            <w:noProof/>
            <w:webHidden/>
          </w:rPr>
          <w:t>2</w:t>
        </w:r>
        <w:r w:rsidR="00AB68B0" w:rsidRPr="00CB2FF2">
          <w:rPr>
            <w:rFonts w:ascii="IRBadr" w:hAnsi="IRBadr" w:cs="IRBadr"/>
            <w:noProof/>
            <w:webHidden/>
          </w:rPr>
          <w:fldChar w:fldCharType="end"/>
        </w:r>
      </w:hyperlink>
    </w:p>
    <w:p w:rsidR="00AB68B0" w:rsidRPr="00CB2FF2" w:rsidRDefault="00424658" w:rsidP="00AB68B0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29985043" w:history="1">
        <w:r w:rsidR="00AB68B0" w:rsidRPr="00CB2FF2">
          <w:rPr>
            <w:rStyle w:val="Hyperlink"/>
            <w:rFonts w:ascii="IRBadr" w:hAnsi="IRBadr" w:cs="IRBadr"/>
            <w:noProof/>
            <w:rtl/>
          </w:rPr>
          <w:t>گروه چهارم</w:t>
        </w:r>
        <w:r w:rsidR="00AB68B0" w:rsidRPr="00CB2FF2">
          <w:rPr>
            <w:rFonts w:ascii="IRBadr" w:hAnsi="IRBadr" w:cs="IRBadr"/>
            <w:noProof/>
            <w:webHidden/>
          </w:rPr>
          <w:tab/>
        </w:r>
        <w:r w:rsidR="00AB68B0" w:rsidRPr="00CB2FF2">
          <w:rPr>
            <w:rFonts w:ascii="IRBadr" w:hAnsi="IRBadr" w:cs="IRBadr"/>
            <w:noProof/>
            <w:webHidden/>
          </w:rPr>
          <w:fldChar w:fldCharType="begin"/>
        </w:r>
        <w:r w:rsidR="00AB68B0" w:rsidRPr="00CB2FF2">
          <w:rPr>
            <w:rFonts w:ascii="IRBadr" w:hAnsi="IRBadr" w:cs="IRBadr"/>
            <w:noProof/>
            <w:webHidden/>
          </w:rPr>
          <w:instrText xml:space="preserve"> PAGEREF _Toc429985043 \h </w:instrText>
        </w:r>
        <w:r w:rsidR="00AB68B0" w:rsidRPr="00CB2FF2">
          <w:rPr>
            <w:rFonts w:ascii="IRBadr" w:hAnsi="IRBadr" w:cs="IRBadr"/>
            <w:noProof/>
            <w:webHidden/>
          </w:rPr>
        </w:r>
        <w:r w:rsidR="00AB68B0" w:rsidRPr="00CB2FF2">
          <w:rPr>
            <w:rFonts w:ascii="IRBadr" w:hAnsi="IRBadr" w:cs="IRBadr"/>
            <w:noProof/>
            <w:webHidden/>
          </w:rPr>
          <w:fldChar w:fldCharType="separate"/>
        </w:r>
        <w:r w:rsidR="00AB68B0" w:rsidRPr="00CB2FF2">
          <w:rPr>
            <w:rFonts w:ascii="IRBadr" w:hAnsi="IRBadr" w:cs="IRBadr"/>
            <w:noProof/>
            <w:webHidden/>
          </w:rPr>
          <w:t>3</w:t>
        </w:r>
        <w:r w:rsidR="00AB68B0" w:rsidRPr="00CB2FF2">
          <w:rPr>
            <w:rFonts w:ascii="IRBadr" w:hAnsi="IRBadr" w:cs="IRBadr"/>
            <w:noProof/>
            <w:webHidden/>
          </w:rPr>
          <w:fldChar w:fldCharType="end"/>
        </w:r>
      </w:hyperlink>
    </w:p>
    <w:p w:rsidR="00AB68B0" w:rsidRPr="00CB2FF2" w:rsidRDefault="00424658" w:rsidP="00AB68B0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29985044" w:history="1">
        <w:r w:rsidR="00AB68B0" w:rsidRPr="00CB2FF2">
          <w:rPr>
            <w:rStyle w:val="Hyperlink"/>
            <w:rFonts w:ascii="IRBadr" w:hAnsi="IRBadr" w:cs="IRBadr"/>
            <w:noProof/>
            <w:rtl/>
          </w:rPr>
          <w:t>بررسی سندی روایت</w:t>
        </w:r>
        <w:r w:rsidR="00AB68B0" w:rsidRPr="00CB2FF2">
          <w:rPr>
            <w:rFonts w:ascii="IRBadr" w:hAnsi="IRBadr" w:cs="IRBadr"/>
            <w:noProof/>
            <w:webHidden/>
          </w:rPr>
          <w:tab/>
        </w:r>
        <w:r w:rsidR="00AB68B0" w:rsidRPr="00CB2FF2">
          <w:rPr>
            <w:rFonts w:ascii="IRBadr" w:hAnsi="IRBadr" w:cs="IRBadr"/>
            <w:noProof/>
            <w:webHidden/>
          </w:rPr>
          <w:fldChar w:fldCharType="begin"/>
        </w:r>
        <w:r w:rsidR="00AB68B0" w:rsidRPr="00CB2FF2">
          <w:rPr>
            <w:rFonts w:ascii="IRBadr" w:hAnsi="IRBadr" w:cs="IRBadr"/>
            <w:noProof/>
            <w:webHidden/>
          </w:rPr>
          <w:instrText xml:space="preserve"> PAGEREF _Toc429985044 \h </w:instrText>
        </w:r>
        <w:r w:rsidR="00AB68B0" w:rsidRPr="00CB2FF2">
          <w:rPr>
            <w:rFonts w:ascii="IRBadr" w:hAnsi="IRBadr" w:cs="IRBadr"/>
            <w:noProof/>
            <w:webHidden/>
          </w:rPr>
        </w:r>
        <w:r w:rsidR="00AB68B0" w:rsidRPr="00CB2FF2">
          <w:rPr>
            <w:rFonts w:ascii="IRBadr" w:hAnsi="IRBadr" w:cs="IRBadr"/>
            <w:noProof/>
            <w:webHidden/>
          </w:rPr>
          <w:fldChar w:fldCharType="separate"/>
        </w:r>
        <w:r w:rsidR="00AB68B0" w:rsidRPr="00CB2FF2">
          <w:rPr>
            <w:rFonts w:ascii="IRBadr" w:hAnsi="IRBadr" w:cs="IRBadr"/>
            <w:noProof/>
            <w:webHidden/>
          </w:rPr>
          <w:t>3</w:t>
        </w:r>
        <w:r w:rsidR="00AB68B0" w:rsidRPr="00CB2FF2">
          <w:rPr>
            <w:rFonts w:ascii="IRBadr" w:hAnsi="IRBadr" w:cs="IRBadr"/>
            <w:noProof/>
            <w:webHidden/>
          </w:rPr>
          <w:fldChar w:fldCharType="end"/>
        </w:r>
      </w:hyperlink>
    </w:p>
    <w:p w:rsidR="00AB68B0" w:rsidRPr="00CB2FF2" w:rsidRDefault="00424658" w:rsidP="00AB68B0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29985045" w:history="1">
        <w:r w:rsidR="00AB68B0" w:rsidRPr="00CB2FF2">
          <w:rPr>
            <w:rStyle w:val="Hyperlink"/>
            <w:rFonts w:ascii="IRBadr" w:hAnsi="IRBadr" w:cs="IRBadr"/>
            <w:noProof/>
            <w:rtl/>
          </w:rPr>
          <w:t>اختلاف‌نظر در باب موسی بن بکر</w:t>
        </w:r>
        <w:r w:rsidR="00AB68B0" w:rsidRPr="00CB2FF2">
          <w:rPr>
            <w:rFonts w:ascii="IRBadr" w:hAnsi="IRBadr" w:cs="IRBadr"/>
            <w:noProof/>
            <w:webHidden/>
          </w:rPr>
          <w:tab/>
        </w:r>
        <w:r w:rsidR="00AB68B0" w:rsidRPr="00CB2FF2">
          <w:rPr>
            <w:rFonts w:ascii="IRBadr" w:hAnsi="IRBadr" w:cs="IRBadr"/>
            <w:noProof/>
            <w:webHidden/>
          </w:rPr>
          <w:fldChar w:fldCharType="begin"/>
        </w:r>
        <w:r w:rsidR="00AB68B0" w:rsidRPr="00CB2FF2">
          <w:rPr>
            <w:rFonts w:ascii="IRBadr" w:hAnsi="IRBadr" w:cs="IRBadr"/>
            <w:noProof/>
            <w:webHidden/>
          </w:rPr>
          <w:instrText xml:space="preserve"> PAGEREF _Toc429985045 \h </w:instrText>
        </w:r>
        <w:r w:rsidR="00AB68B0" w:rsidRPr="00CB2FF2">
          <w:rPr>
            <w:rFonts w:ascii="IRBadr" w:hAnsi="IRBadr" w:cs="IRBadr"/>
            <w:noProof/>
            <w:webHidden/>
          </w:rPr>
        </w:r>
        <w:r w:rsidR="00AB68B0" w:rsidRPr="00CB2FF2">
          <w:rPr>
            <w:rFonts w:ascii="IRBadr" w:hAnsi="IRBadr" w:cs="IRBadr"/>
            <w:noProof/>
            <w:webHidden/>
          </w:rPr>
          <w:fldChar w:fldCharType="separate"/>
        </w:r>
        <w:r w:rsidR="00AB68B0" w:rsidRPr="00CB2FF2">
          <w:rPr>
            <w:rFonts w:ascii="IRBadr" w:hAnsi="IRBadr" w:cs="IRBadr"/>
            <w:noProof/>
            <w:webHidden/>
          </w:rPr>
          <w:t>4</w:t>
        </w:r>
        <w:r w:rsidR="00AB68B0" w:rsidRPr="00CB2FF2">
          <w:rPr>
            <w:rFonts w:ascii="IRBadr" w:hAnsi="IRBadr" w:cs="IRBadr"/>
            <w:noProof/>
            <w:webHidden/>
          </w:rPr>
          <w:fldChar w:fldCharType="end"/>
        </w:r>
      </w:hyperlink>
    </w:p>
    <w:p w:rsidR="00AB68B0" w:rsidRPr="00CB2FF2" w:rsidRDefault="00424658" w:rsidP="00AB68B0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29985046" w:history="1">
        <w:r w:rsidR="00AB68B0" w:rsidRPr="00CB2FF2">
          <w:rPr>
            <w:rStyle w:val="Hyperlink"/>
            <w:rFonts w:ascii="IRBadr" w:hAnsi="IRBadr" w:cs="IRBadr"/>
            <w:noProof/>
            <w:rtl/>
          </w:rPr>
          <w:t>جمع‌بندی</w:t>
        </w:r>
        <w:r w:rsidR="00AB68B0" w:rsidRPr="00CB2FF2">
          <w:rPr>
            <w:rFonts w:ascii="IRBadr" w:hAnsi="IRBadr" w:cs="IRBadr"/>
            <w:noProof/>
            <w:webHidden/>
          </w:rPr>
          <w:tab/>
        </w:r>
        <w:r w:rsidR="00AB68B0" w:rsidRPr="00CB2FF2">
          <w:rPr>
            <w:rFonts w:ascii="IRBadr" w:hAnsi="IRBadr" w:cs="IRBadr"/>
            <w:noProof/>
            <w:webHidden/>
          </w:rPr>
          <w:fldChar w:fldCharType="begin"/>
        </w:r>
        <w:r w:rsidR="00AB68B0" w:rsidRPr="00CB2FF2">
          <w:rPr>
            <w:rFonts w:ascii="IRBadr" w:hAnsi="IRBadr" w:cs="IRBadr"/>
            <w:noProof/>
            <w:webHidden/>
          </w:rPr>
          <w:instrText xml:space="preserve"> PAGEREF _Toc429985046 \h </w:instrText>
        </w:r>
        <w:r w:rsidR="00AB68B0" w:rsidRPr="00CB2FF2">
          <w:rPr>
            <w:rFonts w:ascii="IRBadr" w:hAnsi="IRBadr" w:cs="IRBadr"/>
            <w:noProof/>
            <w:webHidden/>
          </w:rPr>
        </w:r>
        <w:r w:rsidR="00AB68B0" w:rsidRPr="00CB2FF2">
          <w:rPr>
            <w:rFonts w:ascii="IRBadr" w:hAnsi="IRBadr" w:cs="IRBadr"/>
            <w:noProof/>
            <w:webHidden/>
          </w:rPr>
          <w:fldChar w:fldCharType="separate"/>
        </w:r>
        <w:r w:rsidR="00AB68B0" w:rsidRPr="00CB2FF2">
          <w:rPr>
            <w:rFonts w:ascii="IRBadr" w:hAnsi="IRBadr" w:cs="IRBadr"/>
            <w:noProof/>
            <w:webHidden/>
          </w:rPr>
          <w:t>4</w:t>
        </w:r>
        <w:r w:rsidR="00AB68B0" w:rsidRPr="00CB2FF2">
          <w:rPr>
            <w:rFonts w:ascii="IRBadr" w:hAnsi="IRBadr" w:cs="IRBadr"/>
            <w:noProof/>
            <w:webHidden/>
          </w:rPr>
          <w:fldChar w:fldCharType="end"/>
        </w:r>
      </w:hyperlink>
    </w:p>
    <w:p w:rsidR="00AB68B0" w:rsidRPr="00CB2FF2" w:rsidRDefault="00AB68B0" w:rsidP="00AB68B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2FF2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651A32" w:rsidRPr="00CB2FF2" w:rsidRDefault="00651A32" w:rsidP="00BE70EC">
      <w:pPr>
        <w:spacing w:after="0" w:line="360" w:lineRule="auto"/>
        <w:rPr>
          <w:rFonts w:ascii="IRBadr" w:hAnsi="IRBadr" w:cs="IRBadr"/>
          <w:sz w:val="28"/>
          <w:szCs w:val="28"/>
          <w:rtl/>
          <w:lang w:bidi="fa-IR"/>
        </w:rPr>
      </w:pPr>
      <w:r w:rsidRPr="00CB2FF2"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CC5CAC" w:rsidRPr="00CB2FF2" w:rsidRDefault="00CC5CAC" w:rsidP="00BE70EC">
      <w:pPr>
        <w:pStyle w:val="Heading1"/>
        <w:spacing w:line="360" w:lineRule="auto"/>
        <w:rPr>
          <w:rFonts w:ascii="IRBadr" w:hAnsi="IRBadr" w:cs="IRBadr"/>
          <w:rtl/>
        </w:rPr>
      </w:pPr>
      <w:bookmarkStart w:id="0" w:name="_Toc429985039"/>
      <w:r w:rsidRPr="00CB2FF2">
        <w:rPr>
          <w:rFonts w:ascii="IRBadr" w:hAnsi="IRBadr" w:cs="IRBadr"/>
          <w:rtl/>
        </w:rPr>
        <w:lastRenderedPageBreak/>
        <w:t>حد غیر محصن</w:t>
      </w:r>
      <w:bookmarkEnd w:id="0"/>
    </w:p>
    <w:p w:rsidR="00CC5CAC" w:rsidRPr="00CB2FF2" w:rsidRDefault="00CC5CAC" w:rsidP="00BE70EC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29985040"/>
      <w:r w:rsidRPr="00CB2FF2">
        <w:rPr>
          <w:rFonts w:ascii="IRBadr" w:hAnsi="IRBadr" w:cs="IRBadr"/>
          <w:rtl/>
        </w:rPr>
        <w:t>روایات در این باب</w:t>
      </w:r>
      <w:bookmarkEnd w:id="1"/>
    </w:p>
    <w:p w:rsidR="00CC5CAC" w:rsidRPr="00CB2FF2" w:rsidRDefault="00CC5CAC" w:rsidP="00BE70EC">
      <w:pPr>
        <w:pStyle w:val="Heading1"/>
        <w:spacing w:line="360" w:lineRule="auto"/>
        <w:rPr>
          <w:rFonts w:ascii="IRBadr" w:hAnsi="IRBadr" w:cs="IRBadr"/>
          <w:rtl/>
        </w:rPr>
      </w:pPr>
      <w:bookmarkStart w:id="2" w:name="_Toc429985041"/>
      <w:r w:rsidRPr="00CB2FF2">
        <w:rPr>
          <w:rFonts w:ascii="IRBadr" w:hAnsi="IRBadr" w:cs="IRBadr"/>
          <w:rtl/>
        </w:rPr>
        <w:t>مرور بحث سابق</w:t>
      </w:r>
      <w:bookmarkEnd w:id="2"/>
    </w:p>
    <w:p w:rsidR="00CC5CAC" w:rsidRPr="00CB2FF2" w:rsidRDefault="00CC5CAC" w:rsidP="00BE70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2FF2">
        <w:rPr>
          <w:rFonts w:ascii="IRBadr" w:hAnsi="IRBadr" w:cs="IRBadr"/>
          <w:sz w:val="28"/>
          <w:szCs w:val="28"/>
          <w:rtl/>
          <w:lang w:bidi="fa-IR"/>
        </w:rPr>
        <w:t>بحث در این بود که در غیر محصن که حد جلد وجود دارد،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در غیر محصن مجازات دیگری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تبعید و نفی از بلد ثابت است یا ثابت نیست؟</w:t>
      </w:r>
    </w:p>
    <w:p w:rsidR="00CC5CAC" w:rsidRPr="00CB2FF2" w:rsidRDefault="00CC5CAC" w:rsidP="00BE70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عرض کردیم در اینجا روایاتی که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، بر چند فرض است که تعابیر مختلفی دارد. یک دسته از روایات مطلق بود یعنی در جمیع افراد و مصادیق غیر محصن می‌فرمود که علاوه بر جلد، تبعید و نفی هم هست. بنابراین گروه اول مطلقاتی بود که عمدتاً در باب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بیست‌وچهار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قرار داشت و چند مورد نیز در باب یک موجود است.</w:t>
      </w:r>
    </w:p>
    <w:p w:rsidR="00CC5CAC" w:rsidRPr="00CB2FF2" w:rsidRDefault="00CC5CAC" w:rsidP="00BE70EC">
      <w:pPr>
        <w:pStyle w:val="Heading2"/>
        <w:spacing w:line="360" w:lineRule="auto"/>
        <w:rPr>
          <w:rFonts w:ascii="IRBadr" w:hAnsi="IRBadr" w:cs="IRBadr"/>
          <w:rtl/>
        </w:rPr>
      </w:pPr>
      <w:bookmarkStart w:id="3" w:name="_Toc429985042"/>
      <w:r w:rsidRPr="00CB2FF2">
        <w:rPr>
          <w:rFonts w:ascii="IRBadr" w:hAnsi="IRBadr" w:cs="IRBadr"/>
          <w:rtl/>
        </w:rPr>
        <w:t>گروه دوم</w:t>
      </w:r>
      <w:bookmarkEnd w:id="3"/>
    </w:p>
    <w:p w:rsidR="00CC5CAC" w:rsidRPr="00CB2FF2" w:rsidRDefault="00CC5CAC" w:rsidP="00BE70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گروه دوم روایاتی بود که دلالت می‌کرد مجازات تبعید در غیر محصنی است که بکر باشد. در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باکر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و باکره و بکر و بکره مجازات را مضاعف و ترکیبی می‌نمود و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علاوه بر جلد می‌فرمود نفی هم هست. و گروه سوم روایت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عبدالله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بن طلحه بود که به قول مطلق نبود و در شاب حدث السن ثابت بود که علاوه بر جلد تبعید هم می‌شود.</w:t>
      </w:r>
    </w:p>
    <w:p w:rsidR="00CC5CAC" w:rsidRPr="00CB2FF2" w:rsidRDefault="00CC5CAC" w:rsidP="00BE70EC">
      <w:pPr>
        <w:pStyle w:val="Heading2"/>
        <w:spacing w:line="360" w:lineRule="auto"/>
        <w:rPr>
          <w:rFonts w:ascii="IRBadr" w:hAnsi="IRBadr" w:cs="IRBadr"/>
          <w:rtl/>
        </w:rPr>
      </w:pPr>
      <w:bookmarkStart w:id="4" w:name="_Toc429985043"/>
      <w:r w:rsidRPr="00CB2FF2">
        <w:rPr>
          <w:rFonts w:ascii="IRBadr" w:hAnsi="IRBadr" w:cs="IRBadr"/>
          <w:rtl/>
        </w:rPr>
        <w:lastRenderedPageBreak/>
        <w:t>گروه چهارم</w:t>
      </w:r>
      <w:bookmarkEnd w:id="4"/>
    </w:p>
    <w:p w:rsidR="00BE2129" w:rsidRPr="00CB2FF2" w:rsidRDefault="00CC5CAC" w:rsidP="00BE212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این گروه از روایات مجازات تبعید را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تأکید می‌کرد. دو روایت در اینجا بود؛ روایت هفت و روایت شش،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این میان روایت شش سندش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بی‌اشکال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نبود ولی تعبیرش این بود که؛</w:t>
      </w:r>
    </w:p>
    <w:p w:rsidR="00BE2129" w:rsidRPr="00CB2FF2" w:rsidRDefault="00BE2129" w:rsidP="00BE2129">
      <w:pPr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CB2FF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«بِإِسْنَادِهِ عَنْ يُونُسَ عَمَّنْ رَوَاهُ عَنْ زُرَارَةَ عَنْ أَبِي جَعْفَرٍ ع قَالَ: الْمُحْصَنُ يُرْجَمُ وَ الَّذِي‏ قَدْ أُمْلِكَ‏ وَ لَمْ يَدْخُلْ بِهَا فَجَلْدُ مِائَةٍ وَ نَفْيُ سَنَةٍ.» </w:t>
      </w:r>
      <w:r w:rsidRPr="00CB2FF2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CC5CAC" w:rsidRPr="00CB2FF2" w:rsidRDefault="00CC5CAC" w:rsidP="00BE212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در آنجا حکم نفی سنه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مرتب‌شده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بود بر </w:t>
      </w:r>
      <w:r w:rsidR="00BE2129" w:rsidRPr="00CB2FF2">
        <w:rPr>
          <w:rFonts w:ascii="IRBadr" w:hAnsi="IRBadr" w:cs="IRBadr"/>
          <w:b/>
          <w:bCs/>
          <w:sz w:val="28"/>
          <w:szCs w:val="28"/>
          <w:rtl/>
          <w:lang w:bidi="fa-IR"/>
        </w:rPr>
        <w:t>«الَّذِي‏ قَدْ أُمْلِكَ‏ وَ لَمْ يَدْخُلْ»</w:t>
      </w:r>
      <w:r w:rsidR="00BE2129" w:rsidRPr="00CB2F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>لذا به نحو مطلق نیست و از طرفی نیز تعبیر بکر و شاب نیز نیست.</w:t>
      </w:r>
    </w:p>
    <w:p w:rsidR="00BE2129" w:rsidRPr="00CB2FF2" w:rsidRDefault="00056833" w:rsidP="00BE2129">
      <w:pPr>
        <w:pStyle w:val="NormalWeb"/>
        <w:bidi/>
        <w:rPr>
          <w:rFonts w:ascii="IRBadr" w:hAnsi="IRBadr" w:cs="IRBadr"/>
          <w:color w:val="552B2B"/>
          <w:sz w:val="30"/>
          <w:szCs w:val="30"/>
          <w:lang w:bidi="fa-IR"/>
        </w:rPr>
      </w:pP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روایت هفتم نیز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بدین‌صورت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بود که؛</w:t>
      </w:r>
      <w:r w:rsidR="00BE2129" w:rsidRPr="00CB2FF2">
        <w:rPr>
          <w:rFonts w:ascii="IRBadr" w:hAnsi="IRBadr" w:cs="IRBadr"/>
          <w:color w:val="552B2B"/>
          <w:sz w:val="30"/>
          <w:szCs w:val="30"/>
          <w:rtl/>
          <w:lang w:bidi="fa-IR"/>
        </w:rPr>
        <w:t xml:space="preserve"> </w:t>
      </w:r>
    </w:p>
    <w:p w:rsidR="00BE2129" w:rsidRPr="00CB2FF2" w:rsidRDefault="00BE2129" w:rsidP="00BE2129">
      <w:pPr>
        <w:pStyle w:val="NormalWeb"/>
        <w:bidi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B2FF2">
        <w:rPr>
          <w:rFonts w:ascii="IRBadr" w:hAnsi="IRBadr" w:cs="IRBadr"/>
          <w:b/>
          <w:bCs/>
          <w:sz w:val="28"/>
          <w:szCs w:val="28"/>
          <w:rtl/>
          <w:lang w:bidi="fa-IR"/>
        </w:rPr>
        <w:t>«عِدَّةٌ مِنْ أَصْحَابِنَا عَنْ أَحْمَدَ بْنِ مُحَمَّدٍ عَنِ الْحُسَيْنِ بْنِ سَعِيدٍ عَنْ فَضَالَةَ عَنْ مُوسَى بْنِ بَكْرٍ عَنْ زُرَارَةَ عَنْ أَبِي جَعْفَرٍ ع قَالَ: الَّذِي لَمْ يُحْصَنْ يُجْلَدُ مِائَةَ جَلْدَةٍ وَ لَا يُنْفَى وَ الَّذِي قَدْ أُمْلِكَ وَ لَمْ‏ يَدْخُلْ‏ بِهَا يُجْلَدُ مِائَةً وَ يُنْفَى.»</w:t>
      </w:r>
      <w:r w:rsidRPr="00CB2FF2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056833" w:rsidRPr="00CB2FF2" w:rsidRDefault="00056833" w:rsidP="00BE70EC">
      <w:pPr>
        <w:pStyle w:val="Heading2"/>
        <w:spacing w:line="360" w:lineRule="auto"/>
        <w:rPr>
          <w:rFonts w:ascii="IRBadr" w:hAnsi="IRBadr" w:cs="IRBadr"/>
          <w:rtl/>
        </w:rPr>
      </w:pPr>
      <w:bookmarkStart w:id="6" w:name="_Toc429985044"/>
      <w:r w:rsidRPr="00CB2FF2">
        <w:rPr>
          <w:rFonts w:ascii="IRBadr" w:hAnsi="IRBadr" w:cs="IRBadr"/>
          <w:rtl/>
        </w:rPr>
        <w:t>بررسی سندی روایت</w:t>
      </w:r>
      <w:bookmarkEnd w:id="6"/>
    </w:p>
    <w:p w:rsidR="00056833" w:rsidRPr="00CB2FF2" w:rsidRDefault="00CC5CAC" w:rsidP="00BE70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این روایت همه رجالش معتبر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و موثق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هستند. 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فی عده من اصحابنای مرحوم کلینی ارسال 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نبوده و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معلوم است در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احمد بن حسین بن سعید و فضال مشکلی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 xml:space="preserve"> وجود ندار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>د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،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 xml:space="preserve"> از طرفی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دلالت هم روشن است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.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آنچه در این سند مهم است موسی بن بکر است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56833" w:rsidRPr="00CB2FF2" w:rsidRDefault="00FF5A32" w:rsidP="00BE70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2FF2">
        <w:rPr>
          <w:rFonts w:ascii="IRBadr" w:hAnsi="IRBadr" w:cs="IRBadr"/>
          <w:sz w:val="28"/>
          <w:szCs w:val="28"/>
          <w:rtl/>
          <w:lang w:bidi="fa-IR"/>
        </w:rPr>
        <w:lastRenderedPageBreak/>
        <w:t>نکته‌ای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 xml:space="preserve"> که حضرت آقای تبریزی حفظه الله در درس‌هایشان 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داشتند آن را عرض می‌کنم؛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اولاً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 xml:space="preserve"> موسی بن بکر واسطی 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 xml:space="preserve">نسبتاً 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>فرد کثیر الروایه ای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 xml:space="preserve"> بوده و فرد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>ناشناخته و منعزلی نیست و محدث معروفی است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56833" w:rsidRPr="00CB2FF2" w:rsidRDefault="00CC5CAC" w:rsidP="00BE70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ا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>و از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 xml:space="preserve"> اصحاب امام کاظم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سلام‌الله‌علیه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بود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ه و از ایشان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هم روایت دارد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.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فقط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که در باب موسی بن بکر واسطی هست این است که توثیق خیلی روشنی ندارد. 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یعنی در فهرست شیخ و رجالش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و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مرحوم نجاشی تعبیر به ثقه نشده است.</w:t>
      </w:r>
    </w:p>
    <w:p w:rsidR="00056833" w:rsidRPr="00CB2FF2" w:rsidRDefault="00FF5A32" w:rsidP="00BE70EC">
      <w:pPr>
        <w:pStyle w:val="Heading2"/>
        <w:spacing w:line="360" w:lineRule="auto"/>
        <w:rPr>
          <w:rFonts w:ascii="IRBadr" w:hAnsi="IRBadr" w:cs="IRBadr"/>
          <w:rtl/>
        </w:rPr>
      </w:pPr>
      <w:bookmarkStart w:id="7" w:name="_Toc429985045"/>
      <w:r w:rsidRPr="00CB2FF2">
        <w:rPr>
          <w:rFonts w:ascii="IRBadr" w:hAnsi="IRBadr" w:cs="IRBadr"/>
          <w:rtl/>
        </w:rPr>
        <w:t>اختلاف‌نظر</w:t>
      </w:r>
      <w:r w:rsidR="00056833" w:rsidRPr="00CB2FF2">
        <w:rPr>
          <w:rFonts w:ascii="IRBadr" w:hAnsi="IRBadr" w:cs="IRBadr"/>
          <w:rtl/>
        </w:rPr>
        <w:t xml:space="preserve"> در باب موسی بن بکر</w:t>
      </w:r>
      <w:bookmarkEnd w:id="7"/>
    </w:p>
    <w:p w:rsidR="00056833" w:rsidRPr="00CB2FF2" w:rsidRDefault="00FF5A32" w:rsidP="00BE70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2FF2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 xml:space="preserve"> در موسی بن بکر واسطی دو بحث مهم وجود دارد.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 xml:space="preserve"> از این دو بحث 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 xml:space="preserve">بیشتر به شخصیت او 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دیگری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 xml:space="preserve"> هم به لحاظ توثیق روایی آن بحث مهمی است. اما بحثی که مربوط به شخصیت 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اوست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 xml:space="preserve"> خیلی به آن کار نداریم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0547EE" w:rsidRPr="00CB2FF2" w:rsidRDefault="00CC5CAC" w:rsidP="00BE70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2FF2">
        <w:rPr>
          <w:rFonts w:ascii="IRBadr" w:hAnsi="IRBadr" w:cs="IRBadr"/>
          <w:sz w:val="28"/>
          <w:szCs w:val="28"/>
          <w:rtl/>
          <w:lang w:bidi="fa-IR"/>
        </w:rPr>
        <w:t>مرحوم شیخ فرموده واقفی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و به دنبال شیخ هم کسان دیگری مثل مرحوم علامه و برخی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 xml:space="preserve"> دیگر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 xml:space="preserve">درباره او 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>تعبیر واقفی آوردند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.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از طرف دیگر در رجال مرحوم نجاشی تعبیر واقفی نیامده است بلکه روایتی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از موسی بن بکر که خلاف این را افاده می‌کند. روایتی که در رجال نجاشی آمده ظاهراً سندش معتبر است 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>و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خود موسی بن بکر در آنجا از امام صادق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سلام‌الله‌علیه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56833" w:rsidRPr="00CB2FF2">
        <w:rPr>
          <w:rFonts w:ascii="IRBadr" w:hAnsi="IRBadr" w:cs="IRBadr"/>
          <w:sz w:val="28"/>
          <w:szCs w:val="28"/>
          <w:rtl/>
          <w:lang w:bidi="fa-IR"/>
        </w:rPr>
        <w:t xml:space="preserve">نقل کرده 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که سعادت مرد این است که فرزند وارث خودش را ببیند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این‌چنین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تعبیری و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الحمدالله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کسی که وارث امامت من خواهد بود او را دیدم</w:t>
      </w:r>
      <w:r w:rsidR="000547EE" w:rsidRPr="00CB2FF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547EE" w:rsidRPr="00CB2FF2" w:rsidRDefault="00CC5CAC" w:rsidP="00BE70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منظورش حضرت امام رضا </w:t>
      </w:r>
      <w:r w:rsidR="00FF5A32" w:rsidRPr="00CB2FF2">
        <w:rPr>
          <w:rFonts w:ascii="IRBadr" w:hAnsi="IRBadr" w:cs="IRBadr"/>
          <w:sz w:val="28"/>
          <w:szCs w:val="28"/>
          <w:rtl/>
          <w:lang w:bidi="fa-IR"/>
        </w:rPr>
        <w:t>سلام‌الله‌علیه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0547EE" w:rsidRPr="00CB2FF2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 xml:space="preserve"> این روایت را مرحوم نجاشی از موسی بن بکر واسطی نقل کرده است</w:t>
      </w:r>
      <w:r w:rsidR="000547EE" w:rsidRPr="00CB2FF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547EE" w:rsidRPr="00CB2FF2" w:rsidRDefault="00FF5A32" w:rsidP="00BE70EC">
      <w:pPr>
        <w:pStyle w:val="Heading2"/>
        <w:spacing w:line="360" w:lineRule="auto"/>
        <w:rPr>
          <w:rFonts w:ascii="IRBadr" w:hAnsi="IRBadr" w:cs="IRBadr"/>
          <w:rtl/>
        </w:rPr>
      </w:pPr>
      <w:bookmarkStart w:id="8" w:name="_Toc429985046"/>
      <w:r w:rsidRPr="00CB2FF2">
        <w:rPr>
          <w:rFonts w:ascii="IRBadr" w:hAnsi="IRBadr" w:cs="IRBadr"/>
          <w:rtl/>
        </w:rPr>
        <w:t>جمع‌بندی</w:t>
      </w:r>
      <w:bookmarkEnd w:id="8"/>
    </w:p>
    <w:p w:rsidR="00CC5CAC" w:rsidRPr="00CB2FF2" w:rsidRDefault="00FF5A32" w:rsidP="00BE70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2FF2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0547EE" w:rsidRPr="00CB2F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>دو دیدگاه</w:t>
      </w:r>
      <w:r w:rsidR="000547EE" w:rsidRPr="00CB2FF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 xml:space="preserve"> اینجا وجود دارد که چون </w:t>
      </w:r>
      <w:r w:rsidR="000547EE" w:rsidRPr="00CB2FF2">
        <w:rPr>
          <w:rFonts w:ascii="IRBadr" w:hAnsi="IRBadr" w:cs="IRBadr"/>
          <w:sz w:val="28"/>
          <w:szCs w:val="28"/>
          <w:rtl/>
          <w:lang w:bidi="fa-IR"/>
        </w:rPr>
        <w:t>چندان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 xml:space="preserve"> در بحث رجالی</w:t>
      </w:r>
      <w:r w:rsidR="000547EE" w:rsidRPr="00CB2FF2">
        <w:rPr>
          <w:rFonts w:ascii="IRBadr" w:hAnsi="IRBadr" w:cs="IRBadr"/>
          <w:sz w:val="28"/>
          <w:szCs w:val="28"/>
          <w:rtl/>
          <w:lang w:bidi="fa-IR"/>
        </w:rPr>
        <w:t xml:space="preserve"> مؤثر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0547EE" w:rsidRPr="00CB2FF2">
        <w:rPr>
          <w:rFonts w:ascii="IRBadr" w:hAnsi="IRBadr" w:cs="IRBadr"/>
          <w:sz w:val="28"/>
          <w:szCs w:val="28"/>
          <w:rtl/>
          <w:lang w:bidi="fa-IR"/>
        </w:rPr>
        <w:t>،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 xml:space="preserve"> از آن عبور می‌کنم. این بحث را تنقیح المقال مرحوم مامقانی ذیل همین روایت موسی بن بکر واسطی نقل کرده است. 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0547EE" w:rsidRPr="00CB2F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>کتاب‌های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 xml:space="preserve"> رجال قبل از کتاب آقای خویی</w:t>
      </w:r>
      <w:r w:rsidR="000547EE" w:rsidRPr="00CB2FF2">
        <w:rPr>
          <w:rFonts w:ascii="IRBadr" w:hAnsi="IRBadr" w:cs="IRBadr"/>
          <w:sz w:val="28"/>
          <w:szCs w:val="28"/>
          <w:rtl/>
          <w:lang w:bidi="fa-IR"/>
        </w:rPr>
        <w:t>،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 xml:space="preserve"> کتاب تنقیح المقال</w:t>
      </w:r>
      <w:r w:rsidR="000547EE" w:rsidRPr="00CB2FF2">
        <w:rPr>
          <w:rFonts w:ascii="IRBadr" w:hAnsi="IRBadr" w:cs="IRBadr"/>
          <w:sz w:val="28"/>
          <w:szCs w:val="28"/>
          <w:rtl/>
          <w:lang w:bidi="fa-IR"/>
        </w:rPr>
        <w:t xml:space="preserve"> بوده که اثر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547EE" w:rsidRPr="00CB2FF2">
        <w:rPr>
          <w:rFonts w:ascii="IRBadr" w:hAnsi="IRBadr" w:cs="IRBadr"/>
          <w:sz w:val="28"/>
          <w:szCs w:val="28"/>
          <w:rtl/>
          <w:lang w:bidi="fa-IR"/>
        </w:rPr>
        <w:t>بسیار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B2FF2">
        <w:rPr>
          <w:rFonts w:ascii="IRBadr" w:hAnsi="IRBadr" w:cs="IRBadr"/>
          <w:sz w:val="28"/>
          <w:szCs w:val="28"/>
          <w:rtl/>
          <w:lang w:bidi="fa-IR"/>
        </w:rPr>
        <w:t>جاافتاده‌ای</w:t>
      </w:r>
      <w:r w:rsidR="00CC5CAC" w:rsidRPr="00CB2FF2">
        <w:rPr>
          <w:rFonts w:ascii="IRBadr" w:hAnsi="IRBadr" w:cs="IRBadr"/>
          <w:sz w:val="28"/>
          <w:szCs w:val="28"/>
          <w:rtl/>
          <w:lang w:bidi="fa-IR"/>
        </w:rPr>
        <w:t xml:space="preserve"> بود</w:t>
      </w:r>
      <w:r w:rsidR="000547EE" w:rsidRPr="00CB2FF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52670" w:rsidRPr="00CB2FF2" w:rsidRDefault="00152670" w:rsidP="00517E0F">
      <w:pPr>
        <w:bidi/>
        <w:spacing w:line="360" w:lineRule="auto"/>
        <w:jc w:val="both"/>
        <w:rPr>
          <w:rFonts w:ascii="IRBadr" w:hAnsi="IRBadr" w:cs="IRBadr"/>
          <w:rtl/>
          <w:lang w:bidi="fa-IR"/>
        </w:rPr>
      </w:pPr>
    </w:p>
    <w:sectPr w:rsidR="00152670" w:rsidRPr="00CB2FF2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58" w:rsidRDefault="00424658" w:rsidP="000D5800">
      <w:pPr>
        <w:spacing w:after="0" w:line="240" w:lineRule="auto"/>
      </w:pPr>
      <w:r>
        <w:separator/>
      </w:r>
    </w:p>
  </w:endnote>
  <w:endnote w:type="continuationSeparator" w:id="0">
    <w:p w:rsidR="00424658" w:rsidRDefault="00424658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32" w:rsidRDefault="00FF5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32" w:rsidRDefault="00FF5A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32" w:rsidRDefault="00FF5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58" w:rsidRDefault="00424658" w:rsidP="00517E0F">
      <w:pPr>
        <w:spacing w:after="0" w:line="240" w:lineRule="auto"/>
        <w:jc w:val="right"/>
      </w:pPr>
      <w:r>
        <w:separator/>
      </w:r>
    </w:p>
  </w:footnote>
  <w:footnote w:type="continuationSeparator" w:id="0">
    <w:p w:rsidR="00424658" w:rsidRDefault="00424658" w:rsidP="000D5800">
      <w:pPr>
        <w:spacing w:after="0" w:line="240" w:lineRule="auto"/>
      </w:pPr>
      <w:r>
        <w:continuationSeparator/>
      </w:r>
    </w:p>
  </w:footnote>
  <w:footnote w:id="1">
    <w:p w:rsidR="00BE2129" w:rsidRPr="00CB2FF2" w:rsidRDefault="00BE2129">
      <w:pPr>
        <w:pStyle w:val="FootnoteText"/>
        <w:rPr>
          <w:b/>
          <w:bCs/>
        </w:rPr>
      </w:pPr>
      <w:r w:rsidRPr="00CB2FF2">
        <w:rPr>
          <w:rStyle w:val="FootnoteReference"/>
          <w:b/>
          <w:bCs/>
        </w:rPr>
        <w:footnoteRef/>
      </w:r>
      <w:r w:rsidRPr="00CB2FF2">
        <w:rPr>
          <w:b/>
          <w:bCs/>
          <w:rtl/>
        </w:rPr>
        <w:t xml:space="preserve"> </w:t>
      </w:r>
      <w:r w:rsidRPr="00CB2FF2">
        <w:rPr>
          <w:rFonts w:hint="cs"/>
          <w:b/>
          <w:bCs/>
          <w:rtl/>
        </w:rPr>
        <w:t>ـ الكافي</w:t>
      </w:r>
      <w:r w:rsidRPr="00CB2FF2">
        <w:rPr>
          <w:b/>
          <w:bCs/>
          <w:rtl/>
        </w:rPr>
        <w:t xml:space="preserve"> (</w:t>
      </w:r>
      <w:r w:rsidRPr="00CB2FF2">
        <w:rPr>
          <w:rFonts w:hint="cs"/>
          <w:b/>
          <w:bCs/>
          <w:rtl/>
        </w:rPr>
        <w:t>ط</w:t>
      </w:r>
      <w:r w:rsidRPr="00CB2FF2">
        <w:rPr>
          <w:b/>
          <w:bCs/>
          <w:rtl/>
        </w:rPr>
        <w:t xml:space="preserve"> - </w:t>
      </w:r>
      <w:r w:rsidRPr="00CB2FF2">
        <w:rPr>
          <w:rFonts w:hint="cs"/>
          <w:b/>
          <w:bCs/>
          <w:rtl/>
        </w:rPr>
        <w:t>الإسلامية</w:t>
      </w:r>
      <w:r w:rsidRPr="00CB2FF2">
        <w:rPr>
          <w:b/>
          <w:bCs/>
          <w:rtl/>
        </w:rPr>
        <w:t xml:space="preserve">) / </w:t>
      </w:r>
      <w:r w:rsidRPr="00CB2FF2">
        <w:rPr>
          <w:rFonts w:hint="cs"/>
          <w:b/>
          <w:bCs/>
          <w:rtl/>
        </w:rPr>
        <w:t>ج‏</w:t>
      </w:r>
      <w:r w:rsidRPr="00CB2FF2">
        <w:rPr>
          <w:b/>
          <w:bCs/>
          <w:rtl/>
        </w:rPr>
        <w:t xml:space="preserve">7 / 177 / </w:t>
      </w:r>
      <w:r w:rsidRPr="00CB2FF2">
        <w:rPr>
          <w:rFonts w:hint="cs"/>
          <w:b/>
          <w:bCs/>
          <w:rtl/>
        </w:rPr>
        <w:t>باب</w:t>
      </w:r>
      <w:r w:rsidRPr="00CB2FF2">
        <w:rPr>
          <w:b/>
          <w:bCs/>
          <w:rtl/>
        </w:rPr>
        <w:t xml:space="preserve"> </w:t>
      </w:r>
      <w:r w:rsidRPr="00CB2FF2">
        <w:rPr>
          <w:rFonts w:hint="cs"/>
          <w:b/>
          <w:bCs/>
          <w:rtl/>
        </w:rPr>
        <w:t>الرجم</w:t>
      </w:r>
      <w:r w:rsidRPr="00CB2FF2">
        <w:rPr>
          <w:b/>
          <w:bCs/>
          <w:rtl/>
        </w:rPr>
        <w:t xml:space="preserve"> </w:t>
      </w:r>
      <w:r w:rsidRPr="00CB2FF2">
        <w:rPr>
          <w:rFonts w:hint="cs"/>
          <w:b/>
          <w:bCs/>
          <w:rtl/>
        </w:rPr>
        <w:t>و</w:t>
      </w:r>
      <w:r w:rsidRPr="00CB2FF2">
        <w:rPr>
          <w:b/>
          <w:bCs/>
          <w:rtl/>
        </w:rPr>
        <w:t xml:space="preserve"> </w:t>
      </w:r>
      <w:r w:rsidRPr="00CB2FF2">
        <w:rPr>
          <w:rFonts w:hint="cs"/>
          <w:b/>
          <w:bCs/>
          <w:rtl/>
        </w:rPr>
        <w:t>الجلد</w:t>
      </w:r>
      <w:r w:rsidRPr="00CB2FF2">
        <w:rPr>
          <w:b/>
          <w:bCs/>
          <w:rtl/>
        </w:rPr>
        <w:t xml:space="preserve"> </w:t>
      </w:r>
      <w:r w:rsidRPr="00CB2FF2">
        <w:rPr>
          <w:rFonts w:hint="cs"/>
          <w:b/>
          <w:bCs/>
          <w:rtl/>
        </w:rPr>
        <w:t>و</w:t>
      </w:r>
      <w:r w:rsidRPr="00CB2FF2">
        <w:rPr>
          <w:b/>
          <w:bCs/>
          <w:rtl/>
        </w:rPr>
        <w:t xml:space="preserve"> </w:t>
      </w:r>
      <w:r w:rsidRPr="00CB2FF2">
        <w:rPr>
          <w:rFonts w:hint="cs"/>
          <w:b/>
          <w:bCs/>
          <w:rtl/>
        </w:rPr>
        <w:t>من</w:t>
      </w:r>
      <w:r w:rsidRPr="00CB2FF2">
        <w:rPr>
          <w:b/>
          <w:bCs/>
          <w:rtl/>
        </w:rPr>
        <w:t xml:space="preserve"> </w:t>
      </w:r>
      <w:r w:rsidRPr="00CB2FF2">
        <w:rPr>
          <w:rFonts w:hint="cs"/>
          <w:b/>
          <w:bCs/>
          <w:rtl/>
        </w:rPr>
        <w:t>يجب</w:t>
      </w:r>
      <w:r w:rsidRPr="00CB2FF2">
        <w:rPr>
          <w:b/>
          <w:bCs/>
          <w:rtl/>
        </w:rPr>
        <w:t xml:space="preserve"> </w:t>
      </w:r>
      <w:r w:rsidRPr="00CB2FF2">
        <w:rPr>
          <w:rFonts w:hint="cs"/>
          <w:b/>
          <w:bCs/>
          <w:rtl/>
        </w:rPr>
        <w:t>عليه</w:t>
      </w:r>
      <w:r w:rsidRPr="00CB2FF2">
        <w:rPr>
          <w:b/>
          <w:bCs/>
          <w:rtl/>
        </w:rPr>
        <w:t xml:space="preserve"> </w:t>
      </w:r>
      <w:r w:rsidRPr="00CB2FF2">
        <w:rPr>
          <w:rFonts w:hint="cs"/>
          <w:b/>
          <w:bCs/>
          <w:rtl/>
        </w:rPr>
        <w:t>ذلك</w:t>
      </w:r>
      <w:r w:rsidRPr="00CB2FF2">
        <w:rPr>
          <w:b/>
          <w:bCs/>
          <w:rtl/>
        </w:rPr>
        <w:t xml:space="preserve"> ..... </w:t>
      </w:r>
      <w:r w:rsidRPr="00CB2FF2">
        <w:rPr>
          <w:rFonts w:hint="cs"/>
          <w:b/>
          <w:bCs/>
          <w:rtl/>
        </w:rPr>
        <w:t>ص</w:t>
      </w:r>
      <w:r w:rsidRPr="00CB2FF2">
        <w:rPr>
          <w:b/>
          <w:bCs/>
          <w:rtl/>
        </w:rPr>
        <w:t xml:space="preserve"> : 176</w:t>
      </w:r>
      <w:r w:rsidR="00AB68B0" w:rsidRPr="00CB2FF2">
        <w:rPr>
          <w:rFonts w:hint="cs"/>
          <w:b/>
          <w:bCs/>
          <w:rtl/>
        </w:rPr>
        <w:t>.</w:t>
      </w:r>
    </w:p>
  </w:footnote>
  <w:footnote w:id="2">
    <w:p w:rsidR="00BE2129" w:rsidRPr="00CB2FF2" w:rsidRDefault="00BE2129">
      <w:pPr>
        <w:pStyle w:val="FootnoteText"/>
        <w:rPr>
          <w:b/>
          <w:bCs/>
        </w:rPr>
      </w:pPr>
      <w:r w:rsidRPr="00CB2FF2">
        <w:rPr>
          <w:rStyle w:val="FootnoteReference"/>
          <w:b/>
          <w:bCs/>
        </w:rPr>
        <w:footnoteRef/>
      </w:r>
      <w:r w:rsidRPr="00CB2FF2">
        <w:rPr>
          <w:b/>
          <w:bCs/>
          <w:rtl/>
        </w:rPr>
        <w:t xml:space="preserve"> </w:t>
      </w:r>
      <w:r w:rsidR="00AB68B0" w:rsidRPr="00CB2FF2">
        <w:rPr>
          <w:rFonts w:hint="cs"/>
          <w:b/>
          <w:bCs/>
          <w:rtl/>
        </w:rPr>
        <w:t xml:space="preserve">ـ </w:t>
      </w:r>
      <w:r w:rsidRPr="00CB2FF2">
        <w:rPr>
          <w:rFonts w:ascii="IRBadr" w:hAnsi="IRBadr" w:cs="IRBadr"/>
          <w:b/>
          <w:bCs/>
          <w:rtl/>
        </w:rPr>
        <w:t>الكافي (ط - ال</w:t>
      </w:r>
      <w:bookmarkStart w:id="5" w:name="_GoBack"/>
      <w:bookmarkEnd w:id="5"/>
      <w:r w:rsidRPr="00CB2FF2">
        <w:rPr>
          <w:rFonts w:ascii="IRBadr" w:hAnsi="IRBadr" w:cs="IRBadr"/>
          <w:b/>
          <w:bCs/>
          <w:rtl/>
        </w:rPr>
        <w:t>إسلامية) / ج‏7 / 177 / باب الرجم و الجلد و من يجب عليه ذلك ..... ص : 176</w:t>
      </w:r>
      <w:r w:rsidR="00AB68B0" w:rsidRPr="00CB2FF2">
        <w:rPr>
          <w:rFonts w:ascii="IRBadr" w:hAnsi="IRBadr" w:cs="IRBadr"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32" w:rsidRDefault="00FF5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CC5CAC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DC29A20" wp14:editId="6D9F86C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50761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9" w:name="OLE_LINK1"/>
    <w:bookmarkStart w:id="10" w:name="OLE_LINK2"/>
    <w:r>
      <w:rPr>
        <w:noProof/>
        <w:lang w:bidi="fa-IR"/>
      </w:rPr>
      <w:drawing>
        <wp:inline distT="0" distB="0" distL="0" distR="0" wp14:anchorId="1C017EBF" wp14:editId="006816C5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 w:rsidR="00CD130A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C5CAC">
      <w:rPr>
        <w:rFonts w:ascii="IranNastaliq" w:hAnsi="IranNastaliq" w:cs="IranNastaliq" w:hint="cs"/>
        <w:sz w:val="40"/>
        <w:szCs w:val="40"/>
        <w:rtl/>
        <w:lang w:bidi="fa-IR"/>
      </w:rPr>
      <w:t>719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32" w:rsidRDefault="00FF5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547EE"/>
    <w:rsid w:val="0005683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970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7F2C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40BA3"/>
    <w:rsid w:val="00366400"/>
    <w:rsid w:val="00392E9A"/>
    <w:rsid w:val="00396F28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24658"/>
    <w:rsid w:val="0044591E"/>
    <w:rsid w:val="004651D2"/>
    <w:rsid w:val="00465D26"/>
    <w:rsid w:val="004679F8"/>
    <w:rsid w:val="004B337F"/>
    <w:rsid w:val="004E6A9A"/>
    <w:rsid w:val="004F3596"/>
    <w:rsid w:val="00517E0F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51A32"/>
    <w:rsid w:val="0066229C"/>
    <w:rsid w:val="0069696C"/>
    <w:rsid w:val="006A085A"/>
    <w:rsid w:val="006A638C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44FB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755D0"/>
    <w:rsid w:val="00980643"/>
    <w:rsid w:val="009A17CE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05E0"/>
    <w:rsid w:val="00A810A5"/>
    <w:rsid w:val="00A9616A"/>
    <w:rsid w:val="00A96F68"/>
    <w:rsid w:val="00AA2342"/>
    <w:rsid w:val="00AB68B0"/>
    <w:rsid w:val="00AD0304"/>
    <w:rsid w:val="00AD27BE"/>
    <w:rsid w:val="00AF0F1A"/>
    <w:rsid w:val="00B06BB8"/>
    <w:rsid w:val="00B15027"/>
    <w:rsid w:val="00B21CF4"/>
    <w:rsid w:val="00B24300"/>
    <w:rsid w:val="00B63F15"/>
    <w:rsid w:val="00B7512E"/>
    <w:rsid w:val="00BB5F7E"/>
    <w:rsid w:val="00BC26F6"/>
    <w:rsid w:val="00BD3122"/>
    <w:rsid w:val="00BD40DA"/>
    <w:rsid w:val="00BE2129"/>
    <w:rsid w:val="00BE70EC"/>
    <w:rsid w:val="00C160AF"/>
    <w:rsid w:val="00C22299"/>
    <w:rsid w:val="00C25609"/>
    <w:rsid w:val="00C26607"/>
    <w:rsid w:val="00C60D75"/>
    <w:rsid w:val="00C64CEA"/>
    <w:rsid w:val="00C73012"/>
    <w:rsid w:val="00C75784"/>
    <w:rsid w:val="00C763DD"/>
    <w:rsid w:val="00C84FC0"/>
    <w:rsid w:val="00C9244A"/>
    <w:rsid w:val="00CB2FF2"/>
    <w:rsid w:val="00CB5DA3"/>
    <w:rsid w:val="00CC5CAC"/>
    <w:rsid w:val="00CD130A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22C75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4753"/>
    <w:rsid w:val="00F40284"/>
    <w:rsid w:val="00F67976"/>
    <w:rsid w:val="00F70BE1"/>
    <w:rsid w:val="00FC0862"/>
    <w:rsid w:val="00FC70FB"/>
    <w:rsid w:val="00FD143D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C757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7E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C757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7E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5EB3-5801-491B-84AE-20C6D84A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45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اکبریان</cp:lastModifiedBy>
  <cp:revision>40</cp:revision>
  <dcterms:created xsi:type="dcterms:W3CDTF">2015-10-09T05:26:00Z</dcterms:created>
  <dcterms:modified xsi:type="dcterms:W3CDTF">2015-09-14T06:45:00Z</dcterms:modified>
</cp:coreProperties>
</file>