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B5574D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476FF7" w:rsidRPr="00B5574D" w:rsidRDefault="00476FF7" w:rsidP="00476FF7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476FF7" w:rsidRPr="00B5574D" w:rsidRDefault="00476FF7" w:rsidP="00476FF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B5574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B5574D">
        <w:rPr>
          <w:rFonts w:ascii="IRBadr" w:hAnsi="IRBadr" w:cs="IRBadr"/>
          <w:sz w:val="28"/>
          <w:szCs w:val="28"/>
          <w:lang w:bidi="fa-IR"/>
        </w:rPr>
        <w:instrText>TOC</w:instrText>
      </w:r>
      <w:r w:rsidRPr="00B5574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B5574D">
        <w:rPr>
          <w:rFonts w:ascii="IRBadr" w:hAnsi="IRBadr" w:cs="IRBadr"/>
          <w:sz w:val="28"/>
          <w:szCs w:val="28"/>
          <w:lang w:bidi="fa-IR"/>
        </w:rPr>
        <w:instrText>o "1-3" \h \z \u</w:instrText>
      </w:r>
      <w:r w:rsidRPr="00B5574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B5574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160000" w:history="1">
        <w:r w:rsidRPr="00B5574D">
          <w:rPr>
            <w:rStyle w:val="ad"/>
            <w:rFonts w:ascii="IRBadr" w:hAnsi="IRBadr" w:cs="IRBadr"/>
            <w:noProof/>
            <w:rtl/>
          </w:rPr>
          <w:t>زنای ذمی</w:t>
        </w:r>
        <w:r w:rsidRPr="00B5574D">
          <w:rPr>
            <w:rFonts w:ascii="IRBadr" w:hAnsi="IRBadr" w:cs="IRBadr"/>
            <w:noProof/>
            <w:webHidden/>
          </w:rPr>
          <w:tab/>
        </w:r>
        <w:r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Pr="00B5574D">
          <w:rPr>
            <w:rFonts w:ascii="IRBadr" w:hAnsi="IRBadr" w:cs="IRBadr"/>
            <w:noProof/>
            <w:webHidden/>
          </w:rPr>
          <w:instrText xml:space="preserve"> PAGEREF _Toc425160000 \h </w:instrText>
        </w:r>
        <w:r w:rsidRPr="00B5574D">
          <w:rPr>
            <w:rStyle w:val="ad"/>
            <w:rFonts w:ascii="IRBadr" w:hAnsi="IRBadr" w:cs="IRBadr"/>
            <w:noProof/>
            <w:rtl/>
          </w:rPr>
        </w:r>
        <w:r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Pr="00B5574D">
          <w:rPr>
            <w:rFonts w:ascii="IRBadr" w:hAnsi="IRBadr" w:cs="IRBadr"/>
            <w:noProof/>
            <w:webHidden/>
            <w:rtl/>
          </w:rPr>
          <w:t>2</w:t>
        </w:r>
        <w:r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1" w:history="1">
        <w:r w:rsidR="00B5574D">
          <w:rPr>
            <w:rStyle w:val="ad"/>
            <w:rFonts w:ascii="IRBadr" w:hAnsi="IRBadr" w:cs="IRBadr"/>
            <w:noProof/>
            <w:rtl/>
          </w:rPr>
          <w:t>اتفاق‌نظر</w:t>
        </w:r>
        <w:r w:rsidR="00476FF7" w:rsidRPr="00B5574D">
          <w:rPr>
            <w:rStyle w:val="ad"/>
            <w:rFonts w:ascii="IRBadr" w:hAnsi="IRBadr" w:cs="IRBadr"/>
            <w:noProof/>
            <w:rtl/>
          </w:rPr>
          <w:t xml:space="preserve"> در این </w:t>
        </w:r>
        <w:r w:rsidR="00B5574D">
          <w:rPr>
            <w:rStyle w:val="ad"/>
            <w:rFonts w:ascii="IRBadr" w:hAnsi="IRBadr" w:cs="IRBadr"/>
            <w:noProof/>
            <w:rtl/>
          </w:rPr>
          <w:t>مسئله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_Toc425160001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2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2" w:history="1">
        <w:r w:rsidR="00B5574D">
          <w:rPr>
            <w:rStyle w:val="ad"/>
            <w:rFonts w:ascii="IRBadr" w:hAnsi="IRBadr" w:cs="IRBadr"/>
            <w:noProof/>
            <w:rtl/>
          </w:rPr>
          <w:t>ادله‌ای</w:t>
        </w:r>
        <w:r w:rsidR="00476FF7" w:rsidRPr="00B5574D">
          <w:rPr>
            <w:rStyle w:val="ad"/>
            <w:rFonts w:ascii="IRBadr" w:hAnsi="IRBadr" w:cs="IRBadr"/>
            <w:noProof/>
            <w:rtl/>
          </w:rPr>
          <w:t>ن بحث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_Toc425160002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2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3" w:history="1">
        <w:r w:rsidR="00476FF7" w:rsidRPr="00B5574D">
          <w:rPr>
            <w:rStyle w:val="ad"/>
            <w:rFonts w:ascii="IRBadr" w:hAnsi="IRBadr" w:cs="IRBadr"/>
            <w:noProof/>
            <w:rtl/>
          </w:rPr>
          <w:t>بحث دلالی آن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_Toc425160003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3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4" w:history="1">
        <w:r w:rsidR="00476FF7" w:rsidRPr="00B5574D">
          <w:rPr>
            <w:rStyle w:val="ad"/>
            <w:rFonts w:ascii="IRBadr" w:hAnsi="IRBadr" w:cs="IRBadr"/>
            <w:noProof/>
            <w:rtl/>
          </w:rPr>
          <w:t>اشاره به برخی تنبیهات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_Toc425160004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3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5" w:history="1">
        <w:r w:rsidR="00476FF7" w:rsidRPr="00B5574D">
          <w:rPr>
            <w:rStyle w:val="ad"/>
            <w:rFonts w:ascii="IRBadr" w:hAnsi="IRBadr" w:cs="IRBadr"/>
            <w:noProof/>
            <w:rtl/>
          </w:rPr>
          <w:t>اشکال منسوخیت آیه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_Toc425160005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3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6" w:history="1">
        <w:r w:rsidR="00476FF7" w:rsidRPr="00B5574D">
          <w:rPr>
            <w:rStyle w:val="ad"/>
            <w:rFonts w:ascii="IRBadr" w:hAnsi="IRBadr" w:cs="IRBadr"/>
            <w:noProof/>
            <w:rtl/>
          </w:rPr>
          <w:t>پاسخ اول به اشکال نسخ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_Toc425160006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4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7" w:history="1">
        <w:r w:rsidR="00476FF7" w:rsidRPr="00B5574D">
          <w:rPr>
            <w:rStyle w:val="ad"/>
            <w:rFonts w:ascii="IRBadr" w:hAnsi="IRBadr" w:cs="IRBadr"/>
            <w:noProof/>
            <w:rtl/>
          </w:rPr>
          <w:t>تفصیل جواب اول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_Toc425160007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4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8" w:history="1">
        <w:r w:rsidR="00B5574D">
          <w:rPr>
            <w:rStyle w:val="ad"/>
            <w:rFonts w:ascii="IRBadr" w:hAnsi="IRBadr" w:cs="IRBadr"/>
            <w:noProof/>
            <w:rtl/>
          </w:rPr>
          <w:t>درآمدی</w:t>
        </w:r>
        <w:r w:rsidR="00476FF7" w:rsidRPr="00B5574D">
          <w:rPr>
            <w:rStyle w:val="ad"/>
            <w:rFonts w:ascii="IRBadr" w:hAnsi="IRBadr" w:cs="IRBadr"/>
            <w:noProof/>
            <w:rtl/>
          </w:rPr>
          <w:t xml:space="preserve"> بر نسخ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_Toc425160008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5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09" w:history="1">
        <w:r w:rsidR="00476FF7" w:rsidRPr="00B5574D">
          <w:rPr>
            <w:rStyle w:val="ad"/>
            <w:rFonts w:ascii="IRBadr" w:hAnsi="IRBadr" w:cs="IRBadr"/>
            <w:noProof/>
            <w:rtl/>
          </w:rPr>
          <w:t>پاسخ دوم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_Toc425160009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5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10" w:history="1">
        <w:r w:rsidR="00476FF7" w:rsidRPr="00B5574D">
          <w:rPr>
            <w:rStyle w:val="ad"/>
            <w:rFonts w:ascii="IRBadr" w:hAnsi="IRBadr" w:cs="IRBadr"/>
            <w:noProof/>
            <w:rtl/>
          </w:rPr>
          <w:t>مؤیدیت شأن نزول در اینجا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_Toc425160010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6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11" w:history="1">
        <w:r w:rsidR="00476FF7" w:rsidRPr="00B5574D">
          <w:rPr>
            <w:rStyle w:val="ad"/>
            <w:rFonts w:ascii="IRBadr" w:hAnsi="IRBadr" w:cs="IRBadr"/>
            <w:noProof/>
            <w:rtl/>
          </w:rPr>
          <w:t>روایات در این موضوع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_Toc425160011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6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12" w:history="1">
        <w:r w:rsidR="00476FF7" w:rsidRPr="00B5574D">
          <w:rPr>
            <w:rStyle w:val="ad"/>
            <w:rFonts w:ascii="IRBadr" w:hAnsi="IRBadr" w:cs="IRBadr"/>
            <w:noProof/>
            <w:rtl/>
          </w:rPr>
          <w:t>روایات اجرای حد اسلامی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_Toc425160012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6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13" w:history="1">
        <w:r w:rsidR="00476FF7" w:rsidRPr="00B5574D">
          <w:rPr>
            <w:rStyle w:val="ad"/>
            <w:rFonts w:ascii="IRBadr" w:hAnsi="IRBadr" w:cs="IRBadr"/>
            <w:noProof/>
            <w:rtl/>
          </w:rPr>
          <w:t>روایت دوم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_Toc425160013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7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14" w:history="1">
        <w:r w:rsidR="00476FF7" w:rsidRPr="00B5574D">
          <w:rPr>
            <w:rStyle w:val="ad"/>
            <w:rFonts w:ascii="IRBadr" w:hAnsi="IRBadr" w:cs="IRBadr"/>
            <w:noProof/>
            <w:rtl/>
          </w:rPr>
          <w:t>بحث در روایتی مشابه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_Toc425160014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7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15" w:history="1">
        <w:r w:rsidR="00476FF7" w:rsidRPr="00B5574D">
          <w:rPr>
            <w:rStyle w:val="ad"/>
            <w:rFonts w:ascii="IRBadr" w:hAnsi="IRBadr" w:cs="IRBadr"/>
            <w:noProof/>
            <w:rtl/>
          </w:rPr>
          <w:t>شبهه تعارض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_Toc425160015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8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16" w:history="1">
        <w:r w:rsidR="00476FF7" w:rsidRPr="00B5574D">
          <w:rPr>
            <w:rStyle w:val="ad"/>
            <w:rFonts w:ascii="IRBadr" w:hAnsi="IRBadr" w:cs="IRBadr"/>
            <w:noProof/>
            <w:rtl/>
          </w:rPr>
          <w:t>پاسخ از آن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_Toc425160016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8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CE74BA" w:rsidP="00476FF7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0017" w:history="1">
        <w:r w:rsidR="00476FF7" w:rsidRPr="00B5574D">
          <w:rPr>
            <w:rStyle w:val="ad"/>
            <w:rFonts w:ascii="IRBadr" w:hAnsi="IRBadr" w:cs="IRBadr"/>
            <w:noProof/>
            <w:rtl/>
          </w:rPr>
          <w:t>دو نظریه در عدم تعین دو دلیل</w:t>
        </w:r>
        <w:r w:rsidR="00476FF7" w:rsidRPr="00B5574D">
          <w:rPr>
            <w:rFonts w:ascii="IRBadr" w:hAnsi="IRBadr" w:cs="IRBadr"/>
            <w:noProof/>
            <w:webHidden/>
          </w:rPr>
          <w:tab/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begin"/>
        </w:r>
        <w:r w:rsidR="00476FF7" w:rsidRPr="00B5574D">
          <w:rPr>
            <w:rFonts w:ascii="IRBadr" w:hAnsi="IRBadr" w:cs="IRBadr"/>
            <w:noProof/>
            <w:webHidden/>
          </w:rPr>
          <w:instrText xml:space="preserve"> PAGEREF _Toc425160017 \h </w:instrText>
        </w:r>
        <w:r w:rsidR="00476FF7" w:rsidRPr="00B5574D">
          <w:rPr>
            <w:rStyle w:val="ad"/>
            <w:rFonts w:ascii="IRBadr" w:hAnsi="IRBadr" w:cs="IRBadr"/>
            <w:noProof/>
            <w:rtl/>
          </w:rPr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476FF7" w:rsidRPr="00B5574D">
          <w:rPr>
            <w:rFonts w:ascii="IRBadr" w:hAnsi="IRBadr" w:cs="IRBadr"/>
            <w:noProof/>
            <w:webHidden/>
            <w:rtl/>
          </w:rPr>
          <w:t>8</w:t>
        </w:r>
        <w:r w:rsidR="00476FF7" w:rsidRPr="00B5574D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476FF7" w:rsidRPr="00B5574D" w:rsidRDefault="00476FF7" w:rsidP="00476FF7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C5E0B" w:rsidRPr="00B5574D" w:rsidRDefault="005C5E0B" w:rsidP="00476FF7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bookmarkStart w:id="0" w:name="_Toc425160000"/>
      <w:r w:rsidRPr="00B5574D">
        <w:rPr>
          <w:rFonts w:ascii="IRBadr" w:hAnsi="IRBadr" w:cs="IRBadr"/>
          <w:color w:val="auto"/>
          <w:sz w:val="44"/>
          <w:szCs w:val="44"/>
          <w:rtl/>
          <w:lang w:bidi="fa-IR"/>
        </w:rPr>
        <w:lastRenderedPageBreak/>
        <w:t>زنای ذمی</w:t>
      </w:r>
      <w:bookmarkEnd w:id="0"/>
    </w:p>
    <w:p w:rsidR="008F5FEB" w:rsidRPr="00B5574D" w:rsidRDefault="005662EF" w:rsidP="008F5FE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«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الحا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م بالخ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ار ف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الذمّ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ب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 </w:t>
      </w:r>
      <w:bookmarkStart w:id="1" w:name="_GoBack"/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إقامة</w:t>
      </w:r>
      <w:bookmarkEnd w:id="1"/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الحدّ عل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 و تسل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مه إل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أهل نحلته و ملّته ل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ق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موا الحدّ عل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معتقدهم، و الأحوط إجراء الحدّ عل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ه، هذا إذا زن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بالذمّ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ة أو ال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افرة، و إلّا ف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جر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عل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 الحدّ بلا إش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ال</w:t>
      </w:r>
      <w:r w:rsidR="008F5FEB" w:rsidRPr="00B5574D">
        <w:rPr>
          <w:rFonts w:ascii="IRBadr" w:hAnsi="IRBadr" w:cs="IRBadr"/>
          <w:sz w:val="28"/>
          <w:szCs w:val="28"/>
          <w:rtl/>
          <w:lang w:bidi="fa-IR"/>
        </w:rPr>
        <w:t>»</w:t>
      </w:r>
      <w:r w:rsidR="008F5FEB" w:rsidRPr="00B5574D">
        <w:rPr>
          <w:rStyle w:val="ac"/>
          <w:rFonts w:ascii="IRBadr" w:hAnsi="IRBadr" w:cs="IRBadr"/>
          <w:sz w:val="28"/>
          <w:szCs w:val="28"/>
          <w:lang w:bidi="fa-IR"/>
        </w:rPr>
        <w:footnoteReference w:id="1"/>
      </w:r>
    </w:p>
    <w:p w:rsidR="005C5E0B" w:rsidRPr="00B5574D" w:rsidRDefault="008F5FEB" w:rsidP="008F5F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اگ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>ر ذمی مرتکب زنایی شد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حاکم مخیر است خودش طبق موازین احکام اسلام اجرای حد بکند یا اینکه او را بدهد به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هم‌کیشان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خودش برای اینکه حد را طبق اعتقادات خودشان اجرا کنند. بعد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احوط این است که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همان حد مطابق موازین اسلام بر او جاری بشود و بعد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ذمی با ذمی کافره زنا بکند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والا اگر ذمی با زن مسلمان زنا بکند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بدون اشکال طبق موازین و شریعت اسلام حد بر او جاری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>. این مسئله هفتم است که مطرح فرمودند.</w:t>
      </w:r>
    </w:p>
    <w:p w:rsidR="005C5E0B" w:rsidRPr="00B5574D" w:rsidRDefault="007E4000" w:rsidP="005C5E0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آدرس‌ها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جواهر جلد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چهل‌ویک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صفحه سیصد و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سی‌وهشت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، قضای آقای گلپایگانی در المنثور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جلد یک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سیصد و پنجاه، اسس الحدود آقای تبریزی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صفحه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صدوبیست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 هشت، انوار الفقاهه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سی صدوبیست‌وهفت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 تفسیر الشریعه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صد و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نودودو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. این طرح مسئله است و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آدرس‌هایی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 عرض کردیم. در مسئله تقریباً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اختلافی وجود ندارد.</w:t>
      </w:r>
    </w:p>
    <w:p w:rsidR="005C5E0B" w:rsidRPr="00B5574D" w:rsidRDefault="00B5574D" w:rsidP="00476FF7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2" w:name="_Toc425160001"/>
      <w:r>
        <w:rPr>
          <w:rFonts w:ascii="IRBadr" w:hAnsi="IRBadr" w:cs="IRBadr"/>
          <w:color w:val="auto"/>
          <w:sz w:val="36"/>
          <w:szCs w:val="36"/>
          <w:rtl/>
          <w:lang w:bidi="fa-IR"/>
        </w:rPr>
        <w:t>اتفاق‌نظر</w:t>
      </w:r>
      <w:r w:rsidR="005C5E0B" w:rsidRPr="00B5574D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در این </w:t>
      </w:r>
      <w:r>
        <w:rPr>
          <w:rFonts w:ascii="IRBadr" w:hAnsi="IRBadr" w:cs="IRBadr"/>
          <w:color w:val="auto"/>
          <w:sz w:val="36"/>
          <w:szCs w:val="36"/>
          <w:rtl/>
          <w:lang w:bidi="fa-IR"/>
        </w:rPr>
        <w:t>مسئله</w:t>
      </w:r>
      <w:bookmarkEnd w:id="2"/>
    </w:p>
    <w:p w:rsidR="005C5E0B" w:rsidRPr="00B5574D" w:rsidRDefault="007E4000" w:rsidP="005C5E0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و قاطبه و یا شهرت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عظیمه‌ای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فقها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به اینکه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حاکم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مقام قضا نسبت به ذمی که با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ذمه‌ای یا کافره</w:t>
      </w:r>
      <w:r w:rsidR="00B5574D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ای زنا کرده است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مخیر است که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طبق شریعت اسلام و موازین فقهی خود اسلامی عمل بکند و اجرای حد بکند یا اینکه او را ارجاع بدهد به قضات و حکام اهل کتاب برای اینکه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طبق مبانی خودشان عمل بکنند. یهودی هست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را ارجاع بدهد به قضات یهودی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نصرانی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احیاناً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 xml:space="preserve"> مجو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سی و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 xml:space="preserve"> غیره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. این تخییر حاکم بین اجرای حد طبق موازین شریعت اسلام یا ارجاع به قضات خودشان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 xml:space="preserve"> وجود دارد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. این مورد وفاق است تقریباً و محل بحثی به لحاظ فتوا </w:t>
      </w:r>
      <w:r w:rsidR="005C5E0B" w:rsidRPr="00B5574D">
        <w:rPr>
          <w:rFonts w:ascii="IRBadr" w:hAnsi="IRBadr" w:cs="IRBadr"/>
          <w:sz w:val="28"/>
          <w:szCs w:val="28"/>
          <w:rtl/>
          <w:lang w:bidi="fa-IR"/>
        </w:rPr>
        <w:t xml:space="preserve">در آن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نیست.</w:t>
      </w:r>
    </w:p>
    <w:p w:rsidR="005C5E0B" w:rsidRPr="00B5574D" w:rsidRDefault="00B5574D" w:rsidP="00476FF7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3" w:name="_Toc425160002"/>
      <w:r>
        <w:rPr>
          <w:rFonts w:ascii="IRBadr" w:hAnsi="IRBadr" w:cs="IRBadr"/>
          <w:color w:val="auto"/>
          <w:sz w:val="36"/>
          <w:szCs w:val="36"/>
          <w:rtl/>
          <w:lang w:bidi="fa-IR"/>
        </w:rPr>
        <w:t>ادله</w:t>
      </w:r>
      <w:r>
        <w:rPr>
          <w:rFonts w:ascii="IRBadr" w:hAnsi="IRBadr" w:cs="IRBadr" w:hint="cs"/>
          <w:color w:val="auto"/>
          <w:sz w:val="36"/>
          <w:szCs w:val="36"/>
          <w:rtl/>
          <w:lang w:bidi="fa-IR"/>
        </w:rPr>
        <w:t xml:space="preserve"> </w:t>
      </w:r>
      <w:r>
        <w:rPr>
          <w:rFonts w:ascii="IRBadr" w:hAnsi="IRBadr" w:cs="IRBadr"/>
          <w:color w:val="auto"/>
          <w:sz w:val="36"/>
          <w:szCs w:val="36"/>
          <w:rtl/>
          <w:lang w:bidi="fa-IR"/>
        </w:rPr>
        <w:t>‌ای</w:t>
      </w:r>
      <w:r w:rsidR="005C5E0B" w:rsidRPr="00B5574D">
        <w:rPr>
          <w:rFonts w:ascii="IRBadr" w:hAnsi="IRBadr" w:cs="IRBadr"/>
          <w:color w:val="auto"/>
          <w:sz w:val="36"/>
          <w:szCs w:val="36"/>
          <w:rtl/>
          <w:lang w:bidi="fa-IR"/>
        </w:rPr>
        <w:t>ن بحث</w:t>
      </w:r>
      <w:bookmarkEnd w:id="3"/>
    </w:p>
    <w:p w:rsidR="00F74F79" w:rsidRPr="00B5574D" w:rsidRDefault="00B5574D" w:rsidP="00F74F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که در بحث است</w:t>
      </w:r>
      <w:r w:rsidR="004D6CCD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یکی قرآن است</w:t>
      </w:r>
      <w:r w:rsidR="004D6CCD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آیه </w:t>
      </w:r>
      <w:r>
        <w:rPr>
          <w:rFonts w:ascii="IRBadr" w:hAnsi="IRBadr" w:cs="IRBadr"/>
          <w:sz w:val="28"/>
          <w:szCs w:val="28"/>
          <w:rtl/>
          <w:lang w:bidi="fa-IR"/>
        </w:rPr>
        <w:t>چهل‌ودو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سوره مائده است که </w:t>
      </w:r>
      <w:r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4D6CCD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7E4000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ف</w:t>
      </w:r>
      <w:r w:rsidR="008F5FEB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</w:t>
      </w:r>
      <w:r w:rsidR="007E4000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حکم بینهم او اعرض عنهم</w:t>
      </w:r>
      <w:r w:rsidR="008F5FEB" w:rsidRPr="00B5574D">
        <w:rPr>
          <w:rFonts w:ascii="IRBadr" w:hAnsi="IRBadr" w:cs="IRBadr"/>
          <w:sz w:val="28"/>
          <w:szCs w:val="28"/>
          <w:rtl/>
          <w:lang w:bidi="fa-IR"/>
        </w:rPr>
        <w:t>»</w:t>
      </w:r>
      <w:r w:rsidR="004D6CCD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آمدند</w:t>
      </w:r>
      <w:r w:rsidR="004D6CCD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منظور اهل کتاب است</w:t>
      </w:r>
      <w:r w:rsidR="004D6CCD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آمدند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پیش تو برای داوری و قضا</w:t>
      </w:r>
      <w:r w:rsidR="004D6CCD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فحکم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بینهم او اعرض عنهم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معنایش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آنچه ما بر تو نازل کردیم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شریعت اسلام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 xml:space="preserve"> بر 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 xml:space="preserve"> حکم کن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می‌توانی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اعراض بکنی از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البته این اعراض بکنی از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با قرائن حالیه و لبیه روشن است که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>منظور این نیست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یا اجرای حکم بکنی یا نه اجرای حکم 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نکنی،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آزادش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می‌گذاری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برود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lastRenderedPageBreak/>
        <w:t>نه اعرض عنهم با قرائن حالیه و مناسبات حکم و موضوع که عدل تخییر هست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E4000" w:rsidRPr="00B5574D">
        <w:rPr>
          <w:rFonts w:ascii="IRBadr" w:hAnsi="IRBadr" w:cs="IRBadr"/>
          <w:sz w:val="28"/>
          <w:szCs w:val="28"/>
          <w:rtl/>
          <w:lang w:bidi="fa-IR"/>
        </w:rPr>
        <w:t xml:space="preserve">منظور رفع ید از کسی که زنا کرده شرب خمر کرده است سرقت کرده </w:t>
      </w:r>
      <w:r>
        <w:rPr>
          <w:rFonts w:ascii="IRBadr" w:hAnsi="IRBadr" w:cs="IRBadr"/>
          <w:sz w:val="28"/>
          <w:szCs w:val="28"/>
          <w:rtl/>
          <w:lang w:bidi="fa-IR"/>
        </w:rPr>
        <w:t>و غیره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منظور این است که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اعراض بکنی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 تو با موازین خودت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کار به او نداری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بلکه او را ارجاع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می‌دهی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حکام و قضات خودشان.</w:t>
      </w:r>
    </w:p>
    <w:p w:rsidR="00F74F79" w:rsidRPr="00B5574D" w:rsidRDefault="00F74F79" w:rsidP="00476FF7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4" w:name="_Toc425160003"/>
      <w:r w:rsidRPr="00B5574D">
        <w:rPr>
          <w:rFonts w:ascii="IRBadr" w:hAnsi="IRBadr" w:cs="IRBadr"/>
          <w:color w:val="auto"/>
          <w:sz w:val="36"/>
          <w:szCs w:val="36"/>
          <w:rtl/>
          <w:lang w:bidi="fa-IR"/>
        </w:rPr>
        <w:t>بحث دلالی آن</w:t>
      </w:r>
      <w:bookmarkEnd w:id="4"/>
    </w:p>
    <w:p w:rsidR="00926FC4" w:rsidRPr="00B5574D" w:rsidRDefault="00C642C5" w:rsidP="00926FC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این را کسی قائل نیست که بگوید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حاکم مخیر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اجرا کند یا او را رهایش کند برود. رفته سرقت کرده اجرا بکن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د حد را یا اینکه رهایش بکند،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ا</w:t>
      </w:r>
      <w:r w:rsidR="00B5574D">
        <w:rPr>
          <w:rFonts w:ascii="IRBadr" w:hAnsi="IRBadr" w:cs="IRBadr" w:hint="cs"/>
          <w:sz w:val="28"/>
          <w:szCs w:val="28"/>
          <w:rtl/>
          <w:lang w:bidi="fa-IR"/>
        </w:rPr>
        <w:t>ین‌چنین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چیزی نیست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البته این آیه اطلاق دارد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مطلق است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ربطی به بحث زنا ندارد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آیه کلی است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هر موضوعی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 یکی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هم بحث زنا است. این به لحاظ آیه است که ظهور این آیه در تخییر است. حالا بعضی گفتند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؛ این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ظهور در تخییر ندارد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همه چیزهای درستی نیست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دلالت خیلی روشن آیه بر همین است که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مخیر است حاکم بین اینکه حکم بکند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یا اینکه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اعراض بکند و ارجاع بدهد او را به محاکم خودشان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چون اعراض مطلق قطعاً صحیح نیست و برخلاف عقل است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درست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نیست بگوییم</w:t>
      </w:r>
      <w:r w:rsidR="00F74F7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اعراض مطلق بکند آزادش بگذارد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اعراض بکند یعنی ارجاع بدهد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را به حکام و قضات خودشان.</w:t>
      </w:r>
    </w:p>
    <w:p w:rsidR="00926FC4" w:rsidRPr="00B5574D" w:rsidRDefault="00926FC4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5" w:name="_Toc425160004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>اشاره به برخی تنبیهات</w:t>
      </w:r>
      <w:bookmarkEnd w:id="5"/>
    </w:p>
    <w:p w:rsidR="00926FC4" w:rsidRPr="00B5574D" w:rsidRDefault="00C642C5" w:rsidP="00926FC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آنجایی که شرع حکمی دارد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آنجا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طبق مواضع خودش حکم بکند یا 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باید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او را ارجاع بدهد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جایی که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حکمی ندارند یا 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به احکام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عمل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؟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کما اینکه الان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کاری به آن شریعت خودشان ندارند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یهودی و نصرانی به شریعت خودشان عمل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کفار غیر ذمی اهل کتاب یا در کفار دیگری که اصلاً این قوانین ندارند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 این بحث در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آنجا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هست یا نیست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؟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را انشا الله صحبت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 در زمان ما در جامعه اسلامی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نیست که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حکام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تشکیلات قضایی داشته باشند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هم باز یک بحث دیگری است که آقای مکارم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این جمله آخرش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به آن توجه کرده است. این پنج شش تنبیه است که تنبیهات مهمی است 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انشا الله بعد از اینکه اصل بحث را روشن کردیم و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مبانی‌اش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مشخص شد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وقت به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خواهیم پرداخت.</w:t>
      </w:r>
    </w:p>
    <w:p w:rsidR="00926FC4" w:rsidRPr="00B5574D" w:rsidRDefault="00926FC4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6" w:name="_Toc425160005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>اشکال منسوخیت آیه</w:t>
      </w:r>
      <w:bookmarkEnd w:id="6"/>
    </w:p>
    <w:p w:rsidR="00926FC4" w:rsidRPr="00B5574D" w:rsidRDefault="00C642C5" w:rsidP="00926FC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پس تخییر از آیه قابل استفاده است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فقط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آنچه باقی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می‌ماند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آیه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چهل‌ودو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ربما یقال به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منسوخ است و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آیه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چهل‌وهشت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آنجا تخییر ندارد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یعنی با فاصله پنج شش آیه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این تخییر دیگر خبری نیست. در آنجا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فحکم بینهم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بدون اینکه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او اعرض عنهم داشته باشد. چه بسا و ممکن ا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ست گفته بشود و بعضی از مفسرین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را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آیه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چهل‌ودو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سوره مائده که دلالت بر تخییر حاکم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منسوخ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شده است به آیه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چهل‌وهشت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 ظهور در تعین حکم طبق شریعت اسلام است.</w:t>
      </w:r>
    </w:p>
    <w:p w:rsidR="00B51798" w:rsidRPr="00B5574D" w:rsidRDefault="00B51798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7" w:name="_Toc425160006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پاسخ اول به اشکال نسخ</w:t>
      </w:r>
      <w:bookmarkEnd w:id="7"/>
    </w:p>
    <w:p w:rsidR="00B51798" w:rsidRPr="00B5574D" w:rsidRDefault="00C642C5" w:rsidP="00B517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جای تخییر نیست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تخییر حکم اولیه بوده که منسوخ است. منتها این اشکال نسخ آیه تخییر</w:t>
      </w:r>
      <w:r w:rsidR="00926FC4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 xml:space="preserve"> دارد؛ یک پاسخ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نسخ خلاف اصل است و ما باید اطمینان به نسخ پیدا بکنیم و در اینجا جمع بین این آیات آیه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چهل‌ودو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چهل‌وهشت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نیازی به قول به نسخ نیست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نسخ یک حکم امری است خلاف قواعد و دلیل قطعی و بین و واضحی باید بر آن اقامه بشود و جایی که بین آن دو دلیل که ادعای ناسخ و منسوخ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جمع عرفی وجود دارد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آنجا که ادعای نسخ درست نیست. این بحث نسخ که در تفسیر یعنی در واقع در علوم قرآن بحث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بحث نسخ را مرحوم آقای خویی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البیانشان مفصل بحث کردند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آقای فاضل هم در آن کتاب تفسیری علوم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قرآنی‌شان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بحث کردند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المیزان هم آمده است و سایر کتب 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 xml:space="preserve">نیز به آن 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>پرداخته‌اند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کتاب‌های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زیادی در مورد نسخ وجود دارد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مرحوم آقای خویی خیلی جامع در همان البیان راجع به نسخ صحبت کردند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از چیزهایی که ایشان از قدیم در آنجا مطرح کردند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 xml:space="preserve">؛ به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غالب مواردی که ادعای نسخ شده ایشان جواب دادند.</w:t>
      </w:r>
    </w:p>
    <w:p w:rsidR="00FC0CE7" w:rsidRPr="00B5574D" w:rsidRDefault="00C642C5" w:rsidP="00B517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چون تعداد زیادی از موارد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در قرآن است که ادعا شده این آیه منسوخ است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فکر کنم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ایشان همه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را جواب دادند و فرمودند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جای نسخ نیست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جز چهار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پنج مورد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 موارد نسخ به عدد انگشتان دست رسیده است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کمتر از ده مورد است که چون 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="00B51798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واقعاً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اینجا آیه نازل شد و حکمش نسخ شده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C0CE7" w:rsidRPr="00B5574D" w:rsidRDefault="00FC0CE7" w:rsidP="00FC0CE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اینکه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حقیقت نسخ چیست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؟ 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آن در جای خودش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باید بحث شود ولی حقیقت این است که؛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اصلش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نمی‌توانیم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انکار کنیم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 خلاف قواعد است و برای اثبات نسخ باید دلیل قاطع و برهان بین و واضحی باشد و از جهت دیگر نسخ در جایی است که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میان آن دو دلیل راه جمعی وجود نداشته باشد والا اگر جمعی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بین دو دلیل 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تبعاً جای نسخ نیست.</w:t>
      </w:r>
    </w:p>
    <w:p w:rsidR="00FC0CE7" w:rsidRPr="00B5574D" w:rsidRDefault="00FC0CE7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8" w:name="_Toc425160007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>تفصیل جواب اول</w:t>
      </w:r>
      <w:bookmarkEnd w:id="8"/>
    </w:p>
    <w:p w:rsidR="00FC0CE7" w:rsidRPr="00B5574D" w:rsidRDefault="00C642C5" w:rsidP="00FC0CE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با توجه به این مقدمه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جواب اول این است که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اینجا بین این دو آیه جمع متصور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جمعش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هم این است که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 اینجا اظهر الظاهر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یا نص الظاهر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آیه که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فحکم بینهم او اعرض عنهم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هیچ ابهامی در آن نیست که مخیر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عدل دارد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قاضی در مقام که ذمی زنا کرده یا گناه دیگر مرتکب شده و ارجاع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به او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مخیر است بین حکم و ارجاع به محاکم خودشان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اما آن آیه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چهل‌وهشت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فحکم بینهم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اگر این تنهایی باشد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مطلق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حکم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متعین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اما با آن که بیاید این تعینش قید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حکم بما انزل الله بکن </w:t>
      </w:r>
      <w:r w:rsidR="00C75052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مطلقاً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C0CE7" w:rsidRPr="00B5574D" w:rsidRDefault="00C642C5" w:rsidP="00FC0CE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البته یک راه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دیگر دارد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و آن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اینکه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را ارجاع بدهید به حاکم خودشان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دو تا نص ظاهر است و جمع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به اینکه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دلیل آیه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چهل‌ودو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واقع مقید آن آیه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عدلی برای آن قرار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 xml:space="preserve"> و این نوع جمع ال</w:t>
      </w:r>
      <w:r w:rsidR="00B5574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ماشاالله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روایات داریم که در</w:t>
      </w:r>
      <w:r w:rsidR="00B5574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روایتی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عدل را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بدون عدل و بدیل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 در روایت دیگر برای آن بدیل ذکر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04C91" w:rsidRPr="00B5574D" w:rsidRDefault="00804C91" w:rsidP="00476FF7">
      <w:pPr>
        <w:pStyle w:val="4"/>
        <w:bidi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ذکر مصادیقی</w:t>
      </w:r>
    </w:p>
    <w:p w:rsidR="00FC0CE7" w:rsidRPr="00B5574D" w:rsidRDefault="00FC0CE7" w:rsidP="008F5F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مثلاً در کفاره صوم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روایاتی آمده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>اگر افطار عمدی کرد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عتق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 xml:space="preserve"> ر</w:t>
      </w:r>
      <w:r w:rsidR="00B5574D">
        <w:rPr>
          <w:rFonts w:ascii="IRBadr" w:hAnsi="IRBadr" w:cs="IRBadr" w:hint="cs"/>
          <w:sz w:val="28"/>
          <w:szCs w:val="28"/>
          <w:rtl/>
          <w:lang w:bidi="fa-IR"/>
        </w:rPr>
        <w:t>ق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به</w:t>
      </w:r>
      <w:r w:rsidR="00B5574D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>ای بکند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دلیل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C642C5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F5FEB" w:rsidRPr="00B5574D">
        <w:rPr>
          <w:rFonts w:ascii="IRBadr" w:hAnsi="IRBadr" w:cs="IRBadr"/>
          <w:sz w:val="28"/>
          <w:szCs w:val="28"/>
          <w:rtl/>
          <w:lang w:bidi="fa-IR"/>
        </w:rPr>
        <w:t>یا عبدی آزاد کن یا به 60 فقیر غذا بده و یا 60 روز روزه بگیر.</w:t>
      </w:r>
    </w:p>
    <w:p w:rsidR="00804C91" w:rsidRPr="00B5574D" w:rsidRDefault="00C642C5" w:rsidP="008F5F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کسی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نمی‌گوید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با هم تعارض دارد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دلیلی که گفته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8F5FEB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>عمداً</w:t>
      </w:r>
      <w:r w:rsidR="008F5FEB" w:rsidRPr="00B5574D">
        <w:rPr>
          <w:rFonts w:ascii="IRBadr" w:hAnsi="IRBadr" w:cs="IRBadr"/>
          <w:sz w:val="28"/>
          <w:szCs w:val="28"/>
          <w:rtl/>
          <w:lang w:bidi="fa-IR"/>
        </w:rPr>
        <w:t xml:space="preserve"> افطار کرده باید عبدی را آزاد کند.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 با این دلیل، این دلیل دوم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یا این یا آن یا آن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حصر آن را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می‌شکند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و حمل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بر اینکه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یکی از اقلام تخییر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نه تعین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>چون حکم که بیاید ظهور دلیل در تعین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اصول گفته شده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وقتی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صبح نماز بخوان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تعین آمده است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ظهر جمعه نماز بخوان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 تعین دارد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.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 اگر دلیل دیگری آمد گفت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>صل صلات جمعه او صل صلات ظهر</w:t>
      </w:r>
      <w:r w:rsidR="00FC0CE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تعین دلیل با این تخییر گرفته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جمع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جمع عرفی است و این دو آیه تنافی ندارند که ما بگوییم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یکی ناسخ باشد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یکی منسوخ باشد.</w:t>
      </w:r>
    </w:p>
    <w:p w:rsidR="00F23A2A" w:rsidRPr="00B5574D" w:rsidRDefault="00B5574D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9" w:name="_Toc425160008"/>
      <w:r>
        <w:rPr>
          <w:rFonts w:ascii="IRBadr" w:hAnsi="IRBadr" w:cs="IRBadr"/>
          <w:color w:val="auto"/>
          <w:sz w:val="32"/>
          <w:szCs w:val="32"/>
          <w:rtl/>
          <w:lang w:bidi="fa-IR"/>
        </w:rPr>
        <w:t>درآمدی</w:t>
      </w:r>
      <w:r w:rsidR="00F23A2A"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 xml:space="preserve"> بر نسخ</w:t>
      </w:r>
      <w:bookmarkEnd w:id="9"/>
    </w:p>
    <w:p w:rsidR="00F23A2A" w:rsidRPr="00B5574D" w:rsidRDefault="00B5574D" w:rsidP="00F23A2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پیش‌فرض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و مبنای نسخ جایی است که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بین دو آیه تنافی باشد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وقتی تنافی شد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وقت </w:t>
      </w:r>
      <w:r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ناسخ است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یکی منسوخ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اما در جایی که تنافی وجود ندارد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جمع عرفی وجود دارد که آن اطلاقش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تعین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 xml:space="preserve"> با بدیل ذکر کردن و ابلاغ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تعین ندارد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یکی از اطراف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وظیفه است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نه تمام وظیفه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.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>ناسخ و منسوخ البته اول باید منسوخ باشد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 بعد ناسخ؛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در اصول بحث شده است. البته اینجا آیه </w:t>
      </w:r>
      <w:r>
        <w:rPr>
          <w:rFonts w:ascii="IRBadr" w:hAnsi="IRBadr" w:cs="IRBadr"/>
          <w:sz w:val="28"/>
          <w:szCs w:val="28"/>
          <w:rtl/>
          <w:lang w:bidi="fa-IR"/>
        </w:rPr>
        <w:t>چهل‌ودو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قبل از آیه </w:t>
      </w:r>
      <w:r>
        <w:rPr>
          <w:rFonts w:ascii="IRBadr" w:hAnsi="IRBadr" w:cs="IRBadr"/>
          <w:sz w:val="28"/>
          <w:szCs w:val="28"/>
          <w:rtl/>
          <w:lang w:bidi="fa-IR"/>
        </w:rPr>
        <w:t>چهل‌وهشت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وارد شده و لذا هم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منسوخ است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جمعش کنیم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جا مشکلی 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 xml:space="preserve">وجود 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>ندارد</w:t>
      </w:r>
      <w:r w:rsidR="00804C91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اما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جایی که فرض تقیید معقول است و جمع عرفی وجود دارد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A3F05" w:rsidRPr="00B5574D">
        <w:rPr>
          <w:rFonts w:ascii="IRBadr" w:hAnsi="IRBadr" w:cs="IRBadr"/>
          <w:sz w:val="28"/>
          <w:szCs w:val="28"/>
          <w:rtl/>
          <w:lang w:bidi="fa-IR"/>
        </w:rPr>
        <w:t xml:space="preserve"> دیگر نوبت به ادعای منسوخیت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نمی‌رسد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3A2A" w:rsidRPr="00B5574D" w:rsidRDefault="00F23A2A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0" w:name="_Toc425160009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>پاسخ دوم</w:t>
      </w:r>
      <w:bookmarkEnd w:id="10"/>
    </w:p>
    <w:p w:rsidR="00F23A2A" w:rsidRPr="00B5574D" w:rsidRDefault="005A3F05" w:rsidP="00F23A2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جواب دوم این است که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ما 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باید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به روایات مراجعه کنیم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 چون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توهم نسخی وجود دارد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ببینیم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روایات چطور است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اگر در روایات رسیدیم به این تخییر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خود آن روایات قرینه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اینجا آیه اول منسوخ نیست و الان ملاحظه خواهید کرد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روایات هم اگر ما دقت کنیم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به همین تخییر خواهیم رسید و لذا خود روایات قرینه بر این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ادعای نسخ در اینجا ادعای تام و درستی نیست. پس اولاً خود آیه با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از روایات اگر ما صدر و ذیل 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دو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آیه را با هم ببینیم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قابل جمع عرفی است و ادعای نسخی لازم نیست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اینجا بشود و جا ندارد و ثانیاً با ملاحظه روایات هم انسان مطمئن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آیه نسخ نشده است.</w:t>
      </w:r>
    </w:p>
    <w:p w:rsidR="00F23A2A" w:rsidRPr="00B5574D" w:rsidRDefault="005A3F05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 xml:space="preserve"> </w:t>
      </w:r>
      <w:bookmarkStart w:id="11" w:name="_Toc425160010"/>
      <w:r w:rsidR="00F23A2A"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>مؤیدیت شأن نزول در اینجا</w:t>
      </w:r>
      <w:bookmarkEnd w:id="11"/>
    </w:p>
    <w:p w:rsidR="00F23A2A" w:rsidRPr="00B5574D" w:rsidRDefault="005A3F05" w:rsidP="00F23A2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 آیه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البته در خطاب به پیغمبر 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>اکرم (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ص)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 القای خصوصیت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هر حاکمی هست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مورد آیه اهل کتاب است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کما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اینکه فتوای فقها هم راجع به اهل کتاب است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غیر از اهل کتاب را بحث خواهیم کرد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خصوصیاتی است که در آیه وجود دارد. گفتیم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منظور از اعرض هم اعراض مطلق نیست که آن را آزاد بگذارد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اعراضی است که همراه با ارجاع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 علاوه بر مناسبات حکم و موضوع 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که تأیید می‌کند این اعراض مطلق نیست،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شأن نزول آیه هم این را تأیید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در مورد زن یهودی است که از اشراف یهودی مدینه بود و زنا کرد و مراجعه کرد به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دیدند در شریعت خودشان کار مشکل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آمدند پیش پیغمبر فرمودند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رجم است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گفتند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پس ما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نمی‌خواهیم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حضرت فرستاد یکی از علمای بزرگ خودشان را پیدا کرد و آمد و او گفت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شریعت ما هم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 و رجم شد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3A2A" w:rsidRPr="00B5574D" w:rsidRDefault="00984BB7" w:rsidP="00476FF7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12" w:name="_Toc425160011"/>
      <w:r w:rsidRPr="00B5574D">
        <w:rPr>
          <w:rFonts w:ascii="IRBadr" w:hAnsi="IRBadr" w:cs="IRBadr"/>
          <w:color w:val="auto"/>
          <w:sz w:val="36"/>
          <w:szCs w:val="36"/>
          <w:rtl/>
          <w:lang w:bidi="fa-IR"/>
        </w:rPr>
        <w:t>روایات در این موضوع</w:t>
      </w:r>
      <w:bookmarkEnd w:id="12"/>
    </w:p>
    <w:p w:rsidR="00984BB7" w:rsidRPr="00B5574D" w:rsidRDefault="005A3F05" w:rsidP="00F23A2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از حیث روایات در این مبحث سه طایفه روایات وجود دارد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طایفه ظهور دارد در اینکه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متعیناً حد اسلامی بر این زانی جاری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آیه اعم بود از بحث زنا و غیر زنا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اما این روایات که بحث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مخصوص بحث زنا است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آیه به اطلاقش باب زنا را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می‌گرفت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 این روایات در خصوص زنا است. اینجا سه طایفه هستند. طایفه اول </w:t>
      </w:r>
      <w:r w:rsidR="005534B2" w:rsidRPr="00B5574D">
        <w:rPr>
          <w:rFonts w:ascii="IRBadr" w:hAnsi="IRBadr" w:cs="IRBadr"/>
          <w:sz w:val="28"/>
          <w:szCs w:val="28"/>
          <w:rtl/>
          <w:lang w:bidi="fa-IR"/>
        </w:rPr>
        <w:t>آنی است که ظهور دارد در تعین اجرای حدود اسلامی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.</w:t>
      </w:r>
      <w:r w:rsidR="005534B2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این طایفه اولی دو روایت هست که یک روایتش در وسائل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 جلد هیجده،</w:t>
      </w:r>
      <w:r w:rsidR="005534B2" w:rsidRPr="00B5574D">
        <w:rPr>
          <w:rFonts w:ascii="IRBadr" w:hAnsi="IRBadr" w:cs="IRBadr"/>
          <w:sz w:val="28"/>
          <w:szCs w:val="28"/>
          <w:rtl/>
          <w:lang w:bidi="fa-IR"/>
        </w:rPr>
        <w:t xml:space="preserve"> ابواب مقدمات حدود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534B2" w:rsidRPr="00B5574D">
        <w:rPr>
          <w:rFonts w:ascii="IRBadr" w:hAnsi="IRBadr" w:cs="IRBadr"/>
          <w:sz w:val="28"/>
          <w:szCs w:val="28"/>
          <w:rtl/>
          <w:lang w:bidi="fa-IR"/>
        </w:rPr>
        <w:t xml:space="preserve"> باب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بیست‌ونه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534B2" w:rsidRPr="00B5574D">
        <w:rPr>
          <w:rFonts w:ascii="IRBadr" w:hAnsi="IRBadr" w:cs="IRBadr"/>
          <w:sz w:val="28"/>
          <w:szCs w:val="28"/>
          <w:rtl/>
          <w:lang w:bidi="fa-IR"/>
        </w:rPr>
        <w:t xml:space="preserve"> حدیث اول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 سیصد و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سی‌وهشت</w:t>
      </w:r>
      <w:r w:rsidR="00F23A2A"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 و</w:t>
      </w:r>
      <w:r w:rsidR="005534B2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حدیث هم بیشتر ندارد.</w:t>
      </w:r>
    </w:p>
    <w:p w:rsidR="00F23A2A" w:rsidRPr="00B5574D" w:rsidRDefault="00984BB7" w:rsidP="00476FF7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13" w:name="_Toc425160012"/>
      <w:r w:rsidRPr="00B5574D">
        <w:rPr>
          <w:rFonts w:ascii="IRBadr" w:hAnsi="IRBadr" w:cs="IRBadr"/>
          <w:color w:val="auto"/>
          <w:sz w:val="36"/>
          <w:szCs w:val="36"/>
          <w:rtl/>
          <w:lang w:bidi="fa-IR"/>
        </w:rPr>
        <w:t>روایات اجرای حد اسلامی</w:t>
      </w:r>
      <w:bookmarkEnd w:id="13"/>
    </w:p>
    <w:p w:rsidR="008F5FEB" w:rsidRPr="00B5574D" w:rsidRDefault="005534B2" w:rsidP="008F5FEB">
      <w:pPr>
        <w:autoSpaceDE w:val="0"/>
        <w:autoSpaceDN w:val="0"/>
        <w:bidi/>
        <w:adjustRightInd w:val="0"/>
        <w:spacing w:after="0" w:line="240" w:lineRule="auto"/>
        <w:rPr>
          <w:rFonts w:ascii="IRBadr" w:hAnsi="IRBadr" w:cs="IRBadr"/>
          <w:sz w:val="28"/>
          <w:szCs w:val="28"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روایت این است که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عبد الله بن جعفر فی قرب الاسناد عن عبد الله بن حسن عن علی بن جعفر عن اخیه موسی بن جعفر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سند معتبر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از کتاب قرب الاسناد است که عبد الله بن جعفر نوشته از عبد الله بن حسن از علی بن جعفر برادرشان موسی بن جعفر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معتبر دارد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F5FEB" w:rsidRPr="00B5574D" w:rsidRDefault="008F5FEB" w:rsidP="008F5FE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«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سَأَلْتُهُ عَنْ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هُودِ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أَوْ نَصْرَانِ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أَوْ مَجُوسِ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أُخِذَ زَانِ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اً أَوْ شَارِبَ خَمْرٍ مَا عَلَ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قَالَ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قَامُ عَلَ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هِ حُدُودُ الْمُسْلِمِ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 w:rsidRPr="00B5574D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إِذَا فَعَلُوا ذَلِ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مِصْرٍ مِنْ أَمْصَارِ الْمُسْلِمِ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نَ أَوْ فِ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غَ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رِ أَمْصَارِ الْمُسْلِمِ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نَ إِذَا رُفِعُوا إِلَ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حُ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امِ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الْمُسْلِمِینَ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»</w:t>
      </w:r>
      <w:r w:rsidRPr="00B5574D">
        <w:rPr>
          <w:rStyle w:val="ac"/>
          <w:rFonts w:ascii="IRBadr" w:hAnsi="IRBadr" w:cs="IRBadr"/>
          <w:sz w:val="28"/>
          <w:szCs w:val="28"/>
          <w:rtl/>
          <w:lang w:bidi="fa-IR"/>
        </w:rPr>
        <w:footnoteReference w:id="2"/>
      </w:r>
    </w:p>
    <w:p w:rsidR="00984BB7" w:rsidRPr="00B5574D" w:rsidRDefault="005534B2" w:rsidP="00984B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اهل کتابی که زنا کرد چه بر او ثابت است؟ جواب موسی بن جعفر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است 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که؛</w:t>
      </w:r>
    </w:p>
    <w:p w:rsidR="00984BB7" w:rsidRPr="00B5574D" w:rsidRDefault="005534B2" w:rsidP="00984B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اگر در جامعه اسلامی این کار را مرتکب شدند یا غیر سرزمین اسلامی بوده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 ارجاع شدند به حکام مسلمین اینجا یقام علیه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،.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روایت است که سند معتبر دارد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دلالتش هم روشن است که یقام علیه المسلمین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F5FEB" w:rsidRPr="00B5574D" w:rsidRDefault="00984BB7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4" w:name="_Toc425160013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روایت دوم</w:t>
      </w:r>
      <w:bookmarkEnd w:id="14"/>
    </w:p>
    <w:p w:rsidR="008F5FEB" w:rsidRPr="00B5574D" w:rsidRDefault="005534B2" w:rsidP="008F5F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روایت دیگر هم هست که معتبره ابی بصیر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جلد نوزده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ابواب دیات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 xml:space="preserve">این هم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سند معتبری دارد و آنجا هم همین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یقام علیه الحدود المسلمین</w:t>
      </w:r>
      <w:r w:rsidR="008F5FEB" w:rsidRPr="00B5574D">
        <w:rPr>
          <w:rFonts w:ascii="IRBadr" w:hAnsi="IRBadr" w:cs="IRBadr"/>
          <w:sz w:val="28"/>
          <w:szCs w:val="28"/>
          <w:rtl/>
          <w:lang w:bidi="fa-IR"/>
        </w:rPr>
        <w:t>»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دو روایت است که ظهور دارد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سندهای معتبری دارند و ظهورش هم در تعین اقامه حد مطابق با موازین فقهی ماست. روایت دیگری که دلالت بر همین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همین جلد هیجده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ابواب حد زنا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باب هشت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حدیث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پنج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صفحه سیصد و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شصت‌ویک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. و باسناده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سند مرحوم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شیخ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عن محمد بن احمد بن عیسی عن محمد بن عیسی عن عبد الله بن مغیره عن اسماعیل بن ابی زیاد عن جعفر اسماعیل ابی زیاد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همان سکونی مشهور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سند معتبر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محل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آن وجود دارد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معتبر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عن جعفر بن محمد عن آبائه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محمد بن ابی بکر در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دوره‌ای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 حاکم مصر بود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برایش اتفاق افتاد و از امیر المومنین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مکتوب 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سؤال کرد،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محمد بن ابی بکر از امیر 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>المومنین (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بود</w:t>
      </w:r>
      <w:r w:rsidR="008F5FEB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8F5FEB" w:rsidRPr="00B5574D" w:rsidRDefault="008F5FEB" w:rsidP="008F5FEB">
      <w:pPr>
        <w:autoSpaceDE w:val="0"/>
        <w:autoSpaceDN w:val="0"/>
        <w:bidi/>
        <w:adjustRightInd w:val="0"/>
        <w:spacing w:after="0" w:line="240" w:lineRule="auto"/>
        <w:rPr>
          <w:rFonts w:ascii="IRBadr" w:hAnsi="IRBadr" w:cs="IRBadr"/>
          <w:sz w:val="28"/>
          <w:szCs w:val="28"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«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أَنَّ مُحَمَّدَ بْنَ أَبِ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رٍ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تَبَ</w:t>
      </w:r>
      <w:r w:rsidRPr="00B5574D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إِلَ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عَلِ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سْأَلُهُ عَنِ الرَّجُلِ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زْنِ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بِالْمَرْأَةِ الْ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هُودِ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ةِ وَ النَّصْرَانِ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ةِ فَ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تَبَ إِلَ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إِنْ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 مُحْصَناً فَارْجُمْهُ وَ إِنْ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انَ بِ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راً فَاجْلِدْهُ مِائَةَ جَلْدَةٍ ثُمَّ انْفِهِ وَ أَمَّا الْ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هُودِ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ةُ فَابْعَثْ بِهَا إِلَ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أَهْلِ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ملّت‌ها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فَلْ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فْعَلُوا بِهَا مَا أَحَبُّوا</w:t>
      </w:r>
      <w:r w:rsidRPr="00B5574D">
        <w:rPr>
          <w:rFonts w:ascii="IRBadr" w:hAnsi="IRBadr" w:cs="IRBadr"/>
          <w:sz w:val="28"/>
          <w:szCs w:val="28"/>
          <w:lang w:bidi="fa-IR"/>
        </w:rPr>
        <w:t>.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984BB7" w:rsidRPr="00B5574D" w:rsidRDefault="005534B2" w:rsidP="008F5FE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مرد مسلمانی که با زن یهودی زنا کرده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حضرت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مرد که مسلمان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اگر محصن است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رجمش بکن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تبعیدش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کن و اما زنی که آمده زنا کرد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ه 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یهودی بود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ه؛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بفرست برود پیش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هر طوری دوست دارند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 هر طور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مبانی‌اش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هست و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می‌پسندند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حکم بکنند. اینجا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طرفش ندارد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طبق شریعت خودمان حکم بکن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 پس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روایت تعین ندارد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835EF" w:rsidRPr="00B5574D" w:rsidRDefault="006835EF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5" w:name="_Toc425160014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>بحث در روایتی مشابه</w:t>
      </w:r>
      <w:bookmarkEnd w:id="15"/>
    </w:p>
    <w:p w:rsidR="006835EF" w:rsidRPr="00B5574D" w:rsidRDefault="005534B2" w:rsidP="00683D2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روایات دیگری در همین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با همین مضمون باب پنجاه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آمده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است. باب پنجاه حدیث یک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 xml:space="preserve">او را 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به عنوان حاکم فرستاد به مصر </w:t>
      </w:r>
      <w:r w:rsidR="00683D2F" w:rsidRPr="00B5574D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از او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کرد</w:t>
      </w:r>
      <w:r w:rsidR="00984BB7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 xml:space="preserve"> در جواب امام فرمودند: می‌تواند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حد را بر آن مسلم</w:t>
      </w:r>
      <w:r w:rsidR="00B5574D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ن</w:t>
      </w:r>
      <w:r w:rsidR="00B5574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جا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>ری بکند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می‌توانی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 xml:space="preserve">او را 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>برگردانی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.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هم روایت دیگر است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محمد بن ابی بکر است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بعید است در آن دوره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محمد بن ابی بکر این را دو بار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کرده باشد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بار برایش اتفاق افتاده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کرده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اگر هم اتفاق افتاده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بار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کافی است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بعید است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پس این دو روایت یکی است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وقت آن روایت قبلی سند داشت و آن سندش معتبر بود. این دو روایت که احتمالاً یک روایت باشد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به سرزمین خودش بفرست.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البته آن روایتی که طایفه اولی بود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مورد مرد بود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>این روایت در مورد زن است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توهم این نکرده که مرد و زن در اینجا متفاوت است و لذا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از این جهت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متفاوت است.</w:t>
      </w:r>
    </w:p>
    <w:p w:rsidR="006835EF" w:rsidRPr="00B5574D" w:rsidRDefault="006835EF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6" w:name="_Toc425160015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شبهه تعارض</w:t>
      </w:r>
      <w:bookmarkEnd w:id="16"/>
    </w:p>
    <w:p w:rsidR="006835EF" w:rsidRPr="00B5574D" w:rsidRDefault="00A3191C" w:rsidP="006835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لذا از لحاظ موقعیت و موضوع تفاوت بین دو روایت نیست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دو روایت اگر تنها بودند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تعارض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داشت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طایفه اول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اگر ذمی زنا کرد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یقام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علیه الحدود المسلمین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طایفه ثانیه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یدفع الی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اهل‌ها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...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اگر خودشان تنها بودند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تعارض داشتند و در بعضی از مبانی اصولی این است که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نوع موارد وقتی تعارض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ما قائل به جمع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می‌شویم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ولی در اینجا بعضی این جمع عرفی را در این شکل قبول ندارند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اما اینجا نیازی به این بحث اصولی نداریم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برای اینکه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شاهد جمع داریم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835EF" w:rsidRPr="00B5574D" w:rsidRDefault="006835EF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7" w:name="_Toc425160016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>پاسخ از آن</w:t>
      </w:r>
      <w:bookmarkEnd w:id="17"/>
    </w:p>
    <w:p w:rsidR="00683D2F" w:rsidRPr="00B5574D" w:rsidRDefault="00A3191C" w:rsidP="00683D2F">
      <w:pPr>
        <w:autoSpaceDE w:val="0"/>
        <w:autoSpaceDN w:val="0"/>
        <w:bidi/>
        <w:adjustRightInd w:val="0"/>
        <w:spacing w:after="0" w:line="240" w:lineRule="auto"/>
        <w:rPr>
          <w:rFonts w:ascii="IRBadr" w:hAnsi="IRBadr" w:cs="IRBadr"/>
          <w:sz w:val="28"/>
          <w:szCs w:val="28"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یکی روایتی است در کتاب قضا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ابواب کیفیت حکم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جلد هیجده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باب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بیست‌وهفت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حدیث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اول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دویست و هیجده. اینجا روایت این است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محمد بن حسن باسناده عن سعد بن عبد الله عن حسین عن ابن ابی عن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سویید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بن سعید غلا عن ایوب عن ابی بصیر عن ابی جعفر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«إِنَّ الْحَا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مَ إِذَا أَتَاهُ أَهْلُ التَّوْرَاةِ وَ أَهْلُ الْإِنْجِ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لِ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تَحَا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مُونَ إِلَ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انَ ذَلِ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هِ</w:t>
      </w:r>
      <w:r w:rsidR="00683D2F" w:rsidRPr="00B5574D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إِنْ شَاءَ حَ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مَ بَ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نَهُمْ</w:t>
      </w:r>
      <w:r w:rsidR="00683D2F" w:rsidRPr="00B5574D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وَ إِنْ شَاءَ تَرَ</w:t>
      </w:r>
      <w:r w:rsidR="005662E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683D2F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هُمْ</w:t>
      </w:r>
      <w:r w:rsidR="00683D2F" w:rsidRPr="00B5574D">
        <w:rPr>
          <w:rFonts w:ascii="IRBadr" w:hAnsi="IRBadr" w:cs="IRBadr"/>
          <w:sz w:val="28"/>
          <w:szCs w:val="28"/>
          <w:rtl/>
          <w:lang w:bidi="fa-IR"/>
        </w:rPr>
        <w:t>»</w:t>
      </w:r>
      <w:r w:rsidR="00683D2F" w:rsidRPr="00B5574D">
        <w:rPr>
          <w:rFonts w:ascii="IRBadr" w:hAnsi="IRBadr" w:cs="IRBadr"/>
          <w:sz w:val="28"/>
          <w:szCs w:val="28"/>
          <w:lang w:bidi="fa-IR"/>
        </w:rPr>
        <w:t>.</w:t>
      </w:r>
      <w:r w:rsidR="00683D2F" w:rsidRPr="00B5574D">
        <w:rPr>
          <w:rStyle w:val="ac"/>
          <w:rFonts w:ascii="IRBadr" w:hAnsi="IRBadr" w:cs="IRBadr"/>
          <w:sz w:val="28"/>
          <w:szCs w:val="28"/>
          <w:lang w:bidi="fa-IR"/>
        </w:rPr>
        <w:footnoteReference w:id="3"/>
      </w:r>
    </w:p>
    <w:p w:rsidR="006835EF" w:rsidRPr="00B5574D" w:rsidRDefault="00683D2F" w:rsidP="00B5574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>روایت دیگر برخلاف طایفه اولی که جمله در تعین داشت و طایفه ثانیه که ظهور در تعین خلاف آن را داشت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 این صریح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B5574D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إِنْ شَاءَ حَکمَ بَینَهُمْ</w:t>
      </w:r>
      <w:r w:rsidR="00B5574D" w:rsidRPr="00B5574D">
        <w:rPr>
          <w:rFonts w:ascii="IRBadr" w:hAnsi="IRBadr" w:cs="IRBadr"/>
          <w:b/>
          <w:bCs/>
          <w:sz w:val="28"/>
          <w:szCs w:val="28"/>
          <w:lang w:bidi="fa-IR"/>
        </w:rPr>
        <w:t xml:space="preserve"> </w:t>
      </w:r>
      <w:r w:rsidR="00B5574D" w:rsidRPr="00B5574D">
        <w:rPr>
          <w:rFonts w:ascii="IRBadr" w:hAnsi="IRBadr" w:cs="IRBadr"/>
          <w:b/>
          <w:bCs/>
          <w:sz w:val="28"/>
          <w:szCs w:val="28"/>
          <w:rtl/>
          <w:lang w:bidi="fa-IR"/>
        </w:rPr>
        <w:t>وَ إِنْ شَاءَ تَرَکهُمْ</w:t>
      </w:r>
      <w:r w:rsidR="00B5574D" w:rsidRPr="00B5574D">
        <w:rPr>
          <w:rFonts w:ascii="IRBadr" w:hAnsi="IRBadr" w:cs="IRBadr"/>
          <w:sz w:val="28"/>
          <w:szCs w:val="28"/>
          <w:rtl/>
          <w:lang w:bidi="fa-IR"/>
        </w:rPr>
        <w:t>»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91C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روایت سندش معتبر است و دلالتش هم واضح است.</w:t>
      </w:r>
    </w:p>
    <w:p w:rsidR="006835EF" w:rsidRPr="00B5574D" w:rsidRDefault="00A3191C" w:rsidP="006835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روایت است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آیه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هم اگر ما نسخ را نپذیرفتیم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ظهور قوی به صراحت دارد در تخییر و لذا با ملاحظه این روایت و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به یک معنا آیه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البته اگر بحث تخییر آیه را 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 xml:space="preserve">بر روایات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متوقف نکنیم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روایت هم ظهور در تخییر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 xml:space="preserve"> داشته،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وقت بین دو طایفه </w:t>
      </w:r>
      <w:r w:rsidR="006835EF" w:rsidRPr="00B5574D">
        <w:rPr>
          <w:rFonts w:ascii="IRBadr" w:hAnsi="IRBadr" w:cs="IRBadr"/>
          <w:sz w:val="28"/>
          <w:szCs w:val="28"/>
          <w:rtl/>
          <w:lang w:bidi="fa-IR"/>
        </w:rPr>
        <w:t xml:space="preserve">جمع می‌شود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و حمل بر تخییر گفته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835EF" w:rsidRPr="00B5574D" w:rsidRDefault="000C5D3F" w:rsidP="00476FF7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8" w:name="_Toc425160017"/>
      <w:r w:rsidRPr="00B5574D">
        <w:rPr>
          <w:rFonts w:ascii="IRBadr" w:hAnsi="IRBadr" w:cs="IRBadr"/>
          <w:color w:val="auto"/>
          <w:sz w:val="32"/>
          <w:szCs w:val="32"/>
          <w:rtl/>
          <w:lang w:bidi="fa-IR"/>
        </w:rPr>
        <w:t>دو نظریه در عدم تعین دو دلیل</w:t>
      </w:r>
      <w:bookmarkEnd w:id="18"/>
    </w:p>
    <w:p w:rsidR="000C5D3F" w:rsidRPr="00B5574D" w:rsidRDefault="00ED1D09" w:rsidP="000C5D3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>دو حکم اگر در یک موضوع و مورد بیاید و قابل جمع باشد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 هر دو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ظهور دلیل را در هر دو دلیل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می‌گیریم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 هر دو دلیل ظهور دارد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تعین دارد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به هر دو تعین را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عمل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 اما جایی که به هر دو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متعیناً عمل کرد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 xml:space="preserve">، با این دو دلیل چه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معامله‌ای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بکنیم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؟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اینجاست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که دو نظر وجود دارد.</w:t>
      </w:r>
    </w:p>
    <w:p w:rsidR="005A3F05" w:rsidRPr="00B5574D" w:rsidRDefault="00ED1D09" w:rsidP="000C5D3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نظر این است که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تعارض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چون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حکم بیشتر اینجا نیست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اما یک نظر و دیدگاه دیگر اصولی این است که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با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از طایفه ثالثه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داریم بحث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فرض کنیم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شاهد جمع نداشتیم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دیدگاه اصولی در این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>صورت این بود که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تعارض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دیدگاه دیگر اصولی این است که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در اینجا تعارض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 جمع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lastRenderedPageBreak/>
        <w:t>به این شکل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هر دلیلی ظهور در تعین دارد و دلیل مقابل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تعین آن را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دلیل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تعین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را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وقت لازمه اینکه هر دلیلی تعین دیگری را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اصل آن معارضه بکند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 این دو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با هم جمع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به تخییر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هم دیدگاه دیگر اصولی است که بعید نیست همین دیدگاه درست باشد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علتش این است که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574D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یک حکم شرعی است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 تعارض این دو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به این نیست که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با قصد آن مخالف باشد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هم با اصل این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این با تعین آن معارض شده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هم با تعین این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="005662EF" w:rsidRPr="00B5574D">
        <w:rPr>
          <w:rFonts w:ascii="IRBadr" w:hAnsi="IRBadr" w:cs="IRBadr"/>
          <w:sz w:val="28"/>
          <w:szCs w:val="28"/>
          <w:rtl/>
          <w:lang w:bidi="fa-IR"/>
        </w:rPr>
        <w:t xml:space="preserve"> تعین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‌ها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را که قرینیت داده بشود و برداریم</w:t>
      </w:r>
      <w:r w:rsidR="00392069" w:rsidRPr="00B5574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آن وقت جمع عرفی پیدا </w:t>
      </w:r>
      <w:r w:rsidR="00C75052" w:rsidRPr="00B5574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5574D">
        <w:rPr>
          <w:rFonts w:ascii="IRBadr" w:hAnsi="IRBadr" w:cs="IRBadr"/>
          <w:sz w:val="28"/>
          <w:szCs w:val="28"/>
          <w:rtl/>
          <w:lang w:bidi="fa-IR"/>
        </w:rPr>
        <w:t xml:space="preserve"> و همان تخییر است</w:t>
      </w:r>
      <w:r w:rsidR="000C5D3F" w:rsidRPr="00B5574D">
        <w:rPr>
          <w:rFonts w:ascii="IRBadr" w:hAnsi="IRBadr" w:cs="IRBadr"/>
          <w:sz w:val="28"/>
          <w:szCs w:val="28"/>
          <w:rtl/>
          <w:lang w:bidi="fa-IR"/>
        </w:rPr>
        <w:t>.</w:t>
      </w:r>
    </w:p>
    <w:sectPr w:rsidR="005A3F05" w:rsidRPr="00B5574D" w:rsidSect="0052249A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BA" w:rsidRDefault="00CE74BA" w:rsidP="00B20B33">
      <w:pPr>
        <w:spacing w:after="0" w:line="240" w:lineRule="auto"/>
      </w:pPr>
      <w:r>
        <w:separator/>
      </w:r>
    </w:p>
  </w:endnote>
  <w:endnote w:type="continuationSeparator" w:id="0">
    <w:p w:rsidR="00CE74BA" w:rsidRDefault="00CE74BA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BA" w:rsidRDefault="00CE74BA" w:rsidP="00476FF7">
      <w:pPr>
        <w:bidi/>
        <w:spacing w:after="0" w:line="240" w:lineRule="auto"/>
      </w:pPr>
      <w:r>
        <w:separator/>
      </w:r>
    </w:p>
  </w:footnote>
  <w:footnote w:type="continuationSeparator" w:id="0">
    <w:p w:rsidR="00CE74BA" w:rsidRDefault="00CE74BA" w:rsidP="00B20B33">
      <w:pPr>
        <w:spacing w:after="0" w:line="240" w:lineRule="auto"/>
      </w:pPr>
      <w:r>
        <w:continuationSeparator/>
      </w:r>
    </w:p>
  </w:footnote>
  <w:footnote w:id="1">
    <w:p w:rsidR="008F5FEB" w:rsidRPr="00476FF7" w:rsidRDefault="008F5FEB" w:rsidP="00476FF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B Lotus"/>
          <w:color w:val="000000" w:themeColor="text1"/>
          <w:sz w:val="20"/>
          <w:szCs w:val="20"/>
          <w:rtl/>
          <w:lang w:bidi="fa-IR"/>
        </w:rPr>
      </w:pPr>
      <w:r w:rsidRPr="00476FF7">
        <w:rPr>
          <w:rStyle w:val="ac"/>
          <w:vertAlign w:val="baseline"/>
        </w:rPr>
        <w:footnoteRef/>
      </w:r>
      <w:r w:rsidR="005662EF" w:rsidRPr="00476FF7">
        <w:t xml:space="preserve"> </w:t>
      </w:r>
      <w:r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تفص</w:t>
      </w:r>
      <w:r w:rsidR="005662EF"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ی</w:t>
      </w:r>
      <w:r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ل الشر</w:t>
      </w:r>
      <w:r w:rsidR="005662EF"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ی</w:t>
      </w:r>
      <w:r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عة ف</w:t>
      </w:r>
      <w:r w:rsidR="005662EF"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ی</w:t>
      </w:r>
      <w:r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 xml:space="preserve"> شرح تحر</w:t>
      </w:r>
      <w:r w:rsidR="005662EF"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ی</w:t>
      </w:r>
      <w:r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ر الوس</w:t>
      </w:r>
      <w:r w:rsidR="005662EF"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ی</w:t>
      </w:r>
      <w:r w:rsidRPr="00476FF7">
        <w:rPr>
          <w:rFonts w:ascii="Noor_Titr" w:hAnsi="Noor_Titr" w:cs="B Lotus"/>
          <w:b/>
          <w:bCs/>
          <w:color w:val="000000" w:themeColor="text1"/>
          <w:sz w:val="20"/>
          <w:szCs w:val="20"/>
          <w:rtl/>
          <w:lang w:bidi="fa-IR"/>
        </w:rPr>
        <w:t>لة - الحدود؛ ص: 190</w:t>
      </w:r>
    </w:p>
    <w:p w:rsidR="008F5FEB" w:rsidRPr="00476FF7" w:rsidRDefault="008F5FEB" w:rsidP="00476FF7">
      <w:pPr>
        <w:pStyle w:val="aa"/>
        <w:bidi/>
        <w:rPr>
          <w:lang w:bidi="fa-IR"/>
        </w:rPr>
      </w:pPr>
    </w:p>
  </w:footnote>
  <w:footnote w:id="2">
    <w:p w:rsidR="008F5FEB" w:rsidRPr="00476FF7" w:rsidRDefault="008F5FEB" w:rsidP="00476FF7">
      <w:pPr>
        <w:pStyle w:val="aa"/>
        <w:bidi/>
        <w:rPr>
          <w:lang w:bidi="fa-IR"/>
        </w:rPr>
      </w:pPr>
      <w:r w:rsidRPr="00476FF7">
        <w:rPr>
          <w:rStyle w:val="ac"/>
          <w:vertAlign w:val="baseline"/>
        </w:rPr>
        <w:footnoteRef/>
      </w:r>
      <w:r w:rsidRPr="00476FF7">
        <w:t xml:space="preserve"> </w:t>
      </w:r>
      <w:r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مسائل عل</w:t>
      </w:r>
      <w:r w:rsidR="005662EF"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ی</w:t>
      </w:r>
      <w:r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 بن جعفر و </w:t>
      </w:r>
      <w:r w:rsidR="00B5574D">
        <w:rPr>
          <w:rFonts w:ascii="Noor_Titr" w:hAnsi="Noor_Titr" w:cs="B Lotus"/>
          <w:b/>
          <w:bCs/>
          <w:color w:val="000000" w:themeColor="text1"/>
          <w:rtl/>
          <w:lang w:bidi="fa-IR"/>
        </w:rPr>
        <w:t>مستدرکات</w:t>
      </w:r>
      <w:r w:rsidR="005662EF"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ها</w:t>
      </w:r>
      <w:r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؛ ص: 288</w:t>
      </w:r>
    </w:p>
  </w:footnote>
  <w:footnote w:id="3">
    <w:p w:rsidR="00683D2F" w:rsidRPr="00476FF7" w:rsidRDefault="00683D2F" w:rsidP="00476FF7">
      <w:pPr>
        <w:pStyle w:val="aa"/>
        <w:bidi/>
        <w:rPr>
          <w:lang w:bidi="fa-IR"/>
        </w:rPr>
      </w:pPr>
      <w:r w:rsidRPr="00476FF7">
        <w:rPr>
          <w:rStyle w:val="ac"/>
          <w:vertAlign w:val="baseline"/>
        </w:rPr>
        <w:footnoteRef/>
      </w:r>
      <w:r w:rsidRPr="00476FF7">
        <w:t xml:space="preserve"> </w:t>
      </w:r>
      <w:r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تهذ</w:t>
      </w:r>
      <w:r w:rsidR="005662EF"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ی</w:t>
      </w:r>
      <w:r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ب الأح</w:t>
      </w:r>
      <w:r w:rsidR="005662EF"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ک</w:t>
      </w:r>
      <w:r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ام؛ </w:t>
      </w:r>
      <w:r w:rsidR="005662EF"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ج 6</w:t>
      </w:r>
      <w:r w:rsidRPr="00476FF7">
        <w:rPr>
          <w:rFonts w:ascii="Noor_Titr" w:hAnsi="Noor_Titr" w:cs="B Lotus"/>
          <w:b/>
          <w:bCs/>
          <w:color w:val="000000" w:themeColor="text1"/>
          <w:rtl/>
          <w:lang w:bidi="fa-IR"/>
        </w:rPr>
        <w:t>، ص: 300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EB" w:rsidRDefault="00CE74BA" w:rsidP="0052249A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9" w:name="OLE_LINK1"/>
    <w:bookmarkStart w:id="20" w:name="OLE_LINK2"/>
    <w:r w:rsidR="008F5FEB">
      <w:rPr>
        <w:noProof/>
        <w:lang w:bidi="fa-IR"/>
      </w:rPr>
      <w:drawing>
        <wp:inline distT="0" distB="0" distL="0" distR="0" wp14:anchorId="4AFA2DCB" wp14:editId="7ABBAEEB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 w:rsidR="005662EF">
      <w:rPr>
        <w:rFonts w:cs="IranNastaliq"/>
        <w:rtl/>
      </w:rPr>
      <w:t xml:space="preserve"> </w:t>
    </w:r>
    <w:r w:rsidR="008F5FEB" w:rsidRPr="001C79A9">
      <w:rPr>
        <w:rFonts w:cs="IranNastaliq"/>
        <w:sz w:val="40"/>
        <w:szCs w:val="40"/>
        <w:rtl/>
      </w:rPr>
      <w:t>شماره ثبت</w:t>
    </w:r>
    <w:r w:rsidR="008F5FEB" w:rsidRPr="001C79A9">
      <w:rPr>
        <w:sz w:val="40"/>
        <w:szCs w:val="40"/>
        <w:rtl/>
      </w:rPr>
      <w:t>:</w:t>
    </w:r>
    <w:r w:rsidR="008F5FEB" w:rsidRPr="001C79A9">
      <w:rPr>
        <w:rFonts w:hint="cs"/>
        <w:sz w:val="40"/>
        <w:szCs w:val="40"/>
        <w:rtl/>
      </w:rPr>
      <w:t xml:space="preserve"> </w:t>
    </w:r>
    <w:r w:rsidR="008F5FEB">
      <w:rPr>
        <w:rFonts w:cs="2  Badr" w:hint="cs"/>
        <w:sz w:val="40"/>
        <w:szCs w:val="40"/>
        <w:rtl/>
        <w:lang w:bidi="fa-IR"/>
      </w:rPr>
      <w:t>728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93436"/>
    <w:rsid w:val="000C5D3F"/>
    <w:rsid w:val="000C7707"/>
    <w:rsid w:val="00114323"/>
    <w:rsid w:val="0013532B"/>
    <w:rsid w:val="00157D98"/>
    <w:rsid w:val="00185BAA"/>
    <w:rsid w:val="002F56CA"/>
    <w:rsid w:val="00392069"/>
    <w:rsid w:val="00476FF7"/>
    <w:rsid w:val="004A0F24"/>
    <w:rsid w:val="004D6CCD"/>
    <w:rsid w:val="0052249A"/>
    <w:rsid w:val="005534B2"/>
    <w:rsid w:val="005540C8"/>
    <w:rsid w:val="005662EF"/>
    <w:rsid w:val="005962C1"/>
    <w:rsid w:val="005A3F05"/>
    <w:rsid w:val="005C5E0B"/>
    <w:rsid w:val="005F48DC"/>
    <w:rsid w:val="006835EF"/>
    <w:rsid w:val="00683D2F"/>
    <w:rsid w:val="00731AB0"/>
    <w:rsid w:val="007339F8"/>
    <w:rsid w:val="007D6C83"/>
    <w:rsid w:val="007E4000"/>
    <w:rsid w:val="00804C91"/>
    <w:rsid w:val="008C1209"/>
    <w:rsid w:val="008D3216"/>
    <w:rsid w:val="008F46B0"/>
    <w:rsid w:val="008F5FEB"/>
    <w:rsid w:val="00926FC4"/>
    <w:rsid w:val="00952C9A"/>
    <w:rsid w:val="00984BB7"/>
    <w:rsid w:val="009A5E11"/>
    <w:rsid w:val="00A3191C"/>
    <w:rsid w:val="00A7495D"/>
    <w:rsid w:val="00AA51EC"/>
    <w:rsid w:val="00B20B33"/>
    <w:rsid w:val="00B36156"/>
    <w:rsid w:val="00B51798"/>
    <w:rsid w:val="00B53115"/>
    <w:rsid w:val="00B5574D"/>
    <w:rsid w:val="00BA28C4"/>
    <w:rsid w:val="00BB1193"/>
    <w:rsid w:val="00C642C5"/>
    <w:rsid w:val="00C75052"/>
    <w:rsid w:val="00CE1B92"/>
    <w:rsid w:val="00CE74BA"/>
    <w:rsid w:val="00CF6DCC"/>
    <w:rsid w:val="00DD520D"/>
    <w:rsid w:val="00DD7C19"/>
    <w:rsid w:val="00ED1D09"/>
    <w:rsid w:val="00ED32D5"/>
    <w:rsid w:val="00F1173B"/>
    <w:rsid w:val="00F23A2A"/>
    <w:rsid w:val="00F74F79"/>
    <w:rsid w:val="00FA6EA6"/>
    <w:rsid w:val="00FB0456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476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6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6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52249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F5FEB"/>
    <w:pPr>
      <w:spacing w:after="0" w:line="240" w:lineRule="auto"/>
    </w:pPr>
    <w:rPr>
      <w:sz w:val="20"/>
      <w:szCs w:val="20"/>
    </w:rPr>
  </w:style>
  <w:style w:type="character" w:customStyle="1" w:styleId="ab">
    <w:name w:val="متن پاورقی نویسه"/>
    <w:basedOn w:val="a0"/>
    <w:link w:val="aa"/>
    <w:uiPriority w:val="99"/>
    <w:semiHidden/>
    <w:rsid w:val="008F5FE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5FEB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47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476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476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عنوان 4 نویسه"/>
    <w:basedOn w:val="a0"/>
    <w:link w:val="4"/>
    <w:uiPriority w:val="9"/>
    <w:rsid w:val="00476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476F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6FF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76FF7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476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554E-EE06-46A3-9D43-EB9EF591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9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27</cp:revision>
  <dcterms:created xsi:type="dcterms:W3CDTF">2012-12-13T07:05:00Z</dcterms:created>
  <dcterms:modified xsi:type="dcterms:W3CDTF">2015-07-27T06:47:00Z</dcterms:modified>
</cp:coreProperties>
</file>