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6A4069" w:rsidRDefault="00B20B33" w:rsidP="00406ED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4069">
        <w:rPr>
          <w:rFonts w:ascii="IRBadr" w:hAnsi="IRBadr" w:cs="IRBadr"/>
          <w:sz w:val="28"/>
          <w:szCs w:val="28"/>
          <w:rtl/>
          <w:lang w:bidi="fa-IR"/>
        </w:rPr>
        <w:t>بسم الله الرحمن الرحیم</w:t>
      </w:r>
    </w:p>
    <w:p w:rsidR="00406EDC" w:rsidRPr="006A4069" w:rsidRDefault="00406EDC" w:rsidP="00406ED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4069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406EDC" w:rsidRPr="006A4069" w:rsidRDefault="00406EDC" w:rsidP="00406EDC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r w:rsidRPr="006A4069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6A4069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6A4069">
        <w:rPr>
          <w:rFonts w:ascii="IRBadr" w:hAnsi="IRBadr" w:cs="IRBadr"/>
          <w:sz w:val="28"/>
          <w:szCs w:val="28"/>
          <w:lang w:bidi="fa-IR"/>
        </w:rPr>
        <w:instrText>TOC</w:instrText>
      </w:r>
      <w:r w:rsidRPr="006A4069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6A4069">
        <w:rPr>
          <w:rFonts w:ascii="IRBadr" w:hAnsi="IRBadr" w:cs="IRBadr"/>
          <w:sz w:val="28"/>
          <w:szCs w:val="28"/>
          <w:lang w:bidi="fa-IR"/>
        </w:rPr>
        <w:instrText>o "</w:instrText>
      </w:r>
      <w:r w:rsidRPr="006A4069">
        <w:rPr>
          <w:rFonts w:ascii="IRBadr" w:hAnsi="IRBadr" w:cs="IRBadr"/>
          <w:sz w:val="28"/>
          <w:szCs w:val="28"/>
          <w:rtl/>
          <w:lang w:bidi="fa-IR"/>
        </w:rPr>
        <w:instrText>1-3</w:instrText>
      </w:r>
      <w:r w:rsidRPr="006A4069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6A4069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6A4069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51413" w:history="1">
        <w:r w:rsidRPr="006A4069">
          <w:rPr>
            <w:rStyle w:val="ae"/>
            <w:rFonts w:ascii="IRBadr" w:eastAsia="Arial Unicode MS" w:hAnsi="IRBadr" w:cs="IRBadr"/>
            <w:noProof/>
            <w:rtl/>
          </w:rPr>
          <w:t>حد زنا بر گروه‌های خاص</w:t>
        </w:r>
        <w:r w:rsidRPr="006A4069">
          <w:rPr>
            <w:rFonts w:ascii="IRBadr" w:hAnsi="IRBadr" w:cs="IRBadr"/>
            <w:noProof/>
            <w:webHidden/>
          </w:rPr>
          <w:tab/>
        </w:r>
        <w:r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Pr="006A4069">
          <w:rPr>
            <w:rFonts w:ascii="IRBadr" w:hAnsi="IRBadr" w:cs="IRBadr"/>
            <w:noProof/>
            <w:webHidden/>
          </w:rPr>
          <w:instrText xml:space="preserve"> PAGEREF _Toc425551413 \h </w:instrText>
        </w:r>
        <w:r w:rsidRPr="006A4069">
          <w:rPr>
            <w:rStyle w:val="ae"/>
            <w:rFonts w:ascii="IRBadr" w:hAnsi="IRBadr" w:cs="IRBadr"/>
            <w:noProof/>
            <w:rtl/>
          </w:rPr>
        </w:r>
        <w:r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Pr="006A4069">
          <w:rPr>
            <w:rFonts w:ascii="IRBadr" w:hAnsi="IRBadr" w:cs="IRBadr"/>
            <w:noProof/>
            <w:webHidden/>
          </w:rPr>
          <w:t>2</w:t>
        </w:r>
        <w:r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14" w:history="1">
        <w:r w:rsidR="00406EDC" w:rsidRPr="006A4069">
          <w:rPr>
            <w:rStyle w:val="ae"/>
            <w:rFonts w:ascii="IRBadr" w:eastAsia="Arial Unicode MS" w:hAnsi="IRBadr" w:cs="IRBadr"/>
            <w:noProof/>
            <w:rtl/>
          </w:rPr>
          <w:t>مرور بر قول مشهور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_Toc425551414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2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15" w:history="1">
        <w:r w:rsidR="00406EDC" w:rsidRPr="006A4069">
          <w:rPr>
            <w:rStyle w:val="ae"/>
            <w:rFonts w:ascii="IRBadr" w:eastAsia="Arial Unicode MS" w:hAnsi="IRBadr" w:cs="IRBadr"/>
            <w:noProof/>
            <w:rtl/>
          </w:rPr>
          <w:t>دلیل اول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_Toc425551415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2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16" w:history="1">
        <w:r w:rsidR="00406EDC" w:rsidRPr="006A4069">
          <w:rPr>
            <w:rStyle w:val="ae"/>
            <w:rFonts w:ascii="IRBadr" w:eastAsia="Arial Unicode MS" w:hAnsi="IRBadr" w:cs="IRBadr"/>
            <w:noProof/>
            <w:rtl/>
          </w:rPr>
          <w:t>دلیل دوم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_Toc425551416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2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17" w:history="1">
        <w:r w:rsidR="00406EDC" w:rsidRPr="006A4069">
          <w:rPr>
            <w:rStyle w:val="ae"/>
            <w:rFonts w:ascii="IRBadr" w:eastAsia="Arial Unicode MS" w:hAnsi="IRBadr" w:cs="IRBadr"/>
            <w:noProof/>
            <w:rtl/>
          </w:rPr>
          <w:t>دلیل سوم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_Toc425551417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3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3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18" w:history="1">
        <w:r w:rsidR="00406EDC" w:rsidRPr="006A4069">
          <w:rPr>
            <w:rStyle w:val="ae"/>
            <w:rFonts w:ascii="IRBadr" w:eastAsia="Arial Unicode MS" w:hAnsi="IRBadr" w:cs="IRBadr"/>
            <w:noProof/>
            <w:rtl/>
          </w:rPr>
          <w:t>قول به خروج جنون ادواری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_Toc425551418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3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3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19" w:history="1">
        <w:r w:rsidR="00406EDC" w:rsidRPr="006A4069">
          <w:rPr>
            <w:rStyle w:val="ae"/>
            <w:rFonts w:ascii="IRBadr" w:eastAsia="Arial Unicode MS" w:hAnsi="IRBadr" w:cs="IRBadr"/>
            <w:noProof/>
            <w:rtl/>
          </w:rPr>
          <w:t>ادله قول فوق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_Toc425551419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3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3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20" w:history="1">
        <w:r w:rsidR="00406EDC" w:rsidRPr="006A4069">
          <w:rPr>
            <w:rStyle w:val="ae"/>
            <w:rFonts w:ascii="IRBadr" w:eastAsia="Arial Unicode MS" w:hAnsi="IRBadr" w:cs="IRBadr"/>
            <w:noProof/>
            <w:rtl/>
          </w:rPr>
          <w:t>فلسفه حدود الهی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_Toc425551420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3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3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21" w:history="1">
        <w:r w:rsidR="00406EDC" w:rsidRPr="006A4069">
          <w:rPr>
            <w:rStyle w:val="ae"/>
            <w:rFonts w:ascii="IRBadr" w:eastAsia="Arial Unicode MS" w:hAnsi="IRBadr" w:cs="IRBadr"/>
            <w:noProof/>
            <w:rtl/>
          </w:rPr>
          <w:t>فلسفه‌های اجتماعی حدود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_Toc425551421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4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3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22" w:history="1">
        <w:r w:rsidR="00406EDC" w:rsidRPr="006A4069">
          <w:rPr>
            <w:rStyle w:val="ae"/>
            <w:rFonts w:ascii="IRBadr" w:eastAsia="Arial Unicode MS" w:hAnsi="IRBadr" w:cs="IRBadr"/>
            <w:noProof/>
            <w:rtl/>
          </w:rPr>
          <w:t>دیگر فلسفه‌ها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_Toc425551422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4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3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23" w:history="1">
        <w:r w:rsidR="00406EDC" w:rsidRPr="006A4069">
          <w:rPr>
            <w:rStyle w:val="ae"/>
            <w:rFonts w:ascii="IRBadr" w:eastAsia="Arial Unicode MS" w:hAnsi="IRBadr" w:cs="IRBadr"/>
            <w:noProof/>
            <w:rtl/>
          </w:rPr>
          <w:t>قول به عدم حد در جنون شدید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_Toc425551423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5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3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24" w:history="1">
        <w:r w:rsidR="00406EDC" w:rsidRPr="006A4069">
          <w:rPr>
            <w:rStyle w:val="ae"/>
            <w:rFonts w:ascii="IRBadr" w:eastAsia="Arial Unicode MS" w:hAnsi="IRBadr" w:cs="IRBadr"/>
            <w:noProof/>
            <w:rtl/>
          </w:rPr>
          <w:t>احتمالات دیگر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_Toc425551424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5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3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25" w:history="1">
        <w:r w:rsidR="00406EDC" w:rsidRPr="006A4069">
          <w:rPr>
            <w:rStyle w:val="ae"/>
            <w:rFonts w:ascii="IRBadr" w:eastAsia="Arial Unicode MS" w:hAnsi="IRBadr" w:cs="IRBadr"/>
            <w:noProof/>
            <w:rtl/>
          </w:rPr>
          <w:t>اتخاذ مبنا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_Toc425551425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6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3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26" w:history="1">
        <w:r w:rsidR="00406EDC" w:rsidRPr="006A4069">
          <w:rPr>
            <w:rStyle w:val="ae"/>
            <w:rFonts w:ascii="IRBadr" w:eastAsia="Arial Unicode MS" w:hAnsi="IRBadr" w:cs="IRBadr"/>
            <w:noProof/>
            <w:rtl/>
          </w:rPr>
          <w:t>مرور اقوال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_Toc425551426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6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3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27" w:history="1">
        <w:r w:rsidR="006A4069">
          <w:rPr>
            <w:rStyle w:val="ae"/>
            <w:rFonts w:ascii="IRBadr" w:eastAsia="Arial Unicode MS" w:hAnsi="IRBadr" w:cs="IRBadr"/>
            <w:noProof/>
            <w:rtl/>
          </w:rPr>
          <w:t>جمع‌بندی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_Toc425551427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6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3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28" w:history="1">
        <w:r w:rsidR="00406EDC" w:rsidRPr="006A4069">
          <w:rPr>
            <w:rStyle w:val="ae"/>
            <w:rFonts w:ascii="IRBadr" w:eastAsia="Arial Unicode MS" w:hAnsi="IRBadr" w:cs="IRBadr"/>
            <w:noProof/>
            <w:rtl/>
          </w:rPr>
          <w:t>ادعای تعارض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_Toc425551428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7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263852" w:rsidP="00406EDC">
      <w:pPr>
        <w:pStyle w:val="31"/>
        <w:tabs>
          <w:tab w:val="right" w:leader="dot" w:pos="9350"/>
        </w:tabs>
        <w:bidi/>
        <w:jc w:val="both"/>
        <w:rPr>
          <w:rFonts w:ascii="IRBadr" w:hAnsi="IRBadr" w:cs="IRBadr"/>
          <w:noProof/>
        </w:rPr>
      </w:pPr>
      <w:hyperlink w:anchor="_Toc425551429" w:history="1">
        <w:r w:rsidR="00406EDC" w:rsidRPr="006A4069">
          <w:rPr>
            <w:rStyle w:val="ae"/>
            <w:rFonts w:ascii="IRBadr" w:eastAsia="Arial Unicode MS" w:hAnsi="IRBadr" w:cs="IRBadr"/>
            <w:noProof/>
            <w:rtl/>
          </w:rPr>
          <w:t>پاسخ این شبهه</w:t>
        </w:r>
        <w:r w:rsidR="00406EDC" w:rsidRPr="006A4069">
          <w:rPr>
            <w:rFonts w:ascii="IRBadr" w:hAnsi="IRBadr" w:cs="IRBadr"/>
            <w:noProof/>
            <w:webHidden/>
          </w:rPr>
          <w:tab/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begin"/>
        </w:r>
        <w:r w:rsidR="00406EDC" w:rsidRPr="006A4069">
          <w:rPr>
            <w:rFonts w:ascii="IRBadr" w:hAnsi="IRBadr" w:cs="IRBadr"/>
            <w:noProof/>
            <w:webHidden/>
          </w:rPr>
          <w:instrText xml:space="preserve"> PAGEREF _Toc425551429 \h </w:instrText>
        </w:r>
        <w:r w:rsidR="00406EDC" w:rsidRPr="006A4069">
          <w:rPr>
            <w:rStyle w:val="ae"/>
            <w:rFonts w:ascii="IRBadr" w:hAnsi="IRBadr" w:cs="IRBadr"/>
            <w:noProof/>
            <w:rtl/>
          </w:rPr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406EDC" w:rsidRPr="006A4069">
          <w:rPr>
            <w:rFonts w:ascii="IRBadr" w:hAnsi="IRBadr" w:cs="IRBadr"/>
            <w:noProof/>
            <w:webHidden/>
          </w:rPr>
          <w:t>7</w:t>
        </w:r>
        <w:r w:rsidR="00406EDC" w:rsidRPr="006A4069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406EDC" w:rsidRPr="006A4069" w:rsidRDefault="00406EDC" w:rsidP="00406ED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A4069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6A4069" w:rsidRDefault="006A4069">
      <w:pPr>
        <w:rPr>
          <w:rFonts w:ascii="IRBadr" w:eastAsia="Arial Unicode MS" w:hAnsi="IRBadr" w:cs="IRBadr"/>
          <w:b/>
          <w:bCs/>
          <w:sz w:val="36"/>
          <w:szCs w:val="36"/>
          <w:rtl/>
          <w:lang w:bidi="fa-IR"/>
        </w:rPr>
      </w:pPr>
      <w:bookmarkStart w:id="0" w:name="_Toc425551413"/>
      <w:r>
        <w:rPr>
          <w:rFonts w:ascii="IRBadr" w:eastAsia="Arial Unicode MS" w:hAnsi="IRBadr" w:cs="IRBadr"/>
          <w:sz w:val="36"/>
          <w:szCs w:val="36"/>
          <w:rtl/>
          <w:lang w:bidi="fa-IR"/>
        </w:rPr>
        <w:br w:type="page"/>
      </w:r>
    </w:p>
    <w:p w:rsidR="005F6EE8" w:rsidRPr="006A4069" w:rsidRDefault="00406EDC" w:rsidP="00406EDC">
      <w:pPr>
        <w:pStyle w:val="1"/>
        <w:bidi/>
        <w:jc w:val="both"/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</w:pPr>
      <w:r w:rsidRPr="006A4069"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  <w:lastRenderedPageBreak/>
        <w:t>حد زنا بر گروه‌های خاص</w:t>
      </w:r>
      <w:bookmarkEnd w:id="0"/>
    </w:p>
    <w:p w:rsidR="0070138B" w:rsidRPr="006A4069" w:rsidRDefault="00CC7768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مسئله نهم و دهم در تحریر </w:t>
      </w:r>
      <w:r w:rsidR="0070138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گروه‌هایی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اختصاص داشت که حد زنا یا مطلق حدود بر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جاری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و تبعاً در کنار آن بعضی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گروه‌ها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70138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حد بر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جاری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70138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مطرح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عرض شد که مجنون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اگر در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حال جنون مرتکب جرم و خطایی بشود</w:t>
      </w:r>
      <w:r w:rsidR="0070138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بر او حد جاری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70138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اما اگر در حال سلامت مرتکب جرمی شد و بعد مجنون شد</w:t>
      </w:r>
      <w:r w:rsidR="0070138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اینجاست که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سؤال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آیا در حال جنون حد جاری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نه؟ عرض کردیم در اینجا وجوه و احتمالاتی است</w:t>
      </w:r>
      <w:r w:rsidR="0070138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البته قائل آن وجوه قلیل است و عمده قائل به قول اول هستند که بر مجنون در حال جنون حد جاری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مطلقاً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 سواء کان جنون اطباقیاً او ادواریاً جنون اطباقی باشد یا ادواری باشد. سواء که در جایی که جنون اطباقی است احتمال و امید به به</w:t>
      </w:r>
      <w:r w:rsidR="0070138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بودی او داشته باشیم یا نه و در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مراتب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و مدارج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جنون فرقی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نمی‌کند</w:t>
      </w:r>
      <w:r w:rsidR="0070138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هر رتبه و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درجه‌ای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باشد</w:t>
      </w:r>
      <w:r w:rsidR="0070138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حد جاری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5F6EE8" w:rsidRPr="006A4069" w:rsidRDefault="005F6EE8" w:rsidP="00406EDC">
      <w:pPr>
        <w:pStyle w:val="2"/>
        <w:bidi/>
        <w:jc w:val="both"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1" w:name="_Toc425551414"/>
      <w:r w:rsidRPr="006A4069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مرور بر قول مشهور</w:t>
      </w:r>
      <w:bookmarkEnd w:id="1"/>
    </w:p>
    <w:p w:rsidR="00406EDC" w:rsidRPr="006A4069" w:rsidRDefault="00406EDC" w:rsidP="00406EDC">
      <w:pPr>
        <w:pStyle w:val="2"/>
        <w:bidi/>
        <w:jc w:val="both"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2" w:name="_Toc425551415"/>
      <w:r w:rsidRPr="006A4069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دلیل اول</w:t>
      </w:r>
      <w:bookmarkEnd w:id="2"/>
    </w:p>
    <w:p w:rsidR="005F6EE8" w:rsidRPr="006A4069" w:rsidRDefault="00CC7768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دلیل قول مشهور یکی</w:t>
      </w:r>
      <w:r w:rsidR="0070138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همان روایت معتبره ابی عبیده حذاء است که در این روایت ابی عبیده از امام باقر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علیه‌السلام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نقل شده بود</w:t>
      </w:r>
      <w:r w:rsidR="0070138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در همان باب نه</w:t>
      </w:r>
      <w:r w:rsidR="0070138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از مقدمات حدود</w:t>
      </w:r>
      <w:r w:rsidR="0070138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حدی بر او ثابت شده بود</w:t>
      </w:r>
      <w:r w:rsidR="0070138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ولی حد اجرا نشد تا اینکه او مبتلا به جنون شد</w:t>
      </w:r>
      <w:r w:rsidR="00594164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حضرت فرمودند بر او جاری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5F6EE8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</w:p>
    <w:p w:rsidR="005F6EE8" w:rsidRPr="006A4069" w:rsidRDefault="005F6EE8" w:rsidP="00406EDC">
      <w:pPr>
        <w:pStyle w:val="aa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6A4069">
        <w:rPr>
          <w:rFonts w:ascii="IRBadr" w:hAnsi="IRBadr" w:cs="IRBadr"/>
          <w:b/>
          <w:bCs/>
          <w:sz w:val="28"/>
          <w:szCs w:val="28"/>
          <w:rtl/>
        </w:rPr>
        <w:t>«عَنْ أَبِ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 xml:space="preserve"> جَعْفَرٍ ع فِ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 xml:space="preserve"> رَجُلٍ وَجَبَ عَلَ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 xml:space="preserve">هِ حَدٌّ فَلَمْ 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>ضْرَبْ حَتَّ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 xml:space="preserve"> خُولِطَ فَقَالَ إِنْ 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>انَ أَوْجَبَ عَلَ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 xml:space="preserve"> نَفْسِهِ الْحَدَّ وَ هُوَ صَحِ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>حٌ لَا عِلَّةَ بِهِ مِنْ ذَهَابِ عَقْلٍ أُقِ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>مَ عَلَ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 xml:space="preserve">هِ الْحَدُّ 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 xml:space="preserve">ائِناً مَا 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 xml:space="preserve">انَ» </w:t>
      </w:r>
      <w:r w:rsidRPr="006A4069">
        <w:rPr>
          <w:rStyle w:val="ad"/>
          <w:rFonts w:ascii="IRBadr" w:hAnsi="IRBadr" w:cs="IRBadr"/>
          <w:b/>
          <w:bCs/>
          <w:sz w:val="28"/>
          <w:szCs w:val="28"/>
          <w:rtl/>
        </w:rPr>
        <w:footnoteReference w:id="1"/>
      </w:r>
    </w:p>
    <w:p w:rsidR="005F6EE8" w:rsidRPr="006A4069" w:rsidRDefault="005F6EE8" w:rsidP="00406EDC">
      <w:pPr>
        <w:pStyle w:val="2"/>
        <w:bidi/>
        <w:jc w:val="both"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3" w:name="_Toc425551416"/>
      <w:r w:rsidRPr="006A4069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دلیل دوم</w:t>
      </w:r>
      <w:bookmarkEnd w:id="3"/>
    </w:p>
    <w:p w:rsidR="00594164" w:rsidRPr="006A4069" w:rsidRDefault="00CC7768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دلیل دوم اطلاقات خود ادله بود</w:t>
      </w:r>
      <w:r w:rsidR="00594164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آیه سرقت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اطلاق دارد</w:t>
      </w:r>
      <w:r w:rsidR="00594164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 چه جنون داشته باشد چه نه،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ج</w:t>
      </w:r>
      <w:r w:rsidR="00594164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نون کامل باشد یا جنون ضعیف باشد، اطباقی باشد یا ادواری باشد.</w:t>
      </w:r>
    </w:p>
    <w:p w:rsidR="00B27FBB" w:rsidRPr="006A4069" w:rsidRDefault="00CC7768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البته در آیات قرآن بحثی است که بعضی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آیات در مقام بیان </w:t>
      </w:r>
      <w:r w:rsidR="00594164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جزییات نیست،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ولی آیات قرآن هم نباشد</w:t>
      </w:r>
      <w:r w:rsidR="00594164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عین همین مضامین در روایات آمده است. که در آنجا تردیدی نیست که در مقام بیان همه 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تفاصیل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است. طبع روایات مقام بیان و تشریع است که ناظر به همه جزئیات و تفاصیل است. مگر اینکه در جایی قرائن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ویژه‌ای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داشته باشیم که این دلیل ناظر به بیان آن خصوصیات نیست.</w:t>
      </w:r>
    </w:p>
    <w:p w:rsidR="005F6EE8" w:rsidRPr="006A4069" w:rsidRDefault="005F6EE8" w:rsidP="00406EDC">
      <w:pPr>
        <w:pStyle w:val="2"/>
        <w:bidi/>
        <w:jc w:val="both"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4" w:name="_Toc425551417"/>
      <w:r w:rsidRPr="006A4069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lastRenderedPageBreak/>
        <w:t>دلیل سوم</w:t>
      </w:r>
      <w:bookmarkEnd w:id="4"/>
    </w:p>
    <w:p w:rsidR="00B27FBB" w:rsidRPr="006A4069" w:rsidRDefault="00F577E1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دلیل</w:t>
      </w:r>
      <w:r w:rsidR="00CC7768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سوم این است که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جایی شک </w:t>
      </w:r>
      <w:r w:rsidR="00CC7768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کنیم که حد بعد از جنون ثابت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CC7768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؟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گفتند</w:t>
      </w:r>
      <w:r w:rsidR="00CC7768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استصحاب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می‌کنیم</w:t>
      </w:r>
      <w:r w:rsidR="00CC7768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 قبل از اینکه این جنون بر او عارض بشود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CC7768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مرتکب زنا شد و با 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آن مستحق حد شد،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C7768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بعد از 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طرف جنون و عنود جنون شک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می‌کنیم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ساقط شد یا نه؟ استصحاب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می‌کنیم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این عمده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ادله‌ای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 برای اجرای حد در حال جنون ذکر شده است. ببینیم آن دو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سه احتمال مقابلی که وجود دارد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چه دلایلی دارند.</w:t>
      </w:r>
    </w:p>
    <w:p w:rsidR="005F6EE8" w:rsidRPr="006A4069" w:rsidRDefault="005F6EE8" w:rsidP="00406EDC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5" w:name="_Toc425551418"/>
      <w:r w:rsidRPr="006A4069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قول به خروج جنون ادواری</w:t>
      </w:r>
      <w:bookmarkEnd w:id="5"/>
    </w:p>
    <w:p w:rsidR="00B27FBB" w:rsidRPr="006A4069" w:rsidRDefault="008C361D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در مقابل این ادله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سه احتمال جدی دیگر وجود دارد. یک احتمال این است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کسی بگوید که جنون ادواری از این قاعده خارج است. اینکه اجرای حد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برای جنون اطباقی است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اما در مجنون ادواری باید صبر بکنند تا دور سلامتش برسد. این یک قول است که جنون ادواری را از این مطلق 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بیرون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می‌برد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 آقای مک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ارم تمایل به این قول پیدا کردند،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برخلاف صاحب جواهر، آقای خویی، حضرت امام، آقای تبریزی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ظاهراً آقای فاضل و خیلی بزرگان متقدم و متأخر که معمولاً به همان اطلاق بسنده کردند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بعضی در مقابل قول اول که قول اطلاق باشد 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و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سه دلیل داشت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قائل به این قول احتمال دوم شدند که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درواقع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الان به صورت یک قول خودش را نشان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می‌دهد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ببینیم 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قول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چه دلیلی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می‌تواند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داشته باشد؟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بعضی گفتند این اجتهاد در مقابل نص است. برای اینکه در اینجا ما روایت معتبره ای داشتیم 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و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دلیلی که آقای مکارم 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در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اینجا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می‌توانند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آن تمسک کنند و ظاهراً در کلامشان است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یک نوع ادعای انصراف است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اجتهاد در مقابل نص نیست. بلکه نص یک مطلقی است که ما بعضی از اقسام را از آن بیرون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می‌بریم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نه اینکه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به‌طورکلی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دلیل را بگذاریم کنار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اطلاقش را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نمی‌پذیرم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5F6EE8" w:rsidRPr="006A4069" w:rsidRDefault="005F6EE8" w:rsidP="00406EDC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6" w:name="_Toc425551419"/>
      <w:r w:rsidRPr="006A4069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ادله قول فوق</w:t>
      </w:r>
      <w:bookmarkEnd w:id="6"/>
    </w:p>
    <w:p w:rsidR="005F6EE8" w:rsidRPr="006A4069" w:rsidRDefault="00F577E1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دلیل اول که در این روایت معتبره ابی عبیده حذاء از امام باقر بود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از مجنون ادواری منصرف است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به این شاهد و قرینه که مجنون ادواری فلسفه حکم تنبه اوست و در جایی که این شخص حالت جنون دارد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آن تنبه کامل وجود ندارد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تبعاً اگر صبر کنند تا ادواری دوره سلامتش برسد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فلسفه و حکمت حکم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به‌طور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کامل محقق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درست است این حکمت است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نمی‌گوییم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علت حکم است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ولی خود این حکمت موجب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اطلاق انصراف پیدا بکند. در اینجا در توضیح فلسفه و حکمت حدود اوایل حدود که وارد بحث کتاب حدود شدیم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مفصل صحبت کردیم.</w:t>
      </w:r>
    </w:p>
    <w:p w:rsidR="005F6EE8" w:rsidRPr="006A4069" w:rsidRDefault="005F6EE8" w:rsidP="00406EDC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7" w:name="_Toc425551420"/>
      <w:r w:rsidRPr="006A4069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فلسفه حدود الهی</w:t>
      </w:r>
      <w:bookmarkEnd w:id="7"/>
    </w:p>
    <w:p w:rsidR="00B27FBB" w:rsidRPr="006A4069" w:rsidRDefault="008C361D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bookmarkStart w:id="8" w:name="_GoBack"/>
      <w:r w:rsidRPr="00E31D2B">
        <w:rPr>
          <w:rFonts w:ascii="IRBadr" w:eastAsia="Arial Unicode MS" w:hAnsi="IRBadr" w:cs="IRBadr"/>
          <w:color w:val="FF0000"/>
          <w:sz w:val="28"/>
          <w:szCs w:val="28"/>
          <w:rtl/>
          <w:lang w:bidi="fa-IR"/>
        </w:rPr>
        <w:t>و عرض کردیم</w:t>
      </w:r>
      <w:bookmarkEnd w:id="8"/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حدود الهی چند حکمت و فلسفه برای آن متصور است. یک فلسفه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حکمتی است که به خود فرد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برمی‌گردد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از حیث تأثیری که این اجرای حد در طهارت او دارد. از حیثی که اجرای حد در تطهیر روحی او دارد. این یک حکمت است که این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حکمت خیلی واضح نیست و عقل ما به صورت خیلی روشن 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نمی‌تواند به آن دسترسی پیدا کند،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ولی مطمئناً بر اساس روایات چنین حکمتی وجود دارد که این فرد از نظر روحی یک نوع طهارتی پیدا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یک نوع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تزکیه‌ای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همین دنیا طهارت روح پیدا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این که یک مکانیزم و سازوکار روحی معنوی دارد که اجرای این حد موجب نوعی طهارت نفسانی و طهارت روحی برای او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این یک حکمت و فلسفه جلد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 حکمت دوم که نزدیک به این است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منتها یک مقدار تفاوت دارد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حکمت اخروی و علت اخروی آن است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یعنی علاوه بر طهارت روحی موجب دفع عقاب اخروی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اجرای حد 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ارتباطی دارد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با نفی عقاب اخروی یا کاهش عقاب اخروی</w:t>
      </w:r>
      <w:r w:rsidR="00B27FBB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3F129E" w:rsidRPr="006A4069" w:rsidRDefault="008C361D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E31D2B">
        <w:rPr>
          <w:rFonts w:ascii="IRBadr" w:eastAsia="Arial Unicode MS" w:hAnsi="IRBadr" w:cs="IRBadr"/>
          <w:color w:val="FF0000"/>
          <w:sz w:val="28"/>
          <w:szCs w:val="28"/>
          <w:rtl/>
          <w:lang w:bidi="fa-IR"/>
        </w:rPr>
        <w:t>و در روایات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به این اشاره شده است. 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در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جایی از روایات قریب به این مضامین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سؤال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این‌چنین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فردی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آن دنیا هم عقابی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نه؟ حضرت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می‌فرماید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خدا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رحیم‌تر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این است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یعنی ما در نگاه ظاهری خودمان خیلی 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را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سخت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می‌دانیم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ولی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درواقع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عقاب شدید اخروی را از او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برمی‌دارد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 این عین رحمت است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3F129E" w:rsidRPr="006A4069" w:rsidRDefault="003F129E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E31D2B">
        <w:rPr>
          <w:rFonts w:ascii="IRBadr" w:eastAsia="Arial Unicode MS" w:hAnsi="IRBadr" w:cs="IRBadr"/>
          <w:color w:val="FF0000"/>
          <w:sz w:val="28"/>
          <w:szCs w:val="28"/>
          <w:rtl/>
          <w:lang w:bidi="fa-IR"/>
        </w:rPr>
        <w:t>و</w:t>
      </w:r>
      <w:r w:rsidR="008C361D" w:rsidRPr="00E31D2B">
        <w:rPr>
          <w:rFonts w:ascii="IRBadr" w:eastAsia="Arial Unicode MS" w:hAnsi="IRBadr" w:cs="IRBadr"/>
          <w:color w:val="FF0000"/>
          <w:sz w:val="28"/>
          <w:szCs w:val="28"/>
          <w:rtl/>
          <w:lang w:bidi="fa-IR"/>
        </w:rPr>
        <w:t xml:space="preserve"> سوم که باز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فردی است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است که این اجرای حد موجب تنبه فرد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فرد شخصاً متنبه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وقتی علم ارتکاب و پیامد ارتکاب یک خطا و گناه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دست برده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اموال مردم یا نوامیس مردم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را 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احساس کرد و چشید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 ط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بعاً برای او تنبهی پیدا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این هم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علی‌القاعده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حکمت‌ها</w:t>
      </w:r>
      <w:r w:rsidR="008C361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همیشه لازم نیست کلی باشد.</w:t>
      </w:r>
    </w:p>
    <w:p w:rsidR="005F6EE8" w:rsidRPr="006A4069" w:rsidRDefault="001331E0" w:rsidP="00406EDC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9" w:name="_Toc425551421"/>
      <w:r w:rsidRPr="006A4069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فلسفه‌های</w:t>
      </w:r>
      <w:r w:rsidR="005F6EE8" w:rsidRPr="006A4069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 xml:space="preserve"> اجتماعی حدود</w:t>
      </w:r>
      <w:bookmarkEnd w:id="9"/>
    </w:p>
    <w:p w:rsidR="003F129E" w:rsidRPr="006A4069" w:rsidRDefault="005C0733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فلسفه و حکمت چهارم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تنبه جامعه است. اینکه دیگران احساس خوف و بیمی به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آن‌ها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دست بده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از اینکه بخواهند حریم امنیت عمومی جامعه یا آن مرزهای الهی را در جامعه بشکنند. این موجب تنبه دیگران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="005F6EE8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«</w:t>
      </w:r>
      <w:r w:rsidRPr="006A4069">
        <w:rPr>
          <w:rFonts w:ascii="IRBadr" w:eastAsia="Arial Unicode MS" w:hAnsi="IRBadr" w:cs="IRBadr"/>
          <w:b/>
          <w:bCs/>
          <w:sz w:val="28"/>
          <w:szCs w:val="28"/>
          <w:rtl/>
          <w:lang w:bidi="fa-IR"/>
        </w:rPr>
        <w:t>ولیشهد عذابهما طائفه من المومنین</w:t>
      </w:r>
      <w:r w:rsidR="005F6EE8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»</w:t>
      </w:r>
      <w:r w:rsidR="006640F4" w:rsidRPr="006A4069">
        <w:rPr>
          <w:rStyle w:val="ad"/>
          <w:rFonts w:ascii="IRBadr" w:eastAsia="Arial Unicode MS" w:hAnsi="IRBadr" w:cs="IRBadr"/>
          <w:sz w:val="28"/>
          <w:szCs w:val="28"/>
          <w:rtl/>
          <w:lang w:bidi="fa-IR"/>
        </w:rPr>
        <w:footnoteReference w:id="2"/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احتمالاً برای همین است. یعنی برای اینکه حساسیت جامعه 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روی این مرزها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محفوظ بماند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3F129E" w:rsidRPr="006A4069" w:rsidRDefault="005C0733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فلسفه پنجمی هم در روایات 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وجود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دارد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اما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امری است که خیلی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نمی‌فهمیم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ولی در روایات زیاد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وارد شده است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اجرای حدود موجب نزول رحمت الهی 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دفع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نقمت‌ها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عذاب‌های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الهی از جامعه بشود.</w:t>
      </w:r>
    </w:p>
    <w:p w:rsidR="005F6EE8" w:rsidRPr="006A4069" w:rsidRDefault="005F6EE8" w:rsidP="00406EDC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0" w:name="_Toc425551422"/>
      <w:r w:rsidRPr="006A4069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 xml:space="preserve">دیگر </w:t>
      </w:r>
      <w:r w:rsidR="001331E0" w:rsidRPr="006A4069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فلسفه‌ها</w:t>
      </w:r>
      <w:bookmarkEnd w:id="10"/>
    </w:p>
    <w:p w:rsidR="003F129E" w:rsidRPr="006A4069" w:rsidRDefault="005C0733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علاوه بر این پنج فلسفه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در بعضی موارد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فلسفه‌ها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حکمت‌های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دیگری دارد. یکی در آنجاهایی که حد الهی در مورد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حقوق مردم است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دیگران هم از آن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بهره‌مند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 در آنجا نوعی تشفی برای مظلوم و انتقام گرفتن به نفع مظلوم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 هست و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آنجایی که مثل قصاص و دیات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است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EF1051" w:rsidRPr="006A4069" w:rsidRDefault="005C0733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همین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حکمت‌ها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گاهی موجب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انصرافی 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را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در دلیل ایجاد بکند. یعنی وقتی مجنون است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مجنون دیگر جایی برای آن تنبه او و بعضی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حکمت‌ها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مورد او متصور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می‌باشد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نیست. از طرف دیگر مجنون اگر در حال جنون مرتکب عقاب و اذایی بشود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حدی ندارد. این شواهد و قرائنی که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فلسفه‌های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حکم در اینجا نیست</w:t>
      </w:r>
      <w:r w:rsidR="003F129E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موجب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در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روایت 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ذهن انسان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را از جنون ادواری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منصرف بکند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EF1051" w:rsidRPr="006A4069" w:rsidRDefault="000977A6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جنون مرض است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ولی در باب مرض هم ما اطلاقی نداشتیم.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آنجا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می‌گفتیم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مریضی که اجرای حد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موجب اشتداد مرض او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ضرر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و خوف بشود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آن وقت در مجنون این نکته را من گذاشتم در فروعات بگویم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همین‌جا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؛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مجنون اگر طوری باشد که اجرای حد بر او موجب تشدید مریضی او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موجب ضرر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بیش‌ازحد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متعارف بشود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را ما از این روایت قطعاً خارج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می‌کنیم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 آن عنو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ان ثانوی است و از این بحث خارجش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لذا 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اینجا ما بحث نداریم. بحث ما در جایی است که نه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مرض او 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را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تشدید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نمی‌کند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خوف تلف هم نیست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5F6EE8" w:rsidRPr="006A4069" w:rsidRDefault="005F6EE8" w:rsidP="00406EDC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1" w:name="_Toc425551423"/>
      <w:r w:rsidRPr="006A4069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قول به عدم حد در جنون شدید</w:t>
      </w:r>
      <w:bookmarkEnd w:id="11"/>
    </w:p>
    <w:p w:rsidR="00EF1051" w:rsidRPr="006A4069" w:rsidRDefault="000977A6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نظر دیگر نظر مرحوم آقای گلپایگانی است. مرحوم آقای گلپایگانی در جنونی که شدید باشد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حیثی که این مجنون احساس الم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نمی‌کند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مثل دیگران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آن‌طور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حساسیتی روی درد و امثال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ندارد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گفتند که این فرد حد بر او جاری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روایت ربطی به اینجا ندارد و به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تأخیر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می‌افتد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دلیل آقای گلپایگانی هم همان انصرافی است که آقای مکارم در جنون ادواری داشتند. ایشان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می‌فرمایند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هم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درواقع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اجتهاد در مقابل نص نیست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یک انصرافی است که ما در نص ادعا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می‌کنیم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ما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روایت ابی عبیده و همه مطلقاتی که حد را تشریع کرده بود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از آن مجنونی که درک درد ندارد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مرض شدیدی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دارد که برایش هیچ اهمیتی ندارد،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از این انصراف دارد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EF1051" w:rsidRPr="006A4069" w:rsidRDefault="00EF1051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اما</w:t>
      </w:r>
      <w:r w:rsidR="000977A6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من تعجب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می‌کنم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0977A6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چرا جنون را با این بحث ارتباط دادند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0977A6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مجنون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علی‌القاعده</w:t>
      </w:r>
      <w:r w:rsidR="000977A6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درک درد دارد. اینکه درد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را نفهمد، </w:t>
      </w:r>
      <w:r w:rsidR="000977A6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صورت خیلی استثنایی است. یعنی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به‌عبارت‌دیگر</w:t>
      </w:r>
      <w:r w:rsidR="000977A6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بین جنون و عدم درک درد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0977A6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هیچ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رابطه‌ای</w:t>
      </w:r>
      <w:r w:rsidR="000977A6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نیست.</w:t>
      </w:r>
    </w:p>
    <w:p w:rsidR="00EF1051" w:rsidRPr="006A4069" w:rsidRDefault="00EF1051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ولی</w:t>
      </w:r>
      <w:r w:rsidR="000977A6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ظاهراً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="000977A6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تعجبی داشت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 در</w:t>
      </w:r>
      <w:r w:rsidR="000977A6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نوعی جنون ممکن است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در </w:t>
      </w:r>
      <w:r w:rsidR="000977A6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سلسله اقسام مغز نوعی اختلالاتی باشد که موجب جنون بشود و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احساس درد</w:t>
      </w:r>
      <w:r w:rsidR="000977A6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کمتری</w:t>
      </w:r>
      <w:r w:rsidR="000977A6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بکند. خیلی جای تعجب ندارد.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به‌هرحال</w:t>
      </w:r>
      <w:r w:rsidR="000977A6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هم ادعایی است که مرحوم آقای گلپایگانی دارند.</w:t>
      </w:r>
    </w:p>
    <w:p w:rsidR="005F6EE8" w:rsidRPr="006A4069" w:rsidRDefault="005F6EE8" w:rsidP="00406EDC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2" w:name="_Toc425551424"/>
      <w:r w:rsidRPr="006A4069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احتمالات دیگر</w:t>
      </w:r>
      <w:bookmarkEnd w:id="12"/>
    </w:p>
    <w:p w:rsidR="000C3D6D" w:rsidRPr="006A4069" w:rsidRDefault="000977A6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قول و احتمال دیگر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وجود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ندارد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ولی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ادعا کرد،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بگوییم آن جنونی که احتمال بهبود آن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می‌رود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خارج از این اطلاق است و دلیل از آن انصراف دارد. این دلیل که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حال جنون بر او حد جاری بکن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منصرف ا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ست به جایی که احتمال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بهبودی‌اش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EF105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>را ندار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یم. این هم حالت سومی است که ممکن است کسی بگوید از این اطلاق خارج است و روایت منصرف از این صورت است. داوری در این سه صورت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واقعاً کار مشکلی است.</w:t>
      </w:r>
    </w:p>
    <w:p w:rsidR="005F6EE8" w:rsidRPr="006A4069" w:rsidRDefault="005F6EE8" w:rsidP="00406EDC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3" w:name="_Toc425551425"/>
      <w:r w:rsidRPr="006A4069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اتخاذ مبنا</w:t>
      </w:r>
      <w:bookmarkEnd w:id="13"/>
    </w:p>
    <w:p w:rsidR="000C3D6D" w:rsidRPr="006A4069" w:rsidRDefault="000C3D6D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ما با توجه به اینکه قائل به قاعده 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درع هستیم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از این جهت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انصراف‌ها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قبول داریم. هر سه انصراف را قبول داریم. چون اجرای حد آن هم در</w:t>
      </w:r>
      <w:r w:rsidR="006A4069">
        <w:rPr>
          <w:rFonts w:ascii="IRBadr" w:eastAsia="Arial Unicode MS" w:hAnsi="IRBadr" w:cs="IRBadr" w:hint="cs"/>
          <w:sz w:val="28"/>
          <w:szCs w:val="28"/>
          <w:rtl/>
          <w:lang w:bidi="fa-IR"/>
        </w:rPr>
        <w:t xml:space="preserve"> 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مورد مجنون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یک مقدار خلاف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قواعد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0C3D6D" w:rsidRPr="006A4069" w:rsidRDefault="000C3D6D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E31D2B">
        <w:rPr>
          <w:rFonts w:ascii="IRBadr" w:eastAsia="Arial Unicode MS" w:hAnsi="IRBadr" w:cs="IRBadr"/>
          <w:color w:val="FF0000"/>
          <w:sz w:val="28"/>
          <w:szCs w:val="28"/>
          <w:rtl/>
          <w:lang w:bidi="fa-IR"/>
        </w:rPr>
        <w:t>و</w:t>
      </w:r>
      <w:r w:rsidR="005E469F" w:rsidRPr="00E31D2B">
        <w:rPr>
          <w:rFonts w:ascii="IRBadr" w:eastAsia="Arial Unicode MS" w:hAnsi="IRBadr" w:cs="IRBadr"/>
          <w:color w:val="FF0000"/>
          <w:sz w:val="28"/>
          <w:szCs w:val="28"/>
          <w:rtl/>
          <w:lang w:bidi="fa-IR"/>
        </w:rPr>
        <w:t xml:space="preserve"> </w:t>
      </w:r>
      <w:r w:rsidR="006A4069" w:rsidRPr="00E31D2B">
        <w:rPr>
          <w:rFonts w:ascii="IRBadr" w:eastAsia="Arial Unicode MS" w:hAnsi="IRBadr" w:cs="IRBadr"/>
          <w:color w:val="FF0000"/>
          <w:sz w:val="28"/>
          <w:szCs w:val="28"/>
          <w:rtl/>
          <w:lang w:bidi="fa-IR"/>
        </w:rPr>
        <w:t>می‌گوییم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انصراف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ادعاشده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دو قول 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موجب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اطلاق روایت ابی عبیده که بخواهد همه این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جنون‌ها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بگیرد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مقداری 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سست بشود. با سست شدن اطلاق قاعده تدرع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در باب حدود دلیل باید از اتقانی بالاتر از ابواب دیگر برخوردار باشد.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به‌عبارت‌دیگر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ما در باب صلات یا زکات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یا خمس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حج بود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یم،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اطلاق روایت ابی عبیده را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می‌گرفتیم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انصراف‌ها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را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می‌گفتیم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اما در باب حدود گرچه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اطلاق مطمئن نیستیم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اما احتمال انصرافش قوی است و این اطلاق ضعیف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ضعیف که شد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 قاعده درع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دلیل در باب اجرای حدود باید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قوی‌تر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از دلیل در ابواب دیگر باشد و لذا در این صور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جاری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5E469F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5F6EE8" w:rsidRPr="006A4069" w:rsidRDefault="005F6EE8" w:rsidP="00406EDC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4" w:name="_Toc425551426"/>
      <w:r w:rsidRPr="006A4069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مرور اقوال</w:t>
      </w:r>
      <w:bookmarkEnd w:id="14"/>
    </w:p>
    <w:p w:rsidR="000C3D6D" w:rsidRPr="006A4069" w:rsidRDefault="005E469F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آقای مکارم در بحث خودشان صورت اولی، مرحوم آقای گلپایگانی در صورت ثانیه، در آنجا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نه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انصراف دارد و کار به تدرع ندارند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اصلاً اسمی از آن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نمی‌برند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ولی ما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این انصراف اطمینان نداریم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اما یک احتمال قوی از باب این انصراف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می‌دهیم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موجب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اطلاق از آن قوت و اقتدار بالا برخوردار نباشد و اطلاقی که قوی نباشد با تدرع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 جاری کرد.</w:t>
      </w:r>
    </w:p>
    <w:p w:rsidR="000C3D6D" w:rsidRPr="006A4069" w:rsidRDefault="005E469F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ما تقریرمان با آن بزرگان فرق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انصراف احتمالی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به‌علاوه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قاعده تدرع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که جمع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می‌کنیم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این نتیجه را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اینجا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می‌دهد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نه اینکه 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بگوییم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مجرد انصراف یک امر اطمینانی است و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به‌تنها</w:t>
      </w:r>
      <w:r w:rsidR="006A4069">
        <w:rPr>
          <w:rFonts w:ascii="IRBadr" w:eastAsia="Arial Unicode MS" w:hAnsi="IRBadr" w:cs="IRBadr" w:hint="cs"/>
          <w:sz w:val="28"/>
          <w:szCs w:val="28"/>
          <w:rtl/>
          <w:lang w:bidi="fa-IR"/>
        </w:rPr>
        <w:t>یی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بحث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مؤثر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اجتهاد فی مقابل النص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8A0083" w:rsidRPr="006A4069" w:rsidRDefault="005E469F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اگر بخواهیم به قاعده درع عمل بکنیم 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بگوییم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کل جنون را شامل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حد جاری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خلاف روایت معتبره ای است که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نمی‌توانیم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کاری با آن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بکنیم. آن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اعراض از روایت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اجتهاد در مقابل نص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 من عرض کردم</w:t>
      </w:r>
      <w:r w:rsidR="000C3D6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انصراف امری است بیشتر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روان‌شناختی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5F6EE8" w:rsidRPr="006A4069" w:rsidRDefault="006A4069" w:rsidP="00406EDC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r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جمع‌بندی</w:t>
      </w:r>
    </w:p>
    <w:p w:rsidR="008A0083" w:rsidRPr="006A4069" w:rsidRDefault="005E469F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پس دلیل اجرای حد بر مجنون این سه صورت را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نمی‌گیرد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اولاً اگر کسی قائل بشود به انصراف و اطمینان به انصراف، ثانیاً اگر ادعای اطمینان نشد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می‌تواند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 تمسک به 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قاعده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تدرع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تمسک بکند و حد را بردارد.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مریضی که اجرای حد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موجب اشتداد،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>خوف تلف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ضرر بیشتر باشد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حد بر او جاری نیست. ببینید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نتیجه‌ای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تا اینجا بگیریم این است که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؛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می‌گویید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اطمینان به انصراف پیدا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بلکه به دلیل قاعده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درع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ما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 بر مجنون جاری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مگر در یکی از این چهار صورت.</w:t>
      </w:r>
    </w:p>
    <w:p w:rsidR="008A0083" w:rsidRPr="006A4069" w:rsidRDefault="006A4069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>
        <w:rPr>
          <w:rFonts w:ascii="IRBadr" w:eastAsia="Arial Unicode MS" w:hAnsi="IRBadr" w:cs="IRBadr"/>
          <w:sz w:val="28"/>
          <w:szCs w:val="28"/>
          <w:rtl/>
          <w:lang w:bidi="fa-IR"/>
        </w:rPr>
        <w:t>جمع‌بندی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ما این است که طبق روایت ابی عبیده حذاء و طبق اطلاقات الزانیه و الزانی و سایر اطلاقاتی که 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حدود مختلف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داریم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حد بر مجنون جاری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مگر در یکی از این چهار صورت: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آنجایی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این جنون ادواری باشد، آنجایی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که این مجنون به حیثی باشد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لا یحس بالالم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جنون قوی دارد که درک درد ندارد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جنون اطباقی که احتمال بهبودش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می‌رود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فاصله نزدیکی 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بهبودش است،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هم تأخیر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می‌افتد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چهارم آنجایی که 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اجرای حد بر او موجب اشتداد مرض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یا خوف تلف او باشد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به دلیل انصراف هم نباشد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مهم نیست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چون ادله حاکم داریم بر اینجا عناوین ثانویه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ضرر دارد یا این موجب خوف تلف است و لذا این حد را </w:t>
      </w:r>
      <w:r>
        <w:rPr>
          <w:rFonts w:ascii="IRBadr" w:eastAsia="Arial Unicode MS" w:hAnsi="IRBadr" w:cs="IRBadr"/>
          <w:sz w:val="28"/>
          <w:szCs w:val="28"/>
          <w:rtl/>
          <w:lang w:bidi="fa-IR"/>
        </w:rPr>
        <w:t>برمی‌دارد</w:t>
      </w:r>
      <w:r w:rsidR="00893895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5F6EE8" w:rsidRPr="006A4069" w:rsidRDefault="005F6EE8" w:rsidP="00406EDC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5" w:name="_Toc425551428"/>
      <w:r w:rsidRPr="006A4069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ادعای تعارض</w:t>
      </w:r>
      <w:bookmarkEnd w:id="15"/>
    </w:p>
    <w:p w:rsidR="006640F4" w:rsidRPr="006A4069" w:rsidRDefault="00893895" w:rsidP="00406EDC">
      <w:pPr>
        <w:pStyle w:val="aa"/>
        <w:bidi/>
        <w:jc w:val="both"/>
        <w:rPr>
          <w:rFonts w:ascii="IRBadr" w:eastAsia="Arial Unicode MS" w:hAnsi="IRBadr" w:cs="IRBadr"/>
          <w:sz w:val="28"/>
          <w:szCs w:val="28"/>
          <w:rtl/>
        </w:rPr>
      </w:pPr>
      <w:r w:rsidRPr="006A4069">
        <w:rPr>
          <w:rFonts w:ascii="IRBadr" w:eastAsia="Arial Unicode MS" w:hAnsi="IRBadr" w:cs="IRBadr"/>
          <w:sz w:val="28"/>
          <w:szCs w:val="28"/>
          <w:rtl/>
        </w:rPr>
        <w:t xml:space="preserve">منتها در اینجا چند نکته است که باید توجه داشته باشیم. یک نکته این است که بعضی </w:t>
      </w:r>
      <w:r w:rsidR="00F577E1" w:rsidRPr="006A4069">
        <w:rPr>
          <w:rFonts w:ascii="IRBadr" w:eastAsia="Arial Unicode MS" w:hAnsi="IRBadr" w:cs="IRBadr"/>
          <w:sz w:val="28"/>
          <w:szCs w:val="28"/>
          <w:rtl/>
        </w:rPr>
        <w:t>گفته‌اند</w:t>
      </w:r>
      <w:r w:rsidRPr="006A4069">
        <w:rPr>
          <w:rFonts w:ascii="IRBadr" w:eastAsia="Arial Unicode MS" w:hAnsi="IRBadr" w:cs="IRBadr"/>
          <w:sz w:val="28"/>
          <w:szCs w:val="28"/>
          <w:rtl/>
        </w:rPr>
        <w:t xml:space="preserve"> آن روایاتی که </w:t>
      </w:r>
      <w:r w:rsidR="00F577E1" w:rsidRPr="006A4069">
        <w:rPr>
          <w:rFonts w:ascii="IRBadr" w:eastAsia="Arial Unicode MS" w:hAnsi="IRBadr" w:cs="IRBadr"/>
          <w:sz w:val="28"/>
          <w:szCs w:val="28"/>
          <w:rtl/>
        </w:rPr>
        <w:t>می‌گوید</w:t>
      </w:r>
      <w:r w:rsidRPr="006A4069">
        <w:rPr>
          <w:rFonts w:ascii="IRBadr" w:eastAsia="Arial Unicode MS" w:hAnsi="IRBadr" w:cs="IRBadr"/>
          <w:sz w:val="28"/>
          <w:szCs w:val="28"/>
          <w:rtl/>
        </w:rPr>
        <w:t xml:space="preserve"> حد بر مجنون جاری نیست</w:t>
      </w:r>
      <w:r w:rsidR="008A0083" w:rsidRPr="006A4069">
        <w:rPr>
          <w:rFonts w:ascii="IRBadr" w:eastAsia="Arial Unicode MS" w:hAnsi="IRBadr" w:cs="IRBadr"/>
          <w:sz w:val="28"/>
          <w:szCs w:val="28"/>
          <w:rtl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</w:rPr>
        <w:t xml:space="preserve">آن معارض با این روایاتی است که </w:t>
      </w:r>
      <w:r w:rsidR="00F577E1" w:rsidRPr="006A4069">
        <w:rPr>
          <w:rFonts w:ascii="IRBadr" w:eastAsia="Arial Unicode MS" w:hAnsi="IRBadr" w:cs="IRBadr"/>
          <w:sz w:val="28"/>
          <w:szCs w:val="28"/>
          <w:rtl/>
        </w:rPr>
        <w:t>می‌گوید</w:t>
      </w:r>
      <w:r w:rsidRPr="006A4069">
        <w:rPr>
          <w:rFonts w:ascii="IRBadr" w:eastAsia="Arial Unicode MS" w:hAnsi="IRBadr" w:cs="IRBadr"/>
          <w:sz w:val="28"/>
          <w:szCs w:val="28"/>
          <w:rtl/>
        </w:rPr>
        <w:t xml:space="preserve"> بر مجنون حد جاری </w:t>
      </w:r>
      <w:r w:rsidR="00F577E1" w:rsidRPr="006A4069">
        <w:rPr>
          <w:rFonts w:ascii="IRBadr" w:eastAsia="Arial Unicode MS" w:hAnsi="IRBadr" w:cs="IRBadr"/>
          <w:sz w:val="28"/>
          <w:szCs w:val="28"/>
          <w:rtl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</w:rPr>
        <w:t xml:space="preserve">. این </w:t>
      </w:r>
      <w:r w:rsidR="00406EDC" w:rsidRPr="006A4069">
        <w:rPr>
          <w:rFonts w:ascii="IRBadr" w:eastAsia="Arial Unicode MS" w:hAnsi="IRBadr" w:cs="IRBadr"/>
          <w:sz w:val="28"/>
          <w:szCs w:val="28"/>
          <w:rtl/>
        </w:rPr>
        <w:t>ادعایی است که در اینجا شده است.</w:t>
      </w:r>
    </w:p>
    <w:p w:rsidR="006640F4" w:rsidRPr="006A4069" w:rsidRDefault="00893895" w:rsidP="00406EDC">
      <w:pPr>
        <w:pStyle w:val="aa"/>
        <w:bidi/>
        <w:jc w:val="both"/>
        <w:rPr>
          <w:rFonts w:ascii="IRBadr" w:eastAsia="Arial Unicode MS" w:hAnsi="IRBadr" w:cs="IRBadr"/>
          <w:sz w:val="28"/>
          <w:szCs w:val="28"/>
          <w:rtl/>
        </w:rPr>
      </w:pPr>
      <w:r w:rsidRPr="006A4069">
        <w:rPr>
          <w:rFonts w:ascii="IRBadr" w:eastAsia="Arial Unicode MS" w:hAnsi="IRBadr" w:cs="IRBadr"/>
          <w:sz w:val="28"/>
          <w:szCs w:val="28"/>
          <w:rtl/>
        </w:rPr>
        <w:t>نکته اول این است که ادعا شده</w:t>
      </w:r>
      <w:r w:rsidR="008A0083" w:rsidRPr="006A4069">
        <w:rPr>
          <w:rFonts w:ascii="IRBadr" w:eastAsia="Arial Unicode MS" w:hAnsi="IRBadr" w:cs="IRBadr"/>
          <w:sz w:val="28"/>
          <w:szCs w:val="28"/>
          <w:rtl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</w:rPr>
        <w:t xml:space="preserve">روایاتی که </w:t>
      </w:r>
      <w:r w:rsidR="00F577E1" w:rsidRPr="006A4069">
        <w:rPr>
          <w:rFonts w:ascii="IRBadr" w:eastAsia="Arial Unicode MS" w:hAnsi="IRBadr" w:cs="IRBadr"/>
          <w:sz w:val="28"/>
          <w:szCs w:val="28"/>
          <w:rtl/>
        </w:rPr>
        <w:t>می‌گوید</w:t>
      </w:r>
      <w:r w:rsidRPr="006A4069">
        <w:rPr>
          <w:rFonts w:ascii="IRBadr" w:eastAsia="Arial Unicode MS" w:hAnsi="IRBadr" w:cs="IRBadr"/>
          <w:sz w:val="28"/>
          <w:szCs w:val="28"/>
          <w:rtl/>
        </w:rPr>
        <w:t xml:space="preserve"> حد بر مجنون نیست</w:t>
      </w:r>
      <w:r w:rsidR="008A0083" w:rsidRPr="006A4069">
        <w:rPr>
          <w:rFonts w:ascii="IRBadr" w:eastAsia="Arial Unicode MS" w:hAnsi="IRBadr" w:cs="IRBadr"/>
          <w:sz w:val="28"/>
          <w:szCs w:val="28"/>
          <w:rtl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</w:rPr>
        <w:t xml:space="preserve">معارض این روایت است. آن روایات در باب هشت از ابواب مقدمات حدود است. </w:t>
      </w:r>
      <w:r w:rsidR="008A0083" w:rsidRPr="006A4069">
        <w:rPr>
          <w:rFonts w:ascii="IRBadr" w:eastAsia="Arial Unicode MS" w:hAnsi="IRBadr" w:cs="IRBadr"/>
          <w:sz w:val="28"/>
          <w:szCs w:val="28"/>
          <w:rtl/>
        </w:rPr>
        <w:t xml:space="preserve">در </w:t>
      </w:r>
      <w:r w:rsidRPr="006A4069">
        <w:rPr>
          <w:rFonts w:ascii="IRBadr" w:eastAsia="Arial Unicode MS" w:hAnsi="IRBadr" w:cs="IRBadr"/>
          <w:sz w:val="28"/>
          <w:szCs w:val="28"/>
          <w:rtl/>
        </w:rPr>
        <w:t>همین جلد هیجده</w:t>
      </w:r>
      <w:r w:rsidR="008A0083" w:rsidRPr="006A4069">
        <w:rPr>
          <w:rFonts w:ascii="IRBadr" w:eastAsia="Arial Unicode MS" w:hAnsi="IRBadr" w:cs="IRBadr"/>
          <w:sz w:val="28"/>
          <w:szCs w:val="28"/>
          <w:rtl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</w:rPr>
        <w:t xml:space="preserve"> ابواب</w:t>
      </w:r>
      <w:r w:rsidRPr="006A4069">
        <w:rPr>
          <w:rFonts w:ascii="IRBadr" w:eastAsia="Arial Unicode MS" w:hAnsi="IRBadr" w:cs="IRBadr"/>
          <w:sz w:val="28"/>
          <w:szCs w:val="28"/>
          <w:rtl/>
        </w:rPr>
        <w:t xml:space="preserve"> مقدمات حدود، باب هشت. دو</w:t>
      </w:r>
      <w:r w:rsidR="008A0083" w:rsidRPr="006A4069">
        <w:rPr>
          <w:rFonts w:ascii="IRBadr" w:eastAsia="Arial Unicode MS" w:hAnsi="IRBadr" w:cs="IRBadr"/>
          <w:sz w:val="28"/>
          <w:szCs w:val="28"/>
          <w:rtl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</w:rPr>
        <w:t>سه روایت در</w:t>
      </w:r>
      <w:r w:rsidR="006640F4" w:rsidRPr="006A4069">
        <w:rPr>
          <w:rFonts w:ascii="IRBadr" w:eastAsia="Arial Unicode MS" w:hAnsi="IRBadr" w:cs="IRBadr"/>
          <w:sz w:val="28"/>
          <w:szCs w:val="28"/>
          <w:rtl/>
        </w:rPr>
        <w:t xml:space="preserve"> این باب داریم که روایت اولش که </w:t>
      </w:r>
      <w:r w:rsidRPr="006A4069">
        <w:rPr>
          <w:rFonts w:ascii="IRBadr" w:eastAsia="Arial Unicode MS" w:hAnsi="IRBadr" w:cs="IRBadr"/>
          <w:sz w:val="28"/>
          <w:szCs w:val="28"/>
          <w:rtl/>
        </w:rPr>
        <w:t>معتبره است</w:t>
      </w:r>
      <w:r w:rsidR="008A0083" w:rsidRPr="006A4069">
        <w:rPr>
          <w:rFonts w:ascii="IRBadr" w:eastAsia="Arial Unicode MS" w:hAnsi="IRBadr" w:cs="IRBadr"/>
          <w:sz w:val="28"/>
          <w:szCs w:val="28"/>
          <w:rtl/>
        </w:rPr>
        <w:t xml:space="preserve">، </w:t>
      </w:r>
      <w:r w:rsidR="006640F4" w:rsidRPr="006A4069">
        <w:rPr>
          <w:rFonts w:ascii="IRBadr" w:eastAsia="Arial Unicode MS" w:hAnsi="IRBadr" w:cs="IRBadr"/>
          <w:sz w:val="28"/>
          <w:szCs w:val="28"/>
          <w:rtl/>
        </w:rPr>
        <w:t>این است که؛</w:t>
      </w:r>
    </w:p>
    <w:p w:rsidR="006640F4" w:rsidRPr="006A4069" w:rsidRDefault="006640F4" w:rsidP="00406EDC">
      <w:pPr>
        <w:pStyle w:val="aa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6A4069">
        <w:rPr>
          <w:rFonts w:ascii="IRBadr" w:hAnsi="IRBadr" w:cs="IRBadr"/>
          <w:b/>
          <w:bCs/>
          <w:sz w:val="28"/>
          <w:szCs w:val="28"/>
          <w:rtl/>
        </w:rPr>
        <w:t>«لَا حَدَّ عَلَ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 xml:space="preserve"> الْمَجْنُونِ حَتَّ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>فِ</w:t>
      </w:r>
      <w:r w:rsidR="001331E0" w:rsidRPr="006A4069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6A4069">
        <w:rPr>
          <w:rFonts w:ascii="IRBadr" w:hAnsi="IRBadr" w:cs="IRBadr"/>
          <w:b/>
          <w:bCs/>
          <w:sz w:val="28"/>
          <w:szCs w:val="28"/>
          <w:rtl/>
        </w:rPr>
        <w:t>قَ»</w:t>
      </w:r>
      <w:r w:rsidRPr="006A4069">
        <w:rPr>
          <w:rStyle w:val="ad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8A0083" w:rsidRPr="006A4069" w:rsidRDefault="00893895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روایت دومش 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برای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آنجایی است که در حال جنون مرتکب خلاف شده است.</w:t>
      </w:r>
    </w:p>
    <w:p w:rsidR="005F6EE8" w:rsidRPr="006A4069" w:rsidRDefault="005F6EE8" w:rsidP="00406EDC">
      <w:pPr>
        <w:pStyle w:val="3"/>
        <w:bidi/>
        <w:jc w:val="both"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6" w:name="_Toc425551429"/>
      <w:r w:rsidRPr="006A4069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پاسخ این شبهه</w:t>
      </w:r>
      <w:bookmarkEnd w:id="16"/>
    </w:p>
    <w:p w:rsidR="008A0083" w:rsidRPr="006A4069" w:rsidRDefault="00893895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منتها جوابی که از این اشکال داده شده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این است که لا حد علی مجنون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در مقام بیان شرطیت عقل است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برای ثبوت حد در هنگام گناه و معصیت. یعنی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می‌خواهد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بگوید برای کسی که مشمول مجازات بشود، گناه او و جرم او باید در حال عقل باشد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والا اگر در حال جنون باشد</w:t>
      </w:r>
      <w:r w:rsidR="008A0083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حد بر او جاری نیست.</w:t>
      </w:r>
    </w:p>
    <w:p w:rsidR="00015A5E" w:rsidRPr="006A4069" w:rsidRDefault="00015A5E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>پس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روایت در مقام بیان شرطیت است.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شرایط برای اصل ثبوت حد است،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نه اجرای حد. این روایت کار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اجرای حد ندارد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کی جاری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کی جاری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؟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این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کار 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دارد که در حال جنون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در حال صبابت یا در حال خواب،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اگر کسی خلافی انجام داد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برایش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ثابت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 و اما اینکه اگر در حال سلامت مرتکب شد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 او در حال جنون حد جاری کرد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روایات به آن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کاری 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ندارد.</w:t>
      </w:r>
    </w:p>
    <w:p w:rsidR="00015A5E" w:rsidRPr="006A4069" w:rsidRDefault="00015A5E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ممکن کسی </w:t>
      </w:r>
      <w:r w:rsidR="006A4069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جوابی بدهد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 اما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من خیلی نتوانستم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اینجا به نتیجه بین این دو احتمال برسم. از یک طرف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انسان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روایت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ربطی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مقام اجرای 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ندارد و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می‌خواهد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شرطیت را ذکر بکند</w:t>
      </w:r>
      <w:r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1331E0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از طرف دیگر ممکن است بگوییم ظاهرش اطلاق را </w:t>
      </w:r>
      <w:r w:rsidR="00F577E1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می‌گیرد</w:t>
      </w:r>
      <w:r w:rsidR="00DE19DD" w:rsidRPr="006A4069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0977A6" w:rsidRPr="006A4069" w:rsidRDefault="000977A6" w:rsidP="00406EDC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</w:p>
    <w:sectPr w:rsidR="000977A6" w:rsidRPr="006A4069" w:rsidSect="00DE5DE3">
      <w:headerReference w:type="default" r:id="rId8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52" w:rsidRDefault="00263852" w:rsidP="00B20B33">
      <w:pPr>
        <w:spacing w:after="0" w:line="240" w:lineRule="auto"/>
      </w:pPr>
      <w:r>
        <w:separator/>
      </w:r>
    </w:p>
  </w:endnote>
  <w:endnote w:type="continuationSeparator" w:id="0">
    <w:p w:rsidR="00263852" w:rsidRDefault="00263852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52" w:rsidRDefault="00263852" w:rsidP="00406EDC">
      <w:pPr>
        <w:bidi/>
        <w:spacing w:after="0" w:line="240" w:lineRule="auto"/>
      </w:pPr>
      <w:r>
        <w:separator/>
      </w:r>
    </w:p>
  </w:footnote>
  <w:footnote w:type="continuationSeparator" w:id="0">
    <w:p w:rsidR="00263852" w:rsidRDefault="00263852" w:rsidP="00B20B33">
      <w:pPr>
        <w:spacing w:after="0" w:line="240" w:lineRule="auto"/>
      </w:pPr>
      <w:r>
        <w:continuationSeparator/>
      </w:r>
    </w:p>
  </w:footnote>
  <w:footnote w:id="1">
    <w:p w:rsidR="005F6EE8" w:rsidRDefault="005F6EE8" w:rsidP="00406EDC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 w:rsidRPr="00170D1F">
        <w:rPr>
          <w:rFonts w:ascii="Noor_Titr" w:hAnsi="Noor_Titr" w:cs="B Lotus" w:hint="cs"/>
          <w:color w:val="000000" w:themeColor="text1"/>
          <w:rtl/>
        </w:rPr>
        <w:t xml:space="preserve">من لا </w:t>
      </w:r>
      <w:r w:rsidR="001331E0">
        <w:rPr>
          <w:rFonts w:ascii="Noor_Titr" w:hAnsi="Noor_Titr" w:cs="B Lotus" w:hint="cs"/>
          <w:color w:val="000000" w:themeColor="text1"/>
          <w:rtl/>
        </w:rPr>
        <w:t>ی</w:t>
      </w:r>
      <w:r w:rsidRPr="00170D1F">
        <w:rPr>
          <w:rFonts w:ascii="Noor_Titr" w:hAnsi="Noor_Titr" w:cs="B Lotus" w:hint="cs"/>
          <w:color w:val="000000" w:themeColor="text1"/>
          <w:rtl/>
        </w:rPr>
        <w:t>حضره الفق</w:t>
      </w:r>
      <w:r w:rsidR="001331E0">
        <w:rPr>
          <w:rFonts w:ascii="Noor_Titr" w:hAnsi="Noor_Titr" w:cs="B Lotus" w:hint="cs"/>
          <w:color w:val="000000" w:themeColor="text1"/>
          <w:rtl/>
        </w:rPr>
        <w:t>ی</w:t>
      </w:r>
      <w:r w:rsidRPr="00170D1F">
        <w:rPr>
          <w:rFonts w:ascii="Noor_Titr" w:hAnsi="Noor_Titr" w:cs="B Lotus" w:hint="cs"/>
          <w:color w:val="000000" w:themeColor="text1"/>
          <w:rtl/>
        </w:rPr>
        <w:t xml:space="preserve">ه؛ </w:t>
      </w:r>
      <w:r w:rsidR="001331E0">
        <w:rPr>
          <w:rFonts w:ascii="Noor_Titr" w:hAnsi="Noor_Titr" w:cs="B Lotus"/>
          <w:color w:val="000000" w:themeColor="text1"/>
          <w:rtl/>
        </w:rPr>
        <w:t>ج 4</w:t>
      </w:r>
      <w:r w:rsidRPr="00170D1F">
        <w:rPr>
          <w:rFonts w:ascii="Noor_Titr" w:hAnsi="Noor_Titr" w:cs="B Lotus" w:hint="cs"/>
          <w:color w:val="000000" w:themeColor="text1"/>
          <w:rtl/>
        </w:rPr>
        <w:t>، ص: 42</w:t>
      </w:r>
    </w:p>
  </w:footnote>
  <w:footnote w:id="2">
    <w:p w:rsidR="006640F4" w:rsidRDefault="006640F4" w:rsidP="00406EDC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>
        <w:rPr>
          <w:rFonts w:hint="cs"/>
          <w:rtl/>
          <w:lang w:bidi="fa-IR"/>
        </w:rPr>
        <w:t>نور/2</w:t>
      </w:r>
    </w:p>
  </w:footnote>
  <w:footnote w:id="3">
    <w:p w:rsidR="006640F4" w:rsidRDefault="006640F4" w:rsidP="00406EDC">
      <w:pPr>
        <w:pStyle w:val="ab"/>
        <w:bidi/>
        <w:rPr>
          <w:rtl/>
          <w:lang w:bidi="fa-IR"/>
        </w:rPr>
      </w:pPr>
      <w:r>
        <w:rPr>
          <w:rStyle w:val="ad"/>
        </w:rPr>
        <w:footnoteRef/>
      </w:r>
      <w:r>
        <w:t xml:space="preserve"> </w:t>
      </w:r>
      <w:r w:rsidRPr="006640F4">
        <w:rPr>
          <w:rFonts w:ascii="Noor_Titr" w:hAnsi="Noor_Titr" w:cs="B Lotus" w:hint="cs"/>
          <w:color w:val="000000" w:themeColor="text1"/>
          <w:rtl/>
        </w:rPr>
        <w:t xml:space="preserve">بحار الأنوار؛ </w:t>
      </w:r>
      <w:r w:rsidR="001331E0">
        <w:rPr>
          <w:rFonts w:ascii="Noor_Titr" w:hAnsi="Noor_Titr" w:cs="B Lotus"/>
          <w:color w:val="000000" w:themeColor="text1"/>
          <w:rtl/>
        </w:rPr>
        <w:t>ج 76</w:t>
      </w:r>
      <w:r w:rsidRPr="006640F4">
        <w:rPr>
          <w:rFonts w:ascii="Noor_Titr" w:hAnsi="Noor_Titr" w:cs="B Lotus" w:hint="cs"/>
          <w:color w:val="000000" w:themeColor="text1"/>
          <w:rtl/>
        </w:rPr>
        <w:t>، ص: 88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E3" w:rsidRDefault="00263852" w:rsidP="00DE5DE3">
    <w:pPr>
      <w:pStyle w:val="a3"/>
      <w:bidi/>
      <w:rPr>
        <w:lang w:bidi="fa-IR"/>
      </w:rPr>
    </w:pPr>
    <w:r>
      <w:rPr>
        <w:noProof/>
      </w:rPr>
      <w:pict>
        <v:line id="_x0000_s2049" style="position:absolute;left:0;text-align:left;flip:x;z-index:251658240" from="0,63.35pt" to="486pt,63.35pt">
          <w10:wrap anchorx="page"/>
        </v:line>
      </w:pict>
    </w:r>
    <w:bookmarkStart w:id="17" w:name="OLE_LINK1"/>
    <w:bookmarkStart w:id="18" w:name="OLE_LINK2"/>
    <w:r w:rsidR="00DE5DE3">
      <w:rPr>
        <w:noProof/>
        <w:lang w:bidi="fa-IR"/>
      </w:rPr>
      <w:drawing>
        <wp:inline distT="0" distB="0" distL="0" distR="0" wp14:anchorId="2F4842E8" wp14:editId="023B919B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1331E0">
      <w:rPr>
        <w:rFonts w:cs="IranNastaliq"/>
        <w:rtl/>
      </w:rPr>
      <w:t xml:space="preserve"> </w:t>
    </w:r>
    <w:r w:rsidR="00DE5DE3" w:rsidRPr="001C79A9">
      <w:rPr>
        <w:rFonts w:cs="IranNastaliq"/>
        <w:sz w:val="40"/>
        <w:szCs w:val="40"/>
        <w:rtl/>
      </w:rPr>
      <w:t>شماره ثبت</w:t>
    </w:r>
    <w:r w:rsidR="00DE5DE3" w:rsidRPr="001C79A9">
      <w:rPr>
        <w:sz w:val="40"/>
        <w:szCs w:val="40"/>
        <w:rtl/>
      </w:rPr>
      <w:t>:</w:t>
    </w:r>
    <w:r w:rsidR="00DE5DE3" w:rsidRPr="001C79A9">
      <w:rPr>
        <w:rFonts w:hint="cs"/>
        <w:sz w:val="40"/>
        <w:szCs w:val="40"/>
        <w:rtl/>
      </w:rPr>
      <w:t xml:space="preserve"> </w:t>
    </w:r>
    <w:r w:rsidR="00DE5DE3">
      <w:rPr>
        <w:rFonts w:cs="2  Badr" w:hint="cs"/>
        <w:sz w:val="40"/>
        <w:szCs w:val="40"/>
        <w:rtl/>
        <w:lang w:bidi="fa-IR"/>
      </w:rPr>
      <w:t>739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15A5E"/>
    <w:rsid w:val="00027C96"/>
    <w:rsid w:val="000300BD"/>
    <w:rsid w:val="00061DDB"/>
    <w:rsid w:val="00067D26"/>
    <w:rsid w:val="00093436"/>
    <w:rsid w:val="000977A6"/>
    <w:rsid w:val="000C3D6D"/>
    <w:rsid w:val="000C7707"/>
    <w:rsid w:val="00114323"/>
    <w:rsid w:val="001331E0"/>
    <w:rsid w:val="0013532B"/>
    <w:rsid w:val="00157D98"/>
    <w:rsid w:val="00263852"/>
    <w:rsid w:val="003F129E"/>
    <w:rsid w:val="00406EDC"/>
    <w:rsid w:val="0045020C"/>
    <w:rsid w:val="004A7C19"/>
    <w:rsid w:val="00500D80"/>
    <w:rsid w:val="005540C8"/>
    <w:rsid w:val="00594164"/>
    <w:rsid w:val="005C0733"/>
    <w:rsid w:val="005E469F"/>
    <w:rsid w:val="005F48DC"/>
    <w:rsid w:val="005F6EE8"/>
    <w:rsid w:val="006640F4"/>
    <w:rsid w:val="006A4069"/>
    <w:rsid w:val="006C7AFB"/>
    <w:rsid w:val="0070138B"/>
    <w:rsid w:val="0071091D"/>
    <w:rsid w:val="00721F94"/>
    <w:rsid w:val="007339F8"/>
    <w:rsid w:val="007534C6"/>
    <w:rsid w:val="00816806"/>
    <w:rsid w:val="00893895"/>
    <w:rsid w:val="008A0083"/>
    <w:rsid w:val="008C1209"/>
    <w:rsid w:val="008C361D"/>
    <w:rsid w:val="008D3216"/>
    <w:rsid w:val="00952C9A"/>
    <w:rsid w:val="009638A0"/>
    <w:rsid w:val="009A5E11"/>
    <w:rsid w:val="00A7495D"/>
    <w:rsid w:val="00B20B33"/>
    <w:rsid w:val="00B27FBB"/>
    <w:rsid w:val="00B36156"/>
    <w:rsid w:val="00BA28C4"/>
    <w:rsid w:val="00BB1193"/>
    <w:rsid w:val="00BC58C5"/>
    <w:rsid w:val="00CA4332"/>
    <w:rsid w:val="00CC7768"/>
    <w:rsid w:val="00CE1B92"/>
    <w:rsid w:val="00CF6DCC"/>
    <w:rsid w:val="00DD520D"/>
    <w:rsid w:val="00DE19DD"/>
    <w:rsid w:val="00DE5DE3"/>
    <w:rsid w:val="00E31D2B"/>
    <w:rsid w:val="00EC5CA9"/>
    <w:rsid w:val="00EF1051"/>
    <w:rsid w:val="00F1173B"/>
    <w:rsid w:val="00F577E1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406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6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6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DE5DE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F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b">
    <w:name w:val="footnote text"/>
    <w:basedOn w:val="a"/>
    <w:link w:val="ac"/>
    <w:uiPriority w:val="99"/>
    <w:semiHidden/>
    <w:unhideWhenUsed/>
    <w:rsid w:val="005F6EE8"/>
    <w:pPr>
      <w:spacing w:after="0" w:line="240" w:lineRule="auto"/>
    </w:pPr>
    <w:rPr>
      <w:sz w:val="20"/>
      <w:szCs w:val="20"/>
    </w:rPr>
  </w:style>
  <w:style w:type="character" w:customStyle="1" w:styleId="ac">
    <w:name w:val="متن پاورقی نویسه"/>
    <w:basedOn w:val="a0"/>
    <w:link w:val="ab"/>
    <w:uiPriority w:val="99"/>
    <w:semiHidden/>
    <w:rsid w:val="005F6EE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6EE8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406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406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406E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406ED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6ED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06EDC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406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DB48-D6FC-4AF8-80B7-DE82EC81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23</cp:revision>
  <dcterms:created xsi:type="dcterms:W3CDTF">2012-12-15T07:18:00Z</dcterms:created>
  <dcterms:modified xsi:type="dcterms:W3CDTF">2015-07-30T12:25:00Z</dcterms:modified>
</cp:coreProperties>
</file>