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253D14" w:rsidRDefault="00B20B33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253D1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BD4D96" w:rsidRPr="00253D14" w:rsidRDefault="00BD4D96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D4D96" w:rsidRPr="00253D14" w:rsidRDefault="00BD4D96" w:rsidP="00BD4D96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253D1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253D14">
        <w:rPr>
          <w:rFonts w:ascii="IRBadr" w:hAnsi="IRBadr" w:cs="IRBadr"/>
          <w:sz w:val="28"/>
          <w:szCs w:val="28"/>
          <w:lang w:bidi="fa-IR"/>
        </w:rPr>
        <w:instrText>TOC</w:instrText>
      </w:r>
      <w:r w:rsidRPr="00253D14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253D14">
        <w:rPr>
          <w:rFonts w:ascii="IRBadr" w:hAnsi="IRBadr" w:cs="IRBadr"/>
          <w:sz w:val="28"/>
          <w:szCs w:val="28"/>
          <w:lang w:bidi="fa-IR"/>
        </w:rPr>
        <w:instrText>o "</w:instrText>
      </w:r>
      <w:r w:rsidRPr="00253D14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253D14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253D1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253D1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47854" w:history="1">
        <w:r w:rsidRPr="00253D14">
          <w:rPr>
            <w:rStyle w:val="ae"/>
            <w:rFonts w:ascii="IRBadr" w:hAnsi="IRBadr" w:cs="IRBadr"/>
            <w:noProof/>
            <w:rtl/>
          </w:rPr>
          <w:t>مرور بحث سابق</w:t>
        </w:r>
        <w:r w:rsidRPr="00253D14">
          <w:rPr>
            <w:rFonts w:ascii="IRBadr" w:hAnsi="IRBadr" w:cs="IRBadr"/>
            <w:noProof/>
            <w:webHidden/>
          </w:rPr>
          <w:tab/>
        </w:r>
        <w:r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Pr="00253D14">
          <w:rPr>
            <w:rFonts w:ascii="IRBadr" w:hAnsi="IRBadr" w:cs="IRBadr"/>
            <w:noProof/>
            <w:webHidden/>
          </w:rPr>
          <w:instrText xml:space="preserve"> PAGEREF _Toc425547854 \h </w:instrText>
        </w:r>
        <w:r w:rsidRPr="00253D14">
          <w:rPr>
            <w:rStyle w:val="ae"/>
            <w:rFonts w:ascii="IRBadr" w:hAnsi="IRBadr" w:cs="IRBadr"/>
            <w:noProof/>
            <w:rtl/>
          </w:rPr>
        </w:r>
        <w:r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253D14">
          <w:rPr>
            <w:rFonts w:ascii="IRBadr" w:hAnsi="IRBadr" w:cs="IRBadr"/>
            <w:noProof/>
            <w:webHidden/>
            <w:rtl/>
          </w:rPr>
          <w:t>2</w:t>
        </w:r>
        <w:r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55" w:history="1">
        <w:r w:rsidR="00BD4D96" w:rsidRPr="00253D14">
          <w:rPr>
            <w:rStyle w:val="ae"/>
            <w:rFonts w:ascii="IRBadr" w:hAnsi="IRBadr" w:cs="IRBadr"/>
            <w:noProof/>
            <w:rtl/>
          </w:rPr>
          <w:t>مستندات بحث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_Toc425547855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2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56" w:history="1">
        <w:r w:rsidR="00BD4D96" w:rsidRPr="00253D14">
          <w:rPr>
            <w:rStyle w:val="ae"/>
            <w:rFonts w:ascii="IRBadr" w:hAnsi="IRBadr" w:cs="IRBadr"/>
            <w:noProof/>
            <w:rtl/>
          </w:rPr>
          <w:t>روایت اول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_Toc425547856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2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57" w:history="1">
        <w:r w:rsidR="00BD4D96" w:rsidRPr="00253D14">
          <w:rPr>
            <w:rStyle w:val="ae"/>
            <w:rFonts w:ascii="IRBadr" w:hAnsi="IRBadr" w:cs="IRBadr"/>
            <w:noProof/>
            <w:rtl/>
          </w:rPr>
          <w:t>روایت دوم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_Toc425547857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3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58" w:history="1">
        <w:r w:rsidR="00BD4D96" w:rsidRPr="00253D14">
          <w:rPr>
            <w:rStyle w:val="ae"/>
            <w:rFonts w:ascii="IRBadr" w:hAnsi="IRBadr" w:cs="IRBadr"/>
            <w:noProof/>
            <w:rtl/>
          </w:rPr>
          <w:t>بحث دلالی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_Toc425547858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3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59" w:history="1">
        <w:r w:rsidR="00253D14">
          <w:rPr>
            <w:rStyle w:val="ae"/>
            <w:rFonts w:ascii="IRBadr" w:hAnsi="IRBadr" w:cs="IRBadr"/>
            <w:noProof/>
            <w:rtl/>
          </w:rPr>
          <w:t>نتیجه‌گیری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_Toc425547859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4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0" w:history="1">
        <w:r w:rsidR="00BD4D96" w:rsidRPr="00253D14">
          <w:rPr>
            <w:rStyle w:val="ae"/>
            <w:rFonts w:ascii="IRBadr" w:hAnsi="IRBadr" w:cs="IRBadr"/>
            <w:noProof/>
            <w:rtl/>
          </w:rPr>
          <w:t>پاسخ مناقشه فوق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_Toc425547860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4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1" w:history="1">
        <w:r w:rsidR="00BD4D96" w:rsidRPr="00253D14">
          <w:rPr>
            <w:rStyle w:val="ae"/>
            <w:rFonts w:ascii="IRBadr" w:hAnsi="IRBadr" w:cs="IRBadr"/>
            <w:noProof/>
            <w:rtl/>
          </w:rPr>
          <w:t>وجه دوم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_Toc425547861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4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2" w:history="1">
        <w:r w:rsidR="00BD4D96" w:rsidRPr="00253D14">
          <w:rPr>
            <w:rStyle w:val="ae"/>
            <w:rFonts w:ascii="IRBadr" w:hAnsi="IRBadr" w:cs="IRBadr"/>
            <w:noProof/>
            <w:rtl/>
          </w:rPr>
          <w:t>تشریح قرائن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_Toc425547862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5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3" w:history="1">
        <w:r w:rsidR="00BD4D96" w:rsidRPr="00253D14">
          <w:rPr>
            <w:rStyle w:val="ae"/>
            <w:rFonts w:ascii="IRBadr" w:hAnsi="IRBadr" w:cs="IRBadr"/>
            <w:noProof/>
            <w:rtl/>
          </w:rPr>
          <w:t>قرینه دوم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_Toc425547863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5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4" w:history="1">
        <w:r w:rsidR="00BD4D96" w:rsidRPr="00253D14">
          <w:rPr>
            <w:rStyle w:val="ae"/>
            <w:rFonts w:ascii="IRBadr" w:hAnsi="IRBadr" w:cs="IRBadr"/>
            <w:noProof/>
            <w:rtl/>
          </w:rPr>
          <w:t>قرینه سوم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_Toc425547864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5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5" w:history="1">
        <w:r w:rsidR="00253D14">
          <w:rPr>
            <w:rStyle w:val="ae"/>
            <w:rFonts w:ascii="IRBadr" w:hAnsi="IRBadr" w:cs="IRBadr"/>
            <w:noProof/>
            <w:rtl/>
          </w:rPr>
          <w:t>جمع‌بندی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_Toc425547865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6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6" w:history="1">
        <w:r w:rsidR="00BD4D96" w:rsidRPr="00253D14">
          <w:rPr>
            <w:rStyle w:val="ae"/>
            <w:rFonts w:ascii="IRBadr" w:hAnsi="IRBadr" w:cs="IRBadr"/>
            <w:noProof/>
            <w:rtl/>
          </w:rPr>
          <w:t>مرور آنچه گذشت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_Toc425547866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6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792D1A" w:rsidP="00BD4D96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867" w:history="1">
        <w:r w:rsidR="00BD4D96" w:rsidRPr="00253D14">
          <w:rPr>
            <w:rStyle w:val="ae"/>
            <w:rFonts w:ascii="IRBadr" w:hAnsi="IRBadr" w:cs="IRBadr"/>
            <w:noProof/>
            <w:rtl/>
          </w:rPr>
          <w:t>علیت در این مقام</w:t>
        </w:r>
        <w:r w:rsidR="00BD4D96" w:rsidRPr="00253D14">
          <w:rPr>
            <w:rFonts w:ascii="IRBadr" w:hAnsi="IRBadr" w:cs="IRBadr"/>
            <w:noProof/>
            <w:webHidden/>
          </w:rPr>
          <w:tab/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begin"/>
        </w:r>
        <w:r w:rsidR="00BD4D96" w:rsidRPr="00253D14">
          <w:rPr>
            <w:rFonts w:ascii="IRBadr" w:hAnsi="IRBadr" w:cs="IRBadr"/>
            <w:noProof/>
            <w:webHidden/>
          </w:rPr>
          <w:instrText xml:space="preserve"> PAGEREF _Toc425547867 \h </w:instrText>
        </w:r>
        <w:r w:rsidR="00BD4D96" w:rsidRPr="00253D14">
          <w:rPr>
            <w:rStyle w:val="ae"/>
            <w:rFonts w:ascii="IRBadr" w:hAnsi="IRBadr" w:cs="IRBadr"/>
            <w:noProof/>
            <w:rtl/>
          </w:rPr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BD4D96" w:rsidRPr="00253D14">
          <w:rPr>
            <w:rFonts w:ascii="IRBadr" w:hAnsi="IRBadr" w:cs="IRBadr"/>
            <w:noProof/>
            <w:webHidden/>
            <w:rtl/>
          </w:rPr>
          <w:t>7</w:t>
        </w:r>
        <w:r w:rsidR="00BD4D96" w:rsidRPr="00253D14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BD4D96" w:rsidRPr="00253D14" w:rsidRDefault="00BD4D96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D4D96" w:rsidRPr="00253D14" w:rsidRDefault="00BD4D96">
      <w:pPr>
        <w:rPr>
          <w:rFonts w:ascii="IRBadr" w:eastAsiaTheme="majorEastAsia" w:hAnsi="IRBadr" w:cs="IRBadr"/>
          <w:b/>
          <w:bCs/>
          <w:sz w:val="36"/>
          <w:szCs w:val="36"/>
          <w:rtl/>
          <w:lang w:bidi="fa-IR"/>
        </w:rPr>
      </w:pPr>
      <w:bookmarkStart w:id="1" w:name="_Toc425547854"/>
      <w:r w:rsidRPr="00253D14">
        <w:rPr>
          <w:rFonts w:ascii="IRBadr" w:hAnsi="IRBadr" w:cs="IRBadr"/>
          <w:sz w:val="36"/>
          <w:szCs w:val="36"/>
          <w:rtl/>
          <w:lang w:bidi="fa-IR"/>
        </w:rPr>
        <w:br w:type="page"/>
      </w:r>
    </w:p>
    <w:p w:rsidR="00BA1EED" w:rsidRPr="00253D14" w:rsidRDefault="00BA1EED" w:rsidP="00BD4D96">
      <w:pPr>
        <w:pStyle w:val="1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253D14"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مرور بحث سابق</w:t>
      </w:r>
      <w:bookmarkEnd w:id="1"/>
    </w:p>
    <w:p w:rsidR="00BA1EED" w:rsidRPr="00253D14" w:rsidRDefault="0016326D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بحث این بود که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فتوای مشهور حد در غیر دار الاسلام</w:t>
      </w:r>
      <w:r w:rsidR="00BA1EE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اجرا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بایستی در سرزمین اسلامی باشد</w:t>
      </w:r>
      <w:r w:rsidR="00BA1EED" w:rsidRPr="00253D14">
        <w:rPr>
          <w:rFonts w:ascii="IRBadr" w:hAnsi="IRBadr" w:cs="IRBadr"/>
          <w:sz w:val="28"/>
          <w:szCs w:val="28"/>
          <w:rtl/>
          <w:lang w:bidi="fa-IR"/>
        </w:rPr>
        <w:t>.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عرض کردیم در اینجا دو اختلاف وجود دارد. یک اختلاف اینکه این اقامه حد کراهت دارد یا جایز نیست. که اگر کراهت داشته باشد که قول نادری است</w:t>
      </w:r>
      <w:r w:rsidR="00BA1EE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اجرای آن مانعی ندارد. نه مانع تکلیفی دارد و نه موجب ضمان و امثال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این یک اختلاف است که البته قول مشهور به خصوص در میان متأخرین</w:t>
      </w:r>
      <w:r w:rsidR="00BA1EE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BA1EED" w:rsidRPr="00253D14">
        <w:rPr>
          <w:rFonts w:ascii="IRBadr" w:hAnsi="IRBadr" w:cs="IRBadr"/>
          <w:sz w:val="28"/>
          <w:szCs w:val="28"/>
          <w:rtl/>
          <w:lang w:bidi="fa-IR"/>
        </w:rPr>
        <w:t xml:space="preserve"> همین حرمت و عدم جواز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تکلیفاً و وضعاً.</w:t>
      </w:r>
    </w:p>
    <w:p w:rsidR="00BA1EED" w:rsidRPr="00253D14" w:rsidRDefault="00BA1EED" w:rsidP="00BD4D96">
      <w:pPr>
        <w:pStyle w:val="1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2" w:name="_Toc425547855"/>
      <w:r w:rsidRPr="00253D14">
        <w:rPr>
          <w:rFonts w:ascii="IRBadr" w:hAnsi="IRBadr" w:cs="IRBadr"/>
          <w:color w:val="auto"/>
          <w:sz w:val="36"/>
          <w:szCs w:val="36"/>
          <w:rtl/>
          <w:lang w:bidi="fa-IR"/>
        </w:rPr>
        <w:t>مستندات بحث</w:t>
      </w:r>
      <w:bookmarkEnd w:id="2"/>
    </w:p>
    <w:p w:rsidR="00BA1EE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ببینیم مستند این حکم چیست؟ و بعد از اینکه مستند را بررسی کردیم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بعضی تفاسیر و فروعات است که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را متعرض خواهیم شد. در این مسئله دو روایت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وارد شده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که دیروز عرض کردم. این دو روایت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دیروز اشاره شد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در جلد هیجده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وسائل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ابواب مقدمات حدود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باب ده است. حدیث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اول و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دوم </w:t>
      </w:r>
      <w:r w:rsidR="00BA1EED" w:rsidRPr="00253D14">
        <w:rPr>
          <w:rFonts w:ascii="IRBadr" w:hAnsi="IRBadr" w:cs="IRBadr"/>
          <w:sz w:val="28"/>
          <w:szCs w:val="28"/>
          <w:rtl/>
          <w:lang w:bidi="fa-IR"/>
        </w:rPr>
        <w:t>آن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مربوط به این بحث است.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همین دو حدیث بیشتر در این باب نیست.</w:t>
      </w:r>
    </w:p>
    <w:p w:rsidR="00BA1EED" w:rsidRPr="00253D14" w:rsidRDefault="002070D5" w:rsidP="00BD4D96">
      <w:pPr>
        <w:pStyle w:val="1"/>
        <w:bidi/>
        <w:rPr>
          <w:rFonts w:ascii="IRBadr" w:hAnsi="IRBadr" w:cs="IRBadr"/>
          <w:color w:val="auto"/>
          <w:sz w:val="36"/>
          <w:szCs w:val="36"/>
          <w:rtl/>
        </w:rPr>
      </w:pPr>
      <w:bookmarkStart w:id="3" w:name="_Toc425547856"/>
      <w:r w:rsidRPr="00253D14">
        <w:rPr>
          <w:rFonts w:ascii="IRBadr" w:hAnsi="IRBadr" w:cs="IRBadr"/>
          <w:color w:val="auto"/>
          <w:sz w:val="36"/>
          <w:szCs w:val="36"/>
          <w:rtl/>
        </w:rPr>
        <w:t>روایت او</w:t>
      </w:r>
      <w:r w:rsidR="00BA1EED" w:rsidRPr="00253D14">
        <w:rPr>
          <w:rFonts w:ascii="IRBadr" w:hAnsi="IRBadr" w:cs="IRBadr"/>
          <w:color w:val="auto"/>
          <w:sz w:val="36"/>
          <w:szCs w:val="36"/>
          <w:rtl/>
        </w:rPr>
        <w:t>ل</w:t>
      </w:r>
      <w:bookmarkEnd w:id="3"/>
    </w:p>
    <w:p w:rsidR="002070D5" w:rsidRPr="00253D14" w:rsidRDefault="000E17E0" w:rsidP="00BD4D96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253D14">
        <w:rPr>
          <w:rFonts w:ascii="IRBadr" w:hAnsi="IRBadr" w:cs="IRBadr"/>
          <w:sz w:val="28"/>
          <w:szCs w:val="28"/>
          <w:rtl/>
        </w:rPr>
        <w:t>روایت اولش این است</w:t>
      </w:r>
      <w:r w:rsidR="00603A78" w:rsidRPr="00253D14">
        <w:rPr>
          <w:rFonts w:ascii="IRBadr" w:hAnsi="IRBadr" w:cs="IRBadr"/>
          <w:sz w:val="28"/>
          <w:szCs w:val="28"/>
          <w:rtl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</w:rPr>
        <w:t xml:space="preserve">که محمد بن یعقوب عن علی بن ابراهیم عن ابن فضال عن یونس بن یعقوب عن ابی مریم عن ابی جعفر </w:t>
      </w:r>
      <w:r w:rsidR="00253D14">
        <w:rPr>
          <w:rFonts w:ascii="IRBadr" w:hAnsi="IRBadr" w:cs="IRBadr"/>
          <w:sz w:val="28"/>
          <w:szCs w:val="28"/>
          <w:rtl/>
        </w:rPr>
        <w:t>علیه‌السلام</w:t>
      </w:r>
      <w:r w:rsidRPr="00253D14">
        <w:rPr>
          <w:rFonts w:ascii="IRBadr" w:hAnsi="IRBadr" w:cs="IRBadr"/>
          <w:sz w:val="28"/>
          <w:szCs w:val="28"/>
          <w:rtl/>
        </w:rPr>
        <w:t xml:space="preserve"> قال این روایت که خاصه تعبیر به معتبره کردند</w:t>
      </w:r>
      <w:r w:rsidR="00BA1EED" w:rsidRPr="00253D14">
        <w:rPr>
          <w:rFonts w:ascii="IRBadr" w:eastAsia="Arial Unicode MS" w:hAnsi="IRBadr" w:cs="IRBadr"/>
          <w:sz w:val="28"/>
          <w:szCs w:val="28"/>
          <w:rtl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</w:rPr>
        <w:t xml:space="preserve"> این</w:t>
      </w:r>
      <w:r w:rsidRPr="00253D14">
        <w:rPr>
          <w:rFonts w:ascii="IRBadr" w:hAnsi="IRBadr" w:cs="IRBadr"/>
          <w:sz w:val="28"/>
          <w:szCs w:val="28"/>
          <w:rtl/>
        </w:rPr>
        <w:t xml:space="preserve"> است که امام </w:t>
      </w:r>
      <w:r w:rsidR="003A7C50" w:rsidRPr="00253D14">
        <w:rPr>
          <w:rFonts w:ascii="IRBadr" w:hAnsi="IRBadr" w:cs="IRBadr"/>
          <w:sz w:val="28"/>
          <w:szCs w:val="28"/>
          <w:rtl/>
        </w:rPr>
        <w:t>باقر (</w:t>
      </w:r>
      <w:r w:rsidR="00BA1EED" w:rsidRPr="00253D14">
        <w:rPr>
          <w:rFonts w:ascii="IRBadr" w:hAnsi="IRBadr" w:cs="IRBadr"/>
          <w:sz w:val="28"/>
          <w:szCs w:val="28"/>
          <w:rtl/>
        </w:rPr>
        <w:t>ع)</w:t>
      </w:r>
      <w:r w:rsidRPr="00253D14">
        <w:rPr>
          <w:rFonts w:ascii="IRBadr" w:hAnsi="IRBadr" w:cs="IRBadr"/>
          <w:sz w:val="28"/>
          <w:szCs w:val="28"/>
          <w:rtl/>
        </w:rPr>
        <w:t xml:space="preserve"> نقل </w:t>
      </w:r>
      <w:r w:rsidR="003A1FC7" w:rsidRPr="00253D14">
        <w:rPr>
          <w:rFonts w:ascii="IRBadr" w:hAnsi="IRBadr" w:cs="IRBadr"/>
          <w:sz w:val="28"/>
          <w:szCs w:val="28"/>
          <w:rtl/>
        </w:rPr>
        <w:t>می‌کند</w:t>
      </w:r>
      <w:r w:rsidRPr="00253D14">
        <w:rPr>
          <w:rFonts w:ascii="IRBadr" w:hAnsi="IRBadr" w:cs="IRBadr"/>
          <w:sz w:val="28"/>
          <w:szCs w:val="28"/>
          <w:rtl/>
        </w:rPr>
        <w:t xml:space="preserve"> از امیر المومنین</w:t>
      </w:r>
      <w:r w:rsidR="00BA1EED" w:rsidRPr="00253D14">
        <w:rPr>
          <w:rFonts w:ascii="IRBadr" w:hAnsi="IRBadr" w:cs="IRBadr"/>
          <w:sz w:val="28"/>
          <w:szCs w:val="28"/>
          <w:rtl/>
        </w:rPr>
        <w:t xml:space="preserve"> (ع)</w:t>
      </w:r>
      <w:r w:rsidR="00603A78" w:rsidRPr="00253D14">
        <w:rPr>
          <w:rFonts w:ascii="IRBadr" w:hAnsi="IRBadr" w:cs="IRBadr"/>
          <w:sz w:val="28"/>
          <w:szCs w:val="28"/>
          <w:rtl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</w:rPr>
        <w:t>جمله کوتاهی است و آن این است که</w:t>
      </w:r>
      <w:r w:rsidR="00BA1EED" w:rsidRPr="00253D14">
        <w:rPr>
          <w:rFonts w:ascii="IRBadr" w:hAnsi="IRBadr" w:cs="IRBadr"/>
          <w:sz w:val="28"/>
          <w:szCs w:val="28"/>
          <w:rtl/>
        </w:rPr>
        <w:t>؛</w:t>
      </w:r>
    </w:p>
    <w:p w:rsidR="002070D5" w:rsidRPr="00253D14" w:rsidRDefault="002070D5" w:rsidP="00BD4D96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3D14">
        <w:rPr>
          <w:rFonts w:ascii="IRBadr" w:hAnsi="IRBadr" w:cs="IRBadr"/>
          <w:b/>
          <w:bCs/>
          <w:sz w:val="28"/>
          <w:szCs w:val="28"/>
          <w:rtl/>
        </w:rPr>
        <w:t>«قَالَ أَمِ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رُ الْمُؤْمِنِ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 xml:space="preserve">نَ ع لَا 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قَامُ عَلَ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 xml:space="preserve"> أَحَدٍ حَدٌّ بِأَرْضِ الْعَدُوِّ.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253D14">
        <w:rPr>
          <w:rStyle w:val="ad"/>
          <w:rFonts w:ascii="IRBadr" w:hAnsi="IRBadr" w:cs="IRBadr"/>
          <w:b/>
          <w:bCs/>
          <w:sz w:val="20"/>
          <w:szCs w:val="20"/>
          <w:rtl/>
        </w:rPr>
        <w:footnoteReference w:id="1"/>
      </w:r>
    </w:p>
    <w:p w:rsidR="00BA1EED" w:rsidRPr="00253D14" w:rsidRDefault="002070D5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در سرزمین دشمن حدی بر کسی جاری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A1EED" w:rsidRPr="00253D14" w:rsidRDefault="00BA1EED" w:rsidP="00BD4D96">
      <w:pPr>
        <w:pStyle w:val="1"/>
        <w:bidi/>
        <w:rPr>
          <w:rFonts w:ascii="IRBadr" w:hAnsi="IRBadr" w:cs="IRBadr"/>
          <w:color w:val="auto"/>
          <w:sz w:val="36"/>
          <w:szCs w:val="36"/>
          <w:rtl/>
        </w:rPr>
      </w:pPr>
      <w:bookmarkStart w:id="4" w:name="_Toc425547857"/>
      <w:r w:rsidRPr="00253D14">
        <w:rPr>
          <w:rFonts w:ascii="IRBadr" w:hAnsi="IRBadr" w:cs="IRBadr"/>
          <w:color w:val="auto"/>
          <w:sz w:val="36"/>
          <w:szCs w:val="36"/>
          <w:rtl/>
        </w:rPr>
        <w:lastRenderedPageBreak/>
        <w:t>روایت</w:t>
      </w:r>
      <w:r w:rsidR="002070D5" w:rsidRPr="00253D14">
        <w:rPr>
          <w:rFonts w:ascii="IRBadr" w:hAnsi="IRBadr" w:cs="IRBadr"/>
          <w:color w:val="auto"/>
          <w:sz w:val="36"/>
          <w:szCs w:val="36"/>
          <w:rtl/>
        </w:rPr>
        <w:t xml:space="preserve"> </w:t>
      </w:r>
      <w:r w:rsidRPr="00253D14">
        <w:rPr>
          <w:rFonts w:ascii="IRBadr" w:hAnsi="IRBadr" w:cs="IRBadr"/>
          <w:color w:val="auto"/>
          <w:sz w:val="36"/>
          <w:szCs w:val="36"/>
          <w:rtl/>
        </w:rPr>
        <w:t>دوم</w:t>
      </w:r>
      <w:bookmarkEnd w:id="4"/>
    </w:p>
    <w:p w:rsidR="002070D5" w:rsidRPr="00253D14" w:rsidRDefault="000E17E0" w:rsidP="00BD4D96">
      <w:pPr>
        <w:pStyle w:val="aa"/>
        <w:bidi/>
        <w:jc w:val="both"/>
        <w:rPr>
          <w:rFonts w:ascii="IRBadr" w:hAnsi="IRBadr" w:cs="IRBadr"/>
          <w:sz w:val="28"/>
          <w:szCs w:val="28"/>
          <w:rtl/>
        </w:rPr>
      </w:pPr>
      <w:r w:rsidRPr="00253D14">
        <w:rPr>
          <w:rFonts w:ascii="IRBadr" w:hAnsi="IRBadr" w:cs="IRBadr"/>
          <w:sz w:val="28"/>
          <w:szCs w:val="28"/>
          <w:rtl/>
        </w:rPr>
        <w:t xml:space="preserve">این روایت لا یقام دارد و مطلق هم هست. روایت دوم این است که یونس بن سعید عن محمد بن یحیی عن قیاس بن ابراهیم عن جعفر عن ابیه عن علی </w:t>
      </w:r>
      <w:r w:rsidR="00253D14">
        <w:rPr>
          <w:rFonts w:ascii="IRBadr" w:hAnsi="IRBadr" w:cs="IRBadr"/>
          <w:sz w:val="28"/>
          <w:szCs w:val="28"/>
          <w:rtl/>
        </w:rPr>
        <w:t>علیه‌السلام</w:t>
      </w:r>
      <w:r w:rsidR="00BA1EED" w:rsidRPr="00253D14">
        <w:rPr>
          <w:rFonts w:ascii="IRBadr" w:eastAsia="Arial Unicode MS" w:hAnsi="IRBadr" w:cs="IRBadr"/>
          <w:sz w:val="28"/>
          <w:szCs w:val="28"/>
          <w:rtl/>
        </w:rPr>
        <w:t>،</w:t>
      </w:r>
      <w:r w:rsidRPr="00253D14">
        <w:rPr>
          <w:rFonts w:ascii="IRBadr" w:hAnsi="IRBadr" w:cs="IRBadr"/>
          <w:sz w:val="28"/>
          <w:szCs w:val="28"/>
          <w:rtl/>
        </w:rPr>
        <w:t xml:space="preserve"> که</w:t>
      </w:r>
      <w:r w:rsidR="003A7C50" w:rsidRPr="00253D14">
        <w:rPr>
          <w:rFonts w:ascii="IRBadr" w:hAnsi="IRBadr" w:cs="IRBadr"/>
          <w:sz w:val="28"/>
          <w:szCs w:val="28"/>
          <w:rtl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</w:rPr>
        <w:t>قیاس بن ابراهیم ظاهراً محل بحث است که تعبیر توثیق قیاس بن ابراهیم</w:t>
      </w:r>
      <w:r w:rsidR="00BA1EED" w:rsidRPr="00253D14">
        <w:rPr>
          <w:rFonts w:ascii="IRBadr" w:eastAsia="Arial Unicode MS" w:hAnsi="IRBadr" w:cs="IRBadr"/>
          <w:sz w:val="28"/>
          <w:szCs w:val="28"/>
          <w:rtl/>
        </w:rPr>
        <w:t>،</w:t>
      </w:r>
      <w:r w:rsidRPr="00253D14">
        <w:rPr>
          <w:rFonts w:ascii="IRBadr" w:hAnsi="IRBadr" w:cs="IRBadr"/>
          <w:sz w:val="28"/>
          <w:szCs w:val="28"/>
          <w:rtl/>
        </w:rPr>
        <w:t xml:space="preserve"> روی این فرض کامل الزیارات است. بنابراین روایت </w:t>
      </w:r>
      <w:r w:rsidR="00253D14">
        <w:rPr>
          <w:rFonts w:ascii="IRBadr" w:hAnsi="IRBadr" w:cs="IRBadr"/>
          <w:sz w:val="28"/>
          <w:szCs w:val="28"/>
          <w:rtl/>
        </w:rPr>
        <w:t>بی‌اشکال</w:t>
      </w:r>
      <w:r w:rsidRPr="00253D14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2070D5" w:rsidRPr="00253D14" w:rsidRDefault="002070D5" w:rsidP="00BD4D96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53D14">
        <w:rPr>
          <w:rFonts w:ascii="IRBadr" w:hAnsi="IRBadr" w:cs="IRBadr"/>
          <w:b/>
          <w:bCs/>
          <w:sz w:val="28"/>
          <w:szCs w:val="28"/>
          <w:rtl/>
        </w:rPr>
        <w:t>«عَنْ جَعْفَرٍ عَنْ أَبِ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هِ عَنْ عَلِ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 xml:space="preserve"> ع أَنَّهُ قَالَ: لَا أُقِ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مُ عَلَ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 xml:space="preserve"> رَجُلٍ حَدّاً بِأَرْضِ الْعَدُوِّ حَتَّ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خْرُجَ مِنْهَا مَخَافَةَ أَنْ تَحْمِلَهُ الْحَمِ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ةُ فَ</w:t>
      </w:r>
      <w:r w:rsidR="003A7C50" w:rsidRPr="00253D1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53D14">
        <w:rPr>
          <w:rFonts w:ascii="IRBadr" w:hAnsi="IRBadr" w:cs="IRBadr"/>
          <w:b/>
          <w:bCs/>
          <w:sz w:val="28"/>
          <w:szCs w:val="28"/>
          <w:rtl/>
        </w:rPr>
        <w:t>لْحَقَ بِالْعَدُوِّ.»</w:t>
      </w:r>
      <w:r w:rsidRPr="00253D14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BA1EE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چون این ترس وجود دارد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من اقامه حد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این روایتی است که در اینجا آمده است.</w:t>
      </w:r>
    </w:p>
    <w:p w:rsidR="000A29FD" w:rsidRPr="00253D14" w:rsidRDefault="000A29FD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که در روایت دوم قیاس بن ابراهیم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خالی از اشکال نیست. به خاطر همان بحث مفصل که 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راجع رجال کامل الزیارات داشتیم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پیش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A7C50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اگر کسی واقع در سلسله سند کتاب رجال کامل زیارات را بپذیرد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آقای خویی در مدتی از عمرشان معتقد به همان بودند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آن روایت دوم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معتبر. و اما اگر کسی رجال کامل الزیارات را نپذیرد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تبعاً آن اعتبار ندارد. راجع رجال کامل الزیارات یک وقت ما مفصل صحبت کردیم. دو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بار بحث کردیم. گفتیم چهار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پنج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قول در مورد رجال کامل الزیارات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و یک قول را ما پذیرفتیم که آن شامل اینجا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غالباً اعتباری ندارد</w:t>
      </w:r>
      <w:r w:rsidR="000E17E0" w:rsidRPr="00253D14">
        <w:rPr>
          <w:rFonts w:ascii="IRBadr" w:hAnsi="IRBadr" w:cs="IRBadr"/>
          <w:sz w:val="28"/>
          <w:szCs w:val="28"/>
          <w:rtl/>
          <w:lang w:bidi="fa-IR"/>
        </w:rPr>
        <w:t xml:space="preserve"> مگر در یک صورت.</w:t>
      </w:r>
    </w:p>
    <w:p w:rsidR="000A29FD" w:rsidRPr="00253D14" w:rsidRDefault="000A29FD" w:rsidP="00BD4D96">
      <w:pPr>
        <w:pStyle w:val="2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5" w:name="_Toc425547858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بحث دلالی</w:t>
      </w:r>
      <w:bookmarkEnd w:id="5"/>
    </w:p>
    <w:p w:rsidR="000A29F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در اینجا لا یقام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>اول و موثقه اول دلالتش واضح است و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بحثی در آن نیست. برای اینکه لا یقام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نفی‌ای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 که در مقام نهی است. و دلالتش بر عدم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عدم جواز و حرمت تازه آکد از نهی هم هست. نفی که در مقام نهی به کار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دلالتش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در اصول گفته شده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بر حرمت آکد و اشد است. بنابراین اگر ما باشیم و خود روایت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هیچ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مشکلی در این نیست. اما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>در روایت دوم نقل سیره است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یعنی دستور نداده که این کار نشود. بلکه امیر المومنین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من این کار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چون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در آنجا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فعل نقل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نقل فعل سیره عملی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گفته شده عدم فعل و ترک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فقط دلالت بر این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واجبی است. اما دلالت بر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این در بحث سیره عملی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در اصول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گفته شده که فعل دلالت بر جواز به معنای اعم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یعنی نشان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این کار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انجام داد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واجب نیست. فقط عدم وجوب را نفی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اما منافاتی با این ندارد که ممکن است که فعل دلالت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>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حرمت نیست.</w:t>
      </w:r>
    </w:p>
    <w:p w:rsidR="000A29F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اما دلالت بر وجوب یا جواز به معنای خاص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>یا حتی کراهت یا استحباب اعم است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هر یک از آن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وضعیت‌ها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را داشته باشد. فعل معصوم فقط دلالت بر عدم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حتی دلالت بر عدم کراهت هم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ممکن است یک کار ولو اینکه بگوییم معصوم مکروه هم انجام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نمی‌دهد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ممکن است بگوییم در شرایطی بوده که 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>عنوان ثانوی آن را جایز کرده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کراهتش را برداشته بوده است.</w:t>
      </w:r>
    </w:p>
    <w:p w:rsidR="000A29FD" w:rsidRPr="00253D14" w:rsidRDefault="00253D14" w:rsidP="00BD4D96">
      <w:pPr>
        <w:pStyle w:val="2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color w:val="auto"/>
          <w:sz w:val="32"/>
          <w:szCs w:val="32"/>
          <w:rtl/>
          <w:lang w:bidi="fa-IR"/>
        </w:rPr>
        <w:t>نتیجه‌گیری</w:t>
      </w:r>
    </w:p>
    <w:p w:rsidR="000A29F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بنابراین با توجه به این حرف و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در اصول در باب فعل و سیره عملی نقل شده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این روایت دوم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دلالت بر حرمت بکند. برای اینکه نقل شده که حضرت فرمود من این کار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من این کار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اعم از این است که حرام یا مکروه باشد. این با کراهت هم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است. این فرمایشی است که گفتند راجع به این روایت دوم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منتها این فرمایش جواب دارد.</w:t>
      </w:r>
    </w:p>
    <w:p w:rsidR="000A29FD" w:rsidRPr="00253D14" w:rsidRDefault="000A29FD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6" w:name="_Toc425547860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پاسخ مناقشه فوق</w:t>
      </w:r>
      <w:bookmarkEnd w:id="6"/>
    </w:p>
    <w:p w:rsidR="000A29FD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لا اقیم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اعم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از حرمت است. و بلکه اینکه حضرت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من این کار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معلوم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خیلی مشکل نداشته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حضرت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نمی‌پسندیده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کار را انجام بدهد.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برداشتی مرحوم شهید و مسالک داشتند که لا اقیم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بر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بلکه اشعاری به کراهت دارد. یعنی من این کار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. یعنی جایز است اولاً و بذاته من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نمی‌پسندم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کار ر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ا انجام بدهم. این روایت دوم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برداشت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استظهاری از آن شده است. اما این استظهار قابل جواب است به چند جواب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یک جواب اینکه با ملاحظه روایت اول این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معنا بشود. درست است اینجا اگر روایت تنها بود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اعم بود از حرمت و کراهت یا اشعاری هم به کراهت داشت. اما وقتی لا یقام الحد علی احد بارض العدو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بگیریم با آن قاعده کلی</w:t>
      </w:r>
      <w:r w:rsidR="000A29FD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معلوم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این عدم اقامه حد امیر المومنین</w:t>
      </w:r>
      <w:r w:rsidR="000A29FD" w:rsidRPr="00253D1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هم به خاطر این بوده که جایز نبوده است.</w:t>
      </w:r>
    </w:p>
    <w:p w:rsidR="000A29FD" w:rsidRPr="00253D14" w:rsidRDefault="000A29FD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7" w:name="_Toc425547861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وجه دوم</w:t>
      </w:r>
      <w:bookmarkEnd w:id="7"/>
    </w:p>
    <w:p w:rsidR="007023B6" w:rsidRPr="00253D14" w:rsidRDefault="000E17E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عرض کردم در خصوص بحث سیره و فعل معصوم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در اصول کم بحث شده است. پراکنده است مباحثی که در مورد سیره است. و مرحوم شهید صدر یک مقداری در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کتاب‌های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اصولی‌شان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راجع به سیره و فعل معصوم صحبت کردند. 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و عرض کردیم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جای مباحث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طولانی‌تر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مفصل‌تری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بوده است. مقدار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ی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من این را در جایی بحث کردم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،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فقط من اینجا به این نکته اشاره کنم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آن‌که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فقها و اصولیین گفتند که فعل بیش از عدم حرمت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و ترک بیش از عدم وجوب را افاده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. این در حالت طبیعی و شرایط معمولی است. اما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قرائنی جمع بشود که دلالت فعل را به حد بالاتری برساند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>گرچه قاعده اولی در نقل ترک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است که دلالت بر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. اما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اینجا قرائنی را آورد که بگوییم خود این روایت حتی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 xml:space="preserve"> هم دلالت بر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1B51A2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023B6" w:rsidRPr="00253D14" w:rsidRDefault="007023B6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8" w:name="_Toc425547862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تشریح قرائن</w:t>
      </w:r>
      <w:bookmarkEnd w:id="8"/>
    </w:p>
    <w:p w:rsidR="007023B6" w:rsidRPr="00253D14" w:rsidRDefault="001B51A2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قرائن عبارت از این است که آن جمله ذیلش که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حتی یخرج منها و بعد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مخافه ان تحمله الحمیه و یلحق بالعدو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خود این تعلیل ذیل یا حکمت ذیل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با کراهت کمتر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است. بیشتر ظهور در حرمت دارد. اینکه ترس از این است که این شخص از مسلمانی بیرون برود. از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مسلمان‌ها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جدا بشود و به دشمن ملحق بشود. این یک علتی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است که با کراهت کمتر سازگار است و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بیشتر با حرمت سازگار است. پس این روایت اگر صرفاً این بود که لا اقیم علی رجل حد بارض العدو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تنها این بود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شاید این کراهت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بگوید. اما علت و حکمتی که ذیلش وجود دارد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 که مصلحت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مهمه‌ای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در آن وجود دارد.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شخص از مسلمانان جدا بشود و برود نزد کفار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حادثه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ساده‌ای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نیست. این بیشتر مناسب و تناسب دارد با حرمت و عدم جواز.</w:t>
      </w:r>
    </w:p>
    <w:p w:rsidR="007023B6" w:rsidRPr="00253D14" w:rsidRDefault="001B51A2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مجموعه این قرائن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کنار هم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می‌گذاریم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و به این نتیجه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و قرینه دیگر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نقل این فعل در کلام معصوم است. و اینکه خود امیر المومنین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هم بر این عمل خودش تأکید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گفتیم این که سیره معصوم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در تاریخ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کسی نقل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تا اینکه ا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مام معصومی بیاید این را نقل کند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خیلی فرق است. وقتی امام باقر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فعل را نقل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و در مقام تشریع هم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اصل این است که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ایشان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در اقوالشان در مقام تشریع هستند. دلالت بر این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این امری قانون الهی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023B6" w:rsidRPr="00253D14" w:rsidRDefault="007023B6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9" w:name="_Toc425547863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قرینه دوم</w:t>
      </w:r>
      <w:bookmarkEnd w:id="9"/>
    </w:p>
    <w:p w:rsidR="007023B6" w:rsidRPr="00253D14" w:rsidRDefault="001B51A2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این یک قرینه دیگری است که ممکن است اینجا آورده بشود و بنابراین بگوییم در مقام این است که حرمت را بگوید. منتها این قرینه دوم که جاهای دیگر از آن استفاده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می‌کردیم</w:t>
      </w:r>
      <w:r w:rsidR="007023B6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اینجا خیلی دلالت تامی ندارد. این قرینه فقط دلالت بر این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که این نقل حکم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بیان کند. یک فعل معمولی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بیان بکند. قرینه دوم خیلی قرینیت بر این ندارد که این حرمت دارد.</w:t>
      </w:r>
    </w:p>
    <w:p w:rsidR="007023B6" w:rsidRPr="00253D14" w:rsidRDefault="007023B6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547864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قرینه سوم</w:t>
      </w:r>
      <w:bookmarkEnd w:id="10"/>
    </w:p>
    <w:p w:rsidR="00387B1F" w:rsidRPr="00253D14" w:rsidRDefault="001B51A2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قرینه سومی که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آورد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این است که اصولاً در باب حدود با توجه به تأکیدی که در اجرای فوری حدود و احکام الهی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جایی که اجرا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کراهت خیلی سازگار نیست. بیشتر تناسب دارد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با اینکه واقعاً منعی دارد.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در ارتکازات عقلا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بیشتر تناسبش با این است که واقعاً حرام باشد. 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 xml:space="preserve">و باید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اشکال</w:t>
      </w:r>
      <w:r w:rsidR="007023B6" w:rsidRPr="00253D14">
        <w:rPr>
          <w:rFonts w:ascii="IRBadr" w:hAnsi="IRBadr" w:cs="IRBadr"/>
          <w:sz w:val="28"/>
          <w:szCs w:val="28"/>
          <w:rtl/>
          <w:lang w:bidi="fa-IR"/>
        </w:rPr>
        <w:t>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داشته باشد که به تأخیر بیفتد. این هم قرینه دیگری است که ممکن است در اذهان بیاید. این قرینه هم خیلی قرینه مهمی نیست. و به نظر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امر تعبدی است. درست است که اجرای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lastRenderedPageBreak/>
        <w:t>فوری حدود تأکید شده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خیلی مهم است. ولی یک جایی ممکن است بگوییم نه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اجرای حدود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از وجوبش دست برداشته شده است. فقط به خاطر مصلحتی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این خیلی مهم نیست. این قرینه دوم و سوم قرائن متقنی نیست. اما قرینه اول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تااندازه‌ای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قرینیت دارد. البته در حد یک شهادت و قرینیت است. نه در حد دلالت است.</w:t>
      </w:r>
    </w:p>
    <w:p w:rsidR="00387B1F" w:rsidRPr="00253D14" w:rsidRDefault="00253D14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color w:val="auto"/>
          <w:sz w:val="32"/>
          <w:szCs w:val="32"/>
          <w:rtl/>
          <w:lang w:bidi="fa-IR"/>
        </w:rPr>
        <w:t>جمع‌بندی</w:t>
      </w:r>
    </w:p>
    <w:p w:rsidR="00387B1F" w:rsidRPr="00253D14" w:rsidRDefault="001B51A2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بنابراین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می‌خواستیم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بگوییم قرائنی وجود دارد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که در کنار هم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بگوید دلالت بر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و حرمت از این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استفاده کرد. ولی مجموعه این قرائن خیلی قوی نیست که بگوییم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>،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دلالت بر حرمت را در اینجا درست کند. از این جهت است که بیشتر ما به همان جواب اول اکتفا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مهم است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387B1F" w:rsidRPr="00253D14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روایت اول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لا یقام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ظهور در حرمت دارد.</w:t>
      </w:r>
    </w:p>
    <w:p w:rsidR="00387B1F" w:rsidRPr="00253D14" w:rsidRDefault="00D462B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آنجا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کراهت باشد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حرمت باشد. اما لا یقام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حرام است</w:t>
      </w:r>
      <w:r w:rsidR="00387B1F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051AB" w:rsidRPr="00253D14" w:rsidRDefault="00603A78" w:rsidP="00253D1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آن تفسیر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. این جای مطلق و مقید نیست که اشکال وارد باشد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بلکه جای تفسیر است. اگر لا اقیم علی احد حد ب</w:t>
      </w:r>
      <w:r w:rsidR="00253D14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رض العدو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387B1F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اعم است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‌تواند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کراهت باشد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حرمت باشد. منتها قدر متیقن آن را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می‌گرفتیم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. قدر متیق</w:t>
      </w:r>
      <w:r w:rsidR="00387B1F" w:rsidRPr="00253D14">
        <w:rPr>
          <w:rFonts w:ascii="IRBadr" w:hAnsi="IRBadr" w:cs="IRBadr"/>
          <w:sz w:val="28"/>
          <w:szCs w:val="28"/>
          <w:rtl/>
          <w:lang w:bidi="fa-IR"/>
        </w:rPr>
        <w:t>ن آن همین کراهت بود. بیش از این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نمی‌توانست</w:t>
      </w:r>
      <w:r w:rsidR="00387B1F"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استفاده بشود</w:t>
      </w:r>
      <w:r w:rsidR="00387B1F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وقتی اینجا در مقامش روایتی ببینیم که نفی مطلق و نهی اکید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بر اینکه لا یقام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و ظهور در حرمت دارد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معلوم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که این منظور همان حرمت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کراهت نیست. این تفسیر است و مانعی ندارد.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متأخرین تقریباً قاطبه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13AF0" w:rsidRPr="00253D14">
        <w:rPr>
          <w:rFonts w:ascii="IRBadr" w:hAnsi="IRBadr" w:cs="IRBadr"/>
          <w:sz w:val="28"/>
          <w:szCs w:val="28"/>
          <w:rtl/>
          <w:lang w:bidi="fa-IR"/>
        </w:rPr>
        <w:t xml:space="preserve">اقامه حد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حرام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و جایز نیست</w:t>
      </w:r>
      <w:r w:rsidR="00913AF0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و آن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درست است. منتها در مقام جمع این دو روایت ما به حرمت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. خود آن روایت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اگر بود</w:t>
      </w:r>
      <w:r w:rsidR="00913AF0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آن قرائنی که ذکر کردیم</w:t>
      </w:r>
      <w:r w:rsidR="00A051AB" w:rsidRPr="00253D1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سریع هم از آن عبور کردیم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قابل جواب است. خیلی قرائن تام متقنی نیست. ولی با جمع آن روایت</w:t>
      </w:r>
      <w:r w:rsidR="00A051AB"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نتیجه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="00D462B0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051AB" w:rsidRPr="00253D14" w:rsidRDefault="00A051AB" w:rsidP="00BD4D96">
      <w:pPr>
        <w:pStyle w:val="2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1" w:name="_Toc425547866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مرور آنچه گذشت</w:t>
      </w:r>
      <w:bookmarkEnd w:id="11"/>
    </w:p>
    <w:p w:rsidR="00A051AB" w:rsidRPr="00253D14" w:rsidRDefault="00D462B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جهت ثانیه در این دو روایت آن اختلاف دیگر است که آیا دو قول مختص به جایی</w:t>
      </w:r>
      <w:r w:rsidR="00A051AB" w:rsidRPr="00253D14">
        <w:rPr>
          <w:rFonts w:ascii="IRBadr" w:hAnsi="IRBadr" w:cs="IRBadr"/>
          <w:sz w:val="28"/>
          <w:szCs w:val="28"/>
          <w:rtl/>
          <w:lang w:bidi="fa-IR"/>
        </w:rPr>
        <w:t xml:space="preserve"> است که احتمال فرار این شخص و اتحادش به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دشمن و کفار </w:t>
      </w:r>
      <w:r w:rsidR="00A051AB" w:rsidRPr="00253D14">
        <w:rPr>
          <w:rFonts w:ascii="IRBadr" w:hAnsi="IRBadr" w:cs="IRBadr"/>
          <w:sz w:val="28"/>
          <w:szCs w:val="28"/>
          <w:rtl/>
          <w:lang w:bidi="fa-IR"/>
        </w:rPr>
        <w:t>است یا اینکه مطلق است؟</w:t>
      </w:r>
    </w:p>
    <w:p w:rsidR="00A051AB" w:rsidRPr="00253D14" w:rsidRDefault="00D462B0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در این جهت دوم که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ما گفتیم دو قول است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و قائلین به قول هم در بین متأخرین عرض کردیم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مرحوم آقای خویی و به تبع ایشان آقای تبریزی معتقد به قول تفصیل هستند. یعنی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حرمت اقامه حد در جایی است که ترس از اینکه این آدم فرار بکند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ملحق به دشمن بشود. و اما اگر این ترس نباشد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و اطمینان به این وجود داشته باشد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دیگر اشکال ندارد. بلکه واجب است که فوری اجرای حد بشود.</w:t>
      </w:r>
    </w:p>
    <w:p w:rsidR="00A051AB" w:rsidRPr="00253D14" w:rsidRDefault="00A051AB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lastRenderedPageBreak/>
        <w:t>و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معمولاً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جایز نیست. صوری که در اینجا هست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>،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یک بار این است که کسی علم 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و اطمینان دارد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که این شخص اگر حد بر او جاری بکند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ملحق به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. یک وقت است که علم دارد که ملحق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یک وقت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هست که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احتمال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. قائلین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آنجایی که علم دارد که ملحق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یا احتمال ملحق به دشمن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A7C50" w:rsidRPr="00253D14">
        <w:rPr>
          <w:rFonts w:ascii="IRBadr" w:hAnsi="IRBadr" w:cs="IRBadr"/>
          <w:sz w:val="28"/>
          <w:szCs w:val="28"/>
          <w:rtl/>
          <w:lang w:bidi="fa-IR"/>
        </w:rPr>
        <w:t xml:space="preserve"> اجرای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حد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051AB" w:rsidRPr="00253D14" w:rsidRDefault="00A051AB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پس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آنجایی که ترس از این است که او از مسلمانان جدا بشود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این حکم وجود دارد. و اما اگر این ترس نباشد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دیگر این حکم وجود ندارد. حکم دارد محدود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به اینجا و از غیر اینجا جدا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051AB" w:rsidRPr="00253D14" w:rsidRDefault="00A051AB" w:rsidP="00BD4D96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2" w:name="_Toc425547867"/>
      <w:r w:rsidRPr="00253D14">
        <w:rPr>
          <w:rFonts w:ascii="IRBadr" w:hAnsi="IRBadr" w:cs="IRBadr"/>
          <w:color w:val="auto"/>
          <w:sz w:val="32"/>
          <w:szCs w:val="32"/>
          <w:rtl/>
          <w:lang w:bidi="fa-IR"/>
        </w:rPr>
        <w:t>علیت در این مقام</w:t>
      </w:r>
      <w:bookmarkEnd w:id="12"/>
    </w:p>
    <w:p w:rsidR="00A051AB" w:rsidRPr="00253D14" w:rsidRDefault="00A051AB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53D14">
        <w:rPr>
          <w:rFonts w:ascii="IRBadr" w:hAnsi="IRBadr" w:cs="IRBadr"/>
          <w:sz w:val="28"/>
          <w:szCs w:val="28"/>
          <w:rtl/>
          <w:lang w:bidi="fa-IR"/>
        </w:rPr>
        <w:t>مهم است که بدانید در مواردی مانند این روایت که مخافة داشت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مرحوم آقای خویی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253D1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‌ا</w:t>
      </w:r>
      <w:r w:rsidR="00253D14">
        <w:rPr>
          <w:rFonts w:ascii="IRBadr" w:hAnsi="IRBadr" w:cs="IRBadr" w:hint="cs"/>
          <w:sz w:val="28"/>
          <w:szCs w:val="28"/>
          <w:rtl/>
          <w:lang w:bidi="fa-IR"/>
        </w:rPr>
        <w:t>ین‌جور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بفرمایند اصل تعابیری که در اینجا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این است که علت حکم باشد. مگر اینکه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پیدا بشود که این علت نیست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حکمت است. آن وقت اگر ما این را علت گرفتیم</w:t>
      </w:r>
      <w:r w:rsidR="00603A78" w:rsidRPr="00253D14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این روایت دوم دو گزاره در آن است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>. یکی اینکه در جایی که احتمال ا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تحاد به عدو باشد</w:t>
      </w:r>
      <w:r w:rsidRPr="00253D14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این حکم جایز نیست. و قهراً در غیر اینجا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53D14">
        <w:rPr>
          <w:rFonts w:ascii="IRBadr" w:hAnsi="IRBadr" w:cs="IRBadr"/>
          <w:sz w:val="28"/>
          <w:szCs w:val="28"/>
          <w:rtl/>
          <w:lang w:bidi="fa-IR"/>
        </w:rPr>
        <w:t xml:space="preserve"> جایز و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="003A1FC7" w:rsidRPr="00253D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 xml:space="preserve"> محدود و مقید به </w:t>
      </w:r>
      <w:r w:rsidR="00253D14">
        <w:rPr>
          <w:rFonts w:ascii="IRBadr" w:hAnsi="IRBadr" w:cs="IRBadr"/>
          <w:sz w:val="28"/>
          <w:szCs w:val="28"/>
          <w:rtl/>
          <w:lang w:bidi="fa-IR"/>
        </w:rPr>
        <w:t>همین‌جا</w:t>
      </w:r>
      <w:r w:rsidR="001F7DF7" w:rsidRPr="00253D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0B33" w:rsidRPr="00253D14" w:rsidRDefault="00B20B33" w:rsidP="00BD4D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0B33" w:rsidRPr="00253D14" w:rsidSect="00410EA7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1A" w:rsidRDefault="00792D1A" w:rsidP="00B20B33">
      <w:pPr>
        <w:spacing w:after="0" w:line="240" w:lineRule="auto"/>
      </w:pPr>
      <w:r>
        <w:separator/>
      </w:r>
    </w:p>
  </w:endnote>
  <w:endnote w:type="continuationSeparator" w:id="0">
    <w:p w:rsidR="00792D1A" w:rsidRDefault="00792D1A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1A" w:rsidRDefault="00792D1A" w:rsidP="00BD4D96">
      <w:pPr>
        <w:bidi/>
        <w:spacing w:after="0" w:line="240" w:lineRule="auto"/>
      </w:pPr>
      <w:r>
        <w:separator/>
      </w:r>
    </w:p>
  </w:footnote>
  <w:footnote w:type="continuationSeparator" w:id="0">
    <w:p w:rsidR="00792D1A" w:rsidRDefault="00792D1A" w:rsidP="00B20B33">
      <w:pPr>
        <w:spacing w:after="0" w:line="240" w:lineRule="auto"/>
      </w:pPr>
      <w:r>
        <w:continuationSeparator/>
      </w:r>
    </w:p>
  </w:footnote>
  <w:footnote w:id="1">
    <w:p w:rsidR="002070D5" w:rsidRDefault="002070D5" w:rsidP="00BD4D9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2070D5">
        <w:rPr>
          <w:rFonts w:ascii="Noor_Titr" w:hAnsi="Noor_Titr" w:cs="B Lotus" w:hint="cs"/>
          <w:color w:val="000000" w:themeColor="text1"/>
          <w:rtl/>
        </w:rPr>
        <w:t>ال</w:t>
      </w:r>
      <w:r w:rsidR="003A7C50">
        <w:rPr>
          <w:rFonts w:ascii="Noor_Titr" w:hAnsi="Noor_Titr" w:cs="B Lotus" w:hint="cs"/>
          <w:color w:val="000000" w:themeColor="text1"/>
          <w:rtl/>
        </w:rPr>
        <w:t>ک</w:t>
      </w:r>
      <w:r w:rsidRPr="002070D5">
        <w:rPr>
          <w:rFonts w:ascii="Noor_Titr" w:hAnsi="Noor_Titr" w:cs="B Lotus" w:hint="cs"/>
          <w:color w:val="000000" w:themeColor="text1"/>
          <w:rtl/>
        </w:rPr>
        <w:t>اف</w:t>
      </w:r>
      <w:r w:rsidR="003A7C50">
        <w:rPr>
          <w:rFonts w:ascii="Noor_Titr" w:hAnsi="Noor_Titr" w:cs="B Lotus" w:hint="cs"/>
          <w:color w:val="000000" w:themeColor="text1"/>
          <w:rtl/>
        </w:rPr>
        <w:t>ی</w:t>
      </w:r>
      <w:r w:rsidRPr="002070D5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3A7C50">
        <w:rPr>
          <w:rFonts w:ascii="Noor_Titr" w:hAnsi="Noor_Titr" w:cs="B Lotus" w:hint="cs"/>
          <w:color w:val="000000" w:themeColor="text1"/>
          <w:rtl/>
        </w:rPr>
        <w:t>ی</w:t>
      </w:r>
      <w:r w:rsidRPr="002070D5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3A7C50">
        <w:rPr>
          <w:rFonts w:ascii="Noor_Titr" w:hAnsi="Noor_Titr" w:cs="B Lotus"/>
          <w:color w:val="000000" w:themeColor="text1"/>
          <w:rtl/>
        </w:rPr>
        <w:t>ج 7</w:t>
      </w:r>
      <w:r w:rsidRPr="002070D5">
        <w:rPr>
          <w:rFonts w:ascii="Noor_Titr" w:hAnsi="Noor_Titr" w:cs="B Lotus" w:hint="cs"/>
          <w:color w:val="000000" w:themeColor="text1"/>
          <w:rtl/>
        </w:rPr>
        <w:t>، ص: 218</w:t>
      </w:r>
    </w:p>
  </w:footnote>
  <w:footnote w:id="2">
    <w:p w:rsidR="002070D5" w:rsidRDefault="002070D5" w:rsidP="00BD4D96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2070D5">
        <w:rPr>
          <w:rFonts w:ascii="Noor_Titr" w:hAnsi="Noor_Titr" w:cs="B Lotus" w:hint="cs"/>
          <w:color w:val="000000" w:themeColor="text1"/>
          <w:rtl/>
        </w:rPr>
        <w:t>تهذ</w:t>
      </w:r>
      <w:r w:rsidR="003A7C50">
        <w:rPr>
          <w:rFonts w:ascii="Noor_Titr" w:hAnsi="Noor_Titr" w:cs="B Lotus" w:hint="cs"/>
          <w:color w:val="000000" w:themeColor="text1"/>
          <w:rtl/>
        </w:rPr>
        <w:t>ی</w:t>
      </w:r>
      <w:r w:rsidRPr="002070D5">
        <w:rPr>
          <w:rFonts w:ascii="Noor_Titr" w:hAnsi="Noor_Titr" w:cs="B Lotus" w:hint="cs"/>
          <w:color w:val="000000" w:themeColor="text1"/>
          <w:rtl/>
        </w:rPr>
        <w:t>ب الأح</w:t>
      </w:r>
      <w:r w:rsidR="003A7C50">
        <w:rPr>
          <w:rFonts w:ascii="Noor_Titr" w:hAnsi="Noor_Titr" w:cs="B Lotus" w:hint="cs"/>
          <w:color w:val="000000" w:themeColor="text1"/>
          <w:rtl/>
        </w:rPr>
        <w:t>ک</w:t>
      </w:r>
      <w:r w:rsidRPr="002070D5">
        <w:rPr>
          <w:rFonts w:ascii="Noor_Titr" w:hAnsi="Noor_Titr" w:cs="B Lotus" w:hint="cs"/>
          <w:color w:val="000000" w:themeColor="text1"/>
          <w:rtl/>
        </w:rPr>
        <w:t xml:space="preserve">ام؛ </w:t>
      </w:r>
      <w:r w:rsidR="003A7C50">
        <w:rPr>
          <w:rFonts w:ascii="Noor_Titr" w:hAnsi="Noor_Titr" w:cs="B Lotus"/>
          <w:color w:val="000000" w:themeColor="text1"/>
          <w:rtl/>
        </w:rPr>
        <w:t>ج 10</w:t>
      </w:r>
      <w:r w:rsidRPr="002070D5">
        <w:rPr>
          <w:rFonts w:ascii="Noor_Titr" w:hAnsi="Noor_Titr" w:cs="B Lotus" w:hint="cs"/>
          <w:color w:val="000000" w:themeColor="text1"/>
          <w:rtl/>
        </w:rPr>
        <w:t>، ص: 40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7" w:rsidRPr="00410EA7" w:rsidRDefault="00792D1A" w:rsidP="00410EA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 w:rsidR="00410EA7">
      <w:rPr>
        <w:noProof/>
        <w:lang w:bidi="fa-IR"/>
      </w:rPr>
      <w:drawing>
        <wp:inline distT="0" distB="0" distL="0" distR="0" wp14:anchorId="31C41E84" wp14:editId="4BD36FB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3A7C50">
      <w:rPr>
        <w:rFonts w:ascii="IranNastaliq" w:hAnsi="IranNastaliq" w:cs="IranNastaliq"/>
        <w:sz w:val="40"/>
        <w:szCs w:val="40"/>
        <w:rtl/>
      </w:rPr>
      <w:t xml:space="preserve"> </w:t>
    </w:r>
    <w:r w:rsidR="00410EA7" w:rsidRPr="00B17B69">
      <w:rPr>
        <w:rFonts w:ascii="IranNastaliq" w:hAnsi="IranNastaliq" w:cs="IranNastaliq"/>
        <w:sz w:val="40"/>
        <w:szCs w:val="40"/>
        <w:rtl/>
      </w:rPr>
      <w:t>شماره ثبت:</w:t>
    </w:r>
    <w:r w:rsidR="00410EA7">
      <w:rPr>
        <w:rFonts w:ascii="IranNastaliq" w:hAnsi="IranNastaliq" w:cs="IranNastaliq"/>
        <w:sz w:val="40"/>
        <w:szCs w:val="40"/>
      </w:rPr>
      <w:t>749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36D79"/>
    <w:rsid w:val="00061DDB"/>
    <w:rsid w:val="00093436"/>
    <w:rsid w:val="000A29FD"/>
    <w:rsid w:val="000C7707"/>
    <w:rsid w:val="000E17E0"/>
    <w:rsid w:val="00114323"/>
    <w:rsid w:val="0013532B"/>
    <w:rsid w:val="00157D98"/>
    <w:rsid w:val="0016326D"/>
    <w:rsid w:val="001B51A2"/>
    <w:rsid w:val="001F7DF7"/>
    <w:rsid w:val="002070D5"/>
    <w:rsid w:val="00216747"/>
    <w:rsid w:val="00253D14"/>
    <w:rsid w:val="00387B1F"/>
    <w:rsid w:val="003A1FC7"/>
    <w:rsid w:val="003A7C50"/>
    <w:rsid w:val="00410EA7"/>
    <w:rsid w:val="005540C8"/>
    <w:rsid w:val="005F48DC"/>
    <w:rsid w:val="00603A78"/>
    <w:rsid w:val="00696632"/>
    <w:rsid w:val="007023B6"/>
    <w:rsid w:val="007339F8"/>
    <w:rsid w:val="00792D1A"/>
    <w:rsid w:val="007E4F0D"/>
    <w:rsid w:val="00813063"/>
    <w:rsid w:val="008C1209"/>
    <w:rsid w:val="008D3216"/>
    <w:rsid w:val="00913AF0"/>
    <w:rsid w:val="00952C9A"/>
    <w:rsid w:val="009A5E11"/>
    <w:rsid w:val="009B6546"/>
    <w:rsid w:val="00A051AB"/>
    <w:rsid w:val="00A7495D"/>
    <w:rsid w:val="00B20B33"/>
    <w:rsid w:val="00B36156"/>
    <w:rsid w:val="00BA1EED"/>
    <w:rsid w:val="00BA28C4"/>
    <w:rsid w:val="00BB1193"/>
    <w:rsid w:val="00BD4D96"/>
    <w:rsid w:val="00C00A2C"/>
    <w:rsid w:val="00CE1B92"/>
    <w:rsid w:val="00CF6DCC"/>
    <w:rsid w:val="00D462B0"/>
    <w:rsid w:val="00D62943"/>
    <w:rsid w:val="00DB127A"/>
    <w:rsid w:val="00DD520D"/>
    <w:rsid w:val="00E61AE9"/>
    <w:rsid w:val="00F1173B"/>
    <w:rsid w:val="00F850F9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BD4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4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410E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2070D5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2070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0D5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BD4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BD4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BD4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BD4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4D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D4D96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BD4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9064-29B9-4E66-8CE4-5476E689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16</cp:revision>
  <dcterms:created xsi:type="dcterms:W3CDTF">2012-12-24T02:22:00Z</dcterms:created>
  <dcterms:modified xsi:type="dcterms:W3CDTF">2015-07-28T08:12:00Z</dcterms:modified>
</cp:coreProperties>
</file>